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631"/>
        <w:gridCol w:w="305"/>
        <w:gridCol w:w="39"/>
        <w:gridCol w:w="1435"/>
        <w:gridCol w:w="623"/>
        <w:gridCol w:w="1081"/>
        <w:gridCol w:w="706"/>
        <w:gridCol w:w="427"/>
        <w:gridCol w:w="187"/>
        <w:gridCol w:w="1089"/>
        <w:gridCol w:w="706"/>
        <w:gridCol w:w="610"/>
        <w:gridCol w:w="10"/>
      </w:tblGrid>
      <w:tr w:rsidR="00BE08D2" w:rsidRPr="00CE54B4" w14:paraId="281FCC72" w14:textId="77777777" w:rsidTr="00B07FF1">
        <w:trPr>
          <w:trHeight w:hRule="exact" w:val="299"/>
          <w:jc w:val="center"/>
        </w:trPr>
        <w:tc>
          <w:tcPr>
            <w:tcW w:w="9618" w:type="dxa"/>
            <w:gridSpan w:val="14"/>
            <w:shd w:val="clear" w:color="auto" w:fill="FFF2CC"/>
            <w:vAlign w:val="center"/>
          </w:tcPr>
          <w:p w14:paraId="30F0FCD2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bookmarkStart w:id="0" w:name="_Toc71551307"/>
            <w:bookmarkStart w:id="1" w:name="_Toc71551454"/>
            <w:bookmarkStart w:id="2" w:name="_Toc71638920"/>
            <w:bookmarkStart w:id="3" w:name="_Toc72221683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COURSE DESCRIPTION</w:t>
            </w:r>
            <w:bookmarkEnd w:id="0"/>
            <w:bookmarkEnd w:id="1"/>
            <w:bookmarkEnd w:id="2"/>
            <w:bookmarkEnd w:id="3"/>
          </w:p>
        </w:tc>
      </w:tr>
      <w:tr w:rsidR="00BE08D2" w:rsidRPr="00CE54B4" w14:paraId="1B2F6A65" w14:textId="77777777" w:rsidTr="00B07FF1">
        <w:trPr>
          <w:trHeight w:val="421"/>
          <w:jc w:val="center"/>
        </w:trPr>
        <w:tc>
          <w:tcPr>
            <w:tcW w:w="2705" w:type="dxa"/>
            <w:gridSpan w:val="3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F3082E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bookmarkStart w:id="4" w:name="_Toc71551308"/>
            <w:bookmarkStart w:id="5" w:name="_Toc71551455"/>
            <w:bookmarkStart w:id="6" w:name="_Toc71638921"/>
            <w:bookmarkStart w:id="7" w:name="_Toc72221684"/>
            <w:r w:rsidRPr="00CE54B4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  <w:t>Course instructor</w:t>
            </w:r>
            <w:bookmarkEnd w:id="4"/>
            <w:bookmarkEnd w:id="5"/>
            <w:bookmarkEnd w:id="6"/>
            <w:bookmarkEnd w:id="7"/>
            <w:r w:rsidRPr="00CE54B4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913" w:type="dxa"/>
            <w:gridSpan w:val="11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8DB397" w14:textId="77777777" w:rsidR="00BE08D2" w:rsidRPr="00CE54B4" w:rsidRDefault="00BE08D2" w:rsidP="00B07FF1">
            <w:pPr>
              <w:pStyle w:val="ListParagraph1"/>
              <w:spacing w:after="60"/>
              <w:ind w:left="0"/>
              <w:rPr>
                <w:rFonts w:ascii="Calibri Light" w:hAnsi="Calibri Light" w:cs="Calibri Light"/>
                <w:color w:val="000000"/>
                <w:lang w:val="hr-HR"/>
              </w:rPr>
            </w:pPr>
            <w:proofErr w:type="spellStart"/>
            <w:r w:rsidRPr="00165937">
              <w:rPr>
                <w:rFonts w:ascii="Calibri Light" w:hAnsi="Calibri Light" w:cs="Calibri Light"/>
                <w:lang w:val="hr-HR"/>
              </w:rPr>
              <w:t>Yordi</w:t>
            </w:r>
            <w:proofErr w:type="spellEnd"/>
            <w:r w:rsidRPr="00165937">
              <w:rPr>
                <w:rFonts w:ascii="Calibri Light" w:hAnsi="Calibri Light" w:cs="Calibri Light"/>
                <w:lang w:val="hr-HR"/>
              </w:rPr>
              <w:t xml:space="preserve"> </w:t>
            </w:r>
            <w:proofErr w:type="spellStart"/>
            <w:r w:rsidRPr="00165937">
              <w:rPr>
                <w:rFonts w:ascii="Calibri Light" w:hAnsi="Calibri Light" w:cs="Calibri Light"/>
                <w:lang w:val="hr-HR"/>
              </w:rPr>
              <w:t>Comas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, </w:t>
            </w:r>
            <w:r w:rsidRPr="00CE54B4">
              <w:rPr>
                <w:rFonts w:ascii="Calibri Light" w:hAnsi="Calibri Light" w:cs="Calibri Light"/>
                <w:color w:val="000000"/>
                <w:lang w:val="en-GB"/>
              </w:rPr>
              <w:t xml:space="preserve">Ph.D.,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Assistant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>Professor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,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University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of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 Girona, Sandra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Janković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, </w:t>
            </w:r>
            <w:proofErr w:type="spellStart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>Ph.D</w:t>
            </w:r>
            <w:proofErr w:type="spellEnd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 xml:space="preserve">., </w:t>
            </w:r>
            <w:proofErr w:type="spellStart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>Full</w:t>
            </w:r>
            <w:proofErr w:type="spellEnd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>Professor</w:t>
            </w:r>
            <w:proofErr w:type="spellEnd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>with</w:t>
            </w:r>
            <w:proofErr w:type="spellEnd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color w:val="000000"/>
                <w:lang w:val="hr-HR"/>
              </w:rPr>
              <w:t>tenure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,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Faculty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of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Tourism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 and </w:t>
            </w:r>
            <w:proofErr w:type="spellStart"/>
            <w:r w:rsidRPr="00CE54B4">
              <w:rPr>
                <w:rFonts w:ascii="Calibri Light" w:hAnsi="Calibri Light" w:cs="Calibri Light"/>
                <w:lang w:val="es-ES"/>
              </w:rPr>
              <w:t>Hospitality</w:t>
            </w:r>
            <w:proofErr w:type="spellEnd"/>
            <w:r w:rsidRPr="00CE54B4">
              <w:rPr>
                <w:rFonts w:ascii="Calibri Light" w:hAnsi="Calibri Light" w:cs="Calibri Light"/>
                <w:lang w:val="es-ES"/>
              </w:rPr>
              <w:t xml:space="preserve"> Management</w:t>
            </w:r>
          </w:p>
        </w:tc>
      </w:tr>
      <w:tr w:rsidR="00BE08D2" w:rsidRPr="00CE54B4" w14:paraId="376E6504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0511638F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Name of the course</w:t>
            </w:r>
          </w:p>
        </w:tc>
        <w:tc>
          <w:tcPr>
            <w:tcW w:w="6913" w:type="dxa"/>
            <w:gridSpan w:val="11"/>
            <w:vAlign w:val="center"/>
          </w:tcPr>
          <w:p w14:paraId="072527A4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  <w:t xml:space="preserve">Revenue and Yield Management </w:t>
            </w:r>
          </w:p>
        </w:tc>
      </w:tr>
      <w:tr w:rsidR="00BE08D2" w:rsidRPr="00CE54B4" w14:paraId="201BE298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21262B43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Study programme </w:t>
            </w:r>
          </w:p>
        </w:tc>
        <w:tc>
          <w:tcPr>
            <w:tcW w:w="6913" w:type="dxa"/>
            <w:gridSpan w:val="11"/>
            <w:vAlign w:val="center"/>
          </w:tcPr>
          <w:p w14:paraId="505676E4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bCs/>
                <w:sz w:val="22"/>
                <w:szCs w:val="22"/>
                <w:lang w:val="en-GB" w:eastAsia="en-US"/>
              </w:rPr>
              <w:t>Master in Sustainable Outdoor Hospitality Resort Management</w:t>
            </w:r>
          </w:p>
        </w:tc>
      </w:tr>
      <w:tr w:rsidR="00BE08D2" w:rsidRPr="00CE54B4" w14:paraId="1372F0BE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68D0ABEC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Status of the course</w:t>
            </w:r>
          </w:p>
        </w:tc>
        <w:tc>
          <w:tcPr>
            <w:tcW w:w="6913" w:type="dxa"/>
            <w:gridSpan w:val="11"/>
            <w:vAlign w:val="center"/>
          </w:tcPr>
          <w:p w14:paraId="28605A3F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sz w:val="22"/>
                <w:szCs w:val="22"/>
                <w:lang w:val="en-GB" w:eastAsia="en-US"/>
              </w:rPr>
              <w:t>Compulsory</w:t>
            </w:r>
          </w:p>
        </w:tc>
      </w:tr>
      <w:tr w:rsidR="00BE08D2" w:rsidRPr="00CE54B4" w14:paraId="02795ACB" w14:textId="77777777" w:rsidTr="00B07FF1">
        <w:trPr>
          <w:trHeight w:val="421"/>
          <w:jc w:val="center"/>
        </w:trPr>
        <w:tc>
          <w:tcPr>
            <w:tcW w:w="2705" w:type="dxa"/>
            <w:gridSpan w:val="3"/>
            <w:vAlign w:val="center"/>
          </w:tcPr>
          <w:p w14:paraId="3B8A51EF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Year of study</w:t>
            </w:r>
          </w:p>
        </w:tc>
        <w:tc>
          <w:tcPr>
            <w:tcW w:w="6913" w:type="dxa"/>
            <w:gridSpan w:val="11"/>
            <w:vAlign w:val="center"/>
          </w:tcPr>
          <w:p w14:paraId="44761E68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Year 2,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/>
              </w:rPr>
              <w:t>Semester 3</w:t>
            </w:r>
          </w:p>
        </w:tc>
      </w:tr>
      <w:tr w:rsidR="00BE08D2" w:rsidRPr="00CE54B4" w14:paraId="2F02574A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 w:val="restart"/>
            <w:vAlign w:val="center"/>
          </w:tcPr>
          <w:p w14:paraId="049CDD84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ECTS credits and manner of instruction</w:t>
            </w:r>
          </w:p>
        </w:tc>
        <w:tc>
          <w:tcPr>
            <w:tcW w:w="3178" w:type="dxa"/>
            <w:gridSpan w:val="4"/>
            <w:vAlign w:val="center"/>
          </w:tcPr>
          <w:p w14:paraId="10EAB42D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ECTS credits</w:t>
            </w:r>
          </w:p>
        </w:tc>
        <w:tc>
          <w:tcPr>
            <w:tcW w:w="3735" w:type="dxa"/>
            <w:gridSpan w:val="7"/>
            <w:vAlign w:val="center"/>
          </w:tcPr>
          <w:p w14:paraId="170ED4B1" w14:textId="77777777" w:rsidR="00BE08D2" w:rsidRPr="00CE54B4" w:rsidRDefault="00BE08D2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</w:t>
            </w:r>
          </w:p>
        </w:tc>
      </w:tr>
      <w:tr w:rsidR="00BE08D2" w:rsidRPr="00CE54B4" w14:paraId="7D52444D" w14:textId="77777777" w:rsidTr="00B07FF1">
        <w:trPr>
          <w:trHeight w:val="150"/>
          <w:jc w:val="center"/>
        </w:trPr>
        <w:tc>
          <w:tcPr>
            <w:tcW w:w="2705" w:type="dxa"/>
            <w:gridSpan w:val="3"/>
            <w:vMerge/>
            <w:vAlign w:val="center"/>
          </w:tcPr>
          <w:p w14:paraId="07DB90EF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0D53D0E5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Number of class </w:t>
            </w:r>
            <w:proofErr w:type="gramStart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hours  (</w:t>
            </w:r>
            <w:proofErr w:type="gramEnd"/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L+E+S)</w:t>
            </w:r>
          </w:p>
        </w:tc>
        <w:tc>
          <w:tcPr>
            <w:tcW w:w="3735" w:type="dxa"/>
            <w:gridSpan w:val="7"/>
            <w:vAlign w:val="center"/>
          </w:tcPr>
          <w:p w14:paraId="63819587" w14:textId="77777777" w:rsidR="00BE08D2" w:rsidRPr="00CE54B4" w:rsidRDefault="00BE08D2" w:rsidP="00B07FF1">
            <w:pPr>
              <w:spacing w:after="120" w:line="264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30 (15+0+15)</w:t>
            </w:r>
          </w:p>
        </w:tc>
      </w:tr>
      <w:tr w:rsidR="00BE08D2" w:rsidRPr="00CE54B4" w14:paraId="76B7E555" w14:textId="77777777" w:rsidTr="00B07FF1">
        <w:trPr>
          <w:trHeight w:val="150"/>
          <w:jc w:val="center"/>
        </w:trPr>
        <w:tc>
          <w:tcPr>
            <w:tcW w:w="9618" w:type="dxa"/>
            <w:gridSpan w:val="14"/>
            <w:shd w:val="clear" w:color="auto" w:fill="FFF2CC"/>
            <w:vAlign w:val="center"/>
          </w:tcPr>
          <w:p w14:paraId="581347D7" w14:textId="77777777" w:rsidR="00BE08D2" w:rsidRPr="00CE54B4" w:rsidRDefault="00BE08D2" w:rsidP="00B07FF1">
            <w:pPr>
              <w:keepNext/>
              <w:keepLines/>
              <w:spacing w:before="40" w:line="264" w:lineRule="auto"/>
              <w:outlineLvl w:val="2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E08D2" w:rsidRPr="00CE54B4" w14:paraId="1BAC04CA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07E5F31B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1. Course objectives</w:t>
            </w:r>
          </w:p>
        </w:tc>
      </w:tr>
      <w:tr w:rsidR="00BE08D2" w:rsidRPr="00CE54B4" w14:paraId="10801B61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314072C7" w14:textId="77777777" w:rsidR="00BE08D2" w:rsidRPr="00CE54B4" w:rsidRDefault="00BE08D2" w:rsidP="00B07FF1">
            <w:pPr>
              <w:pBdr>
                <w:top w:val="single" w:sz="6" w:space="0" w:color="CDCDD1"/>
              </w:pBdr>
              <w:spacing w:after="120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Knowledge on segmentation, dynamic pricing, and channel management for the lodging industry, understanding a practical approach to Revenue and Yield Management systems, both from the point of view of business models and technological schemes.</w:t>
            </w:r>
          </w:p>
        </w:tc>
      </w:tr>
      <w:tr w:rsidR="00BE08D2" w:rsidRPr="00CE54B4" w14:paraId="2F5BFBEB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tcBorders>
              <w:bottom w:val="single" w:sz="6" w:space="0" w:color="0000FF"/>
            </w:tcBorders>
            <w:vAlign w:val="center"/>
          </w:tcPr>
          <w:p w14:paraId="1DA71EF9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2. Course enrolment requirements</w:t>
            </w:r>
          </w:p>
        </w:tc>
      </w:tr>
      <w:tr w:rsidR="00BE08D2" w:rsidRPr="00CE54B4" w14:paraId="7708F248" w14:textId="77777777" w:rsidTr="00B07FF1">
        <w:trPr>
          <w:trHeight w:val="440"/>
          <w:jc w:val="center"/>
        </w:trPr>
        <w:tc>
          <w:tcPr>
            <w:tcW w:w="9618" w:type="dxa"/>
            <w:gridSpan w:val="14"/>
            <w:vAlign w:val="center"/>
          </w:tcPr>
          <w:p w14:paraId="76DC2874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val="en-GB" w:eastAsia="en-US"/>
              </w:rPr>
              <w:t>None.</w:t>
            </w:r>
          </w:p>
        </w:tc>
      </w:tr>
      <w:tr w:rsidR="00BE08D2" w:rsidRPr="00CE54B4" w14:paraId="19AA3C5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D43B602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3. Expected learning outcomes</w:t>
            </w:r>
          </w:p>
        </w:tc>
      </w:tr>
      <w:tr w:rsidR="00BE08D2" w:rsidRPr="00CE54B4" w14:paraId="4D93F96A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32D90E93" w14:textId="77777777" w:rsidR="00BE08D2" w:rsidRPr="00CE54B4" w:rsidRDefault="00BE08D2" w:rsidP="00BE08D2">
            <w:pPr>
              <w:numPr>
                <w:ilvl w:val="0"/>
                <w:numId w:val="10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Advanced knowledge and understanding of the tourism phenomenon, and the political, social, economic and technological contexts that influence tourism and its future.</w:t>
            </w:r>
          </w:p>
          <w:p w14:paraId="4C10EFC0" w14:textId="77777777" w:rsidR="00BE08D2" w:rsidRPr="00CE54B4" w:rsidRDefault="00BE08D2" w:rsidP="00BE08D2">
            <w:pPr>
              <w:numPr>
                <w:ilvl w:val="0"/>
                <w:numId w:val="10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respond to strategic issues by making decisions in complex and unpredictable situations.</w:t>
            </w:r>
          </w:p>
          <w:p w14:paraId="40CA6421" w14:textId="77777777" w:rsidR="00BE08D2" w:rsidRPr="00CE54B4" w:rsidRDefault="00BE08D2" w:rsidP="00BE08D2">
            <w:pPr>
              <w:numPr>
                <w:ilvl w:val="0"/>
                <w:numId w:val="10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demonstrate confidence and competence in the use of information technologies, including working effectively in an online environment;</w:t>
            </w:r>
          </w:p>
          <w:p w14:paraId="2F70157D" w14:textId="77777777" w:rsidR="00BE08D2" w:rsidRPr="00CE54B4" w:rsidRDefault="00BE08D2" w:rsidP="00BE08D2">
            <w:pPr>
              <w:numPr>
                <w:ilvl w:val="0"/>
                <w:numId w:val="10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prepare and present academic and professional reports.</w:t>
            </w:r>
          </w:p>
          <w:p w14:paraId="79F52B88" w14:textId="77777777" w:rsidR="00BE08D2" w:rsidRPr="00CE54B4" w:rsidRDefault="00BE08D2" w:rsidP="00BE08D2">
            <w:pPr>
              <w:numPr>
                <w:ilvl w:val="0"/>
                <w:numId w:val="10"/>
              </w:numPr>
              <w:spacing w:after="120" w:line="264" w:lineRule="auto"/>
              <w:contextualSpacing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demonstrate self-direction and originality in assessing and solving problems by formulating, implementing and reviewing personal research agendas.</w:t>
            </w:r>
          </w:p>
        </w:tc>
      </w:tr>
      <w:tr w:rsidR="00BE08D2" w:rsidRPr="00CE54B4" w14:paraId="297B5DBA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0D43ED6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4. Course content </w:t>
            </w:r>
          </w:p>
        </w:tc>
      </w:tr>
      <w:tr w:rsidR="00BE08D2" w:rsidRPr="00CE54B4" w14:paraId="41700B8F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7CC77512" w14:textId="77777777" w:rsidR="00BE08D2" w:rsidRPr="00CE54B4" w:rsidRDefault="00BE08D2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1. Fundamentals of Revenue &amp; Yield management</w:t>
            </w:r>
          </w:p>
          <w:p w14:paraId="0AE31ED7" w14:textId="77777777" w:rsidR="00BE08D2" w:rsidRPr="00CE54B4" w:rsidRDefault="00BE08D2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2. Techniques and conditioning factors of Revenue and Yield management</w:t>
            </w:r>
          </w:p>
          <w:p w14:paraId="4622D5C7" w14:textId="77777777" w:rsidR="00BE08D2" w:rsidRPr="00CE54B4" w:rsidRDefault="00BE08D2" w:rsidP="00B07FF1">
            <w:pPr>
              <w:spacing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3. Technological tools for Revenue and Yield management</w:t>
            </w:r>
          </w:p>
        </w:tc>
      </w:tr>
      <w:tr w:rsidR="00BE08D2" w:rsidRPr="00CE54B4" w14:paraId="1B6F0E0A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027845BE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5. Manner of instruction </w:t>
            </w:r>
          </w:p>
        </w:tc>
        <w:tc>
          <w:tcPr>
            <w:tcW w:w="3139" w:type="dxa"/>
            <w:gridSpan w:val="3"/>
            <w:vAlign w:val="center"/>
          </w:tcPr>
          <w:p w14:paraId="5B1846DD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t xml:space="preserve"> </w:t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>lectures</w:t>
            </w:r>
          </w:p>
          <w:p w14:paraId="4D637902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seminars and workshops </w:t>
            </w:r>
          </w:p>
          <w:p w14:paraId="7C2621B5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exercises </w:t>
            </w:r>
          </w:p>
          <w:p w14:paraId="5DE810BE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distance learning</w:t>
            </w:r>
          </w:p>
          <w:p w14:paraId="2AD729C2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fieldwork</w:t>
            </w:r>
          </w:p>
        </w:tc>
        <w:tc>
          <w:tcPr>
            <w:tcW w:w="3725" w:type="dxa"/>
            <w:gridSpan w:val="6"/>
            <w:vAlign w:val="center"/>
          </w:tcPr>
          <w:p w14:paraId="1B69BE10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individual assignments</w:t>
            </w:r>
          </w:p>
          <w:p w14:paraId="42AD2356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multimedia and network  </w:t>
            </w:r>
          </w:p>
          <w:p w14:paraId="07316493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laboratories</w:t>
            </w:r>
          </w:p>
          <w:p w14:paraId="0CEC1613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mentorship</w:t>
            </w:r>
          </w:p>
          <w:p w14:paraId="581792FE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separate"/>
            </w:r>
            <w:r w:rsidRPr="00CE54B4">
              <w:rPr>
                <w:rFonts w:ascii="Calibri Light" w:hAnsi="Calibri Light" w:cs="Calibri Light"/>
                <w:b/>
                <w:sz w:val="20"/>
                <w:szCs w:val="20"/>
                <w:lang w:val="hr-HR"/>
              </w:rPr>
              <w:fldChar w:fldCharType="end"/>
            </w:r>
            <w:r w:rsidRPr="00CE54B4"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  <w:t xml:space="preserve"> other Case study</w:t>
            </w:r>
          </w:p>
        </w:tc>
      </w:tr>
      <w:tr w:rsidR="00BE08D2" w:rsidRPr="00CE54B4" w14:paraId="131A0E54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2744" w:type="dxa"/>
            <w:gridSpan w:val="4"/>
            <w:vAlign w:val="center"/>
          </w:tcPr>
          <w:p w14:paraId="0E7A6177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lastRenderedPageBreak/>
              <w:t>6. Comments</w:t>
            </w:r>
          </w:p>
        </w:tc>
        <w:tc>
          <w:tcPr>
            <w:tcW w:w="6864" w:type="dxa"/>
            <w:gridSpan w:val="9"/>
            <w:vAlign w:val="center"/>
          </w:tcPr>
          <w:p w14:paraId="07F9BED1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</w:p>
        </w:tc>
      </w:tr>
      <w:tr w:rsidR="00BE08D2" w:rsidRPr="00CE54B4" w14:paraId="6145AD7B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69A45B0B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7. Student responsibilities </w:t>
            </w:r>
          </w:p>
        </w:tc>
      </w:tr>
      <w:tr w:rsidR="00BE08D2" w:rsidRPr="00CE54B4" w14:paraId="7E0EDE2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491D2485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Independent work and group work, attend classes</w:t>
            </w:r>
          </w:p>
        </w:tc>
      </w:tr>
      <w:tr w:rsidR="00BE08D2" w:rsidRPr="00CE54B4" w14:paraId="734E1B66" w14:textId="77777777" w:rsidTr="00B07FF1">
        <w:trPr>
          <w:gridAfter w:val="1"/>
          <w:wAfter w:w="10" w:type="dxa"/>
          <w:trHeight w:val="406"/>
          <w:jc w:val="center"/>
        </w:trPr>
        <w:tc>
          <w:tcPr>
            <w:tcW w:w="9608" w:type="dxa"/>
            <w:gridSpan w:val="13"/>
            <w:vAlign w:val="center"/>
          </w:tcPr>
          <w:p w14:paraId="1B6E58B7" w14:textId="77777777" w:rsidR="00BE08D2" w:rsidRPr="00CE54B4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8. Monitoring of student work</w:t>
            </w:r>
          </w:p>
        </w:tc>
      </w:tr>
      <w:tr w:rsidR="00BE08D2" w:rsidRPr="00CE54B4" w14:paraId="4B396E2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167E1DBB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Class attendance</w:t>
            </w:r>
          </w:p>
        </w:tc>
        <w:tc>
          <w:tcPr>
            <w:tcW w:w="631" w:type="dxa"/>
            <w:vAlign w:val="center"/>
          </w:tcPr>
          <w:p w14:paraId="7F474434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1779" w:type="dxa"/>
            <w:gridSpan w:val="3"/>
            <w:vAlign w:val="center"/>
          </w:tcPr>
          <w:p w14:paraId="6C1084B6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Class participation</w:t>
            </w:r>
          </w:p>
        </w:tc>
        <w:tc>
          <w:tcPr>
            <w:tcW w:w="623" w:type="dxa"/>
            <w:vAlign w:val="center"/>
          </w:tcPr>
          <w:p w14:paraId="50C023D7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62BD455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Seminar paper</w:t>
            </w:r>
          </w:p>
        </w:tc>
        <w:tc>
          <w:tcPr>
            <w:tcW w:w="614" w:type="dxa"/>
            <w:gridSpan w:val="2"/>
            <w:vAlign w:val="center"/>
          </w:tcPr>
          <w:p w14:paraId="0A7DA9EF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1ECDC6A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Experimental work</w:t>
            </w:r>
          </w:p>
        </w:tc>
        <w:tc>
          <w:tcPr>
            <w:tcW w:w="610" w:type="dxa"/>
            <w:vAlign w:val="center"/>
          </w:tcPr>
          <w:p w14:paraId="46D096E3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BE08D2" w:rsidRPr="00CE54B4" w14:paraId="66773EC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75430F3A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Written exam</w:t>
            </w:r>
          </w:p>
        </w:tc>
        <w:tc>
          <w:tcPr>
            <w:tcW w:w="631" w:type="dxa"/>
            <w:vAlign w:val="center"/>
          </w:tcPr>
          <w:p w14:paraId="28AC0E18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0,5</w:t>
            </w:r>
          </w:p>
        </w:tc>
        <w:tc>
          <w:tcPr>
            <w:tcW w:w="1779" w:type="dxa"/>
            <w:gridSpan w:val="3"/>
            <w:vAlign w:val="center"/>
          </w:tcPr>
          <w:p w14:paraId="6BA58974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Oral exam</w:t>
            </w:r>
          </w:p>
        </w:tc>
        <w:tc>
          <w:tcPr>
            <w:tcW w:w="623" w:type="dxa"/>
            <w:vAlign w:val="center"/>
          </w:tcPr>
          <w:p w14:paraId="48972612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99C4EFD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Essay</w:t>
            </w:r>
          </w:p>
        </w:tc>
        <w:tc>
          <w:tcPr>
            <w:tcW w:w="614" w:type="dxa"/>
            <w:gridSpan w:val="2"/>
            <w:vAlign w:val="center"/>
          </w:tcPr>
          <w:p w14:paraId="2C8F2092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09E140A8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Research</w:t>
            </w:r>
          </w:p>
        </w:tc>
        <w:tc>
          <w:tcPr>
            <w:tcW w:w="610" w:type="dxa"/>
            <w:vAlign w:val="center"/>
          </w:tcPr>
          <w:p w14:paraId="217A28AD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BE08D2" w:rsidRPr="00CE54B4" w14:paraId="7A901365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07B12308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Project</w:t>
            </w:r>
          </w:p>
        </w:tc>
        <w:tc>
          <w:tcPr>
            <w:tcW w:w="631" w:type="dxa"/>
            <w:vAlign w:val="center"/>
          </w:tcPr>
          <w:p w14:paraId="3199943E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0,9</w:t>
            </w:r>
          </w:p>
        </w:tc>
        <w:tc>
          <w:tcPr>
            <w:tcW w:w="1779" w:type="dxa"/>
            <w:gridSpan w:val="3"/>
            <w:vAlign w:val="center"/>
          </w:tcPr>
          <w:p w14:paraId="6BD8DA0C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Continuous assessment</w:t>
            </w:r>
          </w:p>
        </w:tc>
        <w:tc>
          <w:tcPr>
            <w:tcW w:w="623" w:type="dxa"/>
            <w:vAlign w:val="center"/>
          </w:tcPr>
          <w:p w14:paraId="79320228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  <w:t>0,6</w:t>
            </w:r>
          </w:p>
        </w:tc>
        <w:tc>
          <w:tcPr>
            <w:tcW w:w="1787" w:type="dxa"/>
            <w:gridSpan w:val="2"/>
            <w:vAlign w:val="center"/>
          </w:tcPr>
          <w:p w14:paraId="0E89A5DB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Report</w:t>
            </w:r>
          </w:p>
        </w:tc>
        <w:tc>
          <w:tcPr>
            <w:tcW w:w="614" w:type="dxa"/>
            <w:gridSpan w:val="2"/>
            <w:vAlign w:val="center"/>
          </w:tcPr>
          <w:p w14:paraId="51AC76A2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05007E8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Practical work</w:t>
            </w:r>
          </w:p>
        </w:tc>
        <w:tc>
          <w:tcPr>
            <w:tcW w:w="610" w:type="dxa"/>
            <w:vAlign w:val="center"/>
          </w:tcPr>
          <w:p w14:paraId="794C2E10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BE08D2" w:rsidRPr="00CE54B4" w14:paraId="200E3151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1769" w:type="dxa"/>
            <w:vAlign w:val="center"/>
          </w:tcPr>
          <w:p w14:paraId="04450600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Portfolio</w:t>
            </w:r>
          </w:p>
        </w:tc>
        <w:tc>
          <w:tcPr>
            <w:tcW w:w="631" w:type="dxa"/>
            <w:vAlign w:val="center"/>
          </w:tcPr>
          <w:p w14:paraId="6703EEA9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1CE7C03C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</w:pPr>
            <w:r w:rsidRPr="00D620AD">
              <w:rPr>
                <w:rFonts w:ascii="Calibri Light" w:hAnsi="Calibri Light" w:cs="Calibri Light"/>
                <w:color w:val="000000"/>
                <w:sz w:val="16"/>
                <w:szCs w:val="16"/>
                <w:lang w:val="en-GB" w:eastAsia="en-US"/>
              </w:rPr>
              <w:t>Case study</w:t>
            </w:r>
          </w:p>
        </w:tc>
        <w:tc>
          <w:tcPr>
            <w:tcW w:w="623" w:type="dxa"/>
            <w:vAlign w:val="center"/>
          </w:tcPr>
          <w:p w14:paraId="01C6746C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56D16AC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350B8A3F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6C3617D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610" w:type="dxa"/>
            <w:vAlign w:val="center"/>
          </w:tcPr>
          <w:p w14:paraId="607FC0A4" w14:textId="77777777" w:rsidR="00BE08D2" w:rsidRPr="00D620AD" w:rsidRDefault="00BE08D2" w:rsidP="00B07FF1">
            <w:pPr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BE08D2" w:rsidRPr="00CE54B4" w14:paraId="58A0B73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B86ACD1" w14:textId="77777777" w:rsidR="00BE08D2" w:rsidRPr="00CE54B4" w:rsidRDefault="00BE08D2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9. Assessment of learning outcomes in class and at the final exam (procedure and examples)</w:t>
            </w:r>
          </w:p>
        </w:tc>
      </w:tr>
      <w:tr w:rsidR="00BE08D2" w:rsidRPr="00CE54B4" w14:paraId="2EEA6FBA" w14:textId="77777777" w:rsidTr="00B07FF1">
        <w:trPr>
          <w:gridAfter w:val="1"/>
          <w:wAfter w:w="10" w:type="dxa"/>
          <w:trHeight w:val="75"/>
          <w:jc w:val="center"/>
        </w:trPr>
        <w:tc>
          <w:tcPr>
            <w:tcW w:w="9608" w:type="dxa"/>
            <w:gridSpan w:val="13"/>
            <w:vAlign w:val="center"/>
          </w:tcPr>
          <w:p w14:paraId="28A1013C" w14:textId="77777777" w:rsidR="00BE08D2" w:rsidRPr="00CE54B4" w:rsidRDefault="00BE08D2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Group Project</w:t>
            </w:r>
          </w:p>
          <w:p w14:paraId="43B92F3E" w14:textId="77777777" w:rsidR="00BE08D2" w:rsidRPr="00CE54B4" w:rsidRDefault="00BE08D2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Written document (80%) and oral presentation (20</w:t>
            </w:r>
            <w:proofErr w:type="gramStart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%)   </w:t>
            </w:r>
            <w:proofErr w:type="gramEnd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40%</w:t>
            </w:r>
          </w:p>
          <w:p w14:paraId="32562C33" w14:textId="77777777" w:rsidR="00BE08D2" w:rsidRPr="00CE54B4" w:rsidRDefault="00BE08D2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Exam</w:t>
            </w: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ab/>
              <w:t>Theoretical and practical exam.   60%</w:t>
            </w:r>
          </w:p>
        </w:tc>
      </w:tr>
      <w:tr w:rsidR="00BE08D2" w:rsidRPr="00CE54B4" w14:paraId="3F594A34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72CD0C2F" w14:textId="77777777" w:rsidR="00BE08D2" w:rsidRPr="00CE54B4" w:rsidRDefault="00BE08D2" w:rsidP="00B07FF1">
            <w:pPr>
              <w:tabs>
                <w:tab w:val="left" w:pos="470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10. Mandatory literature (at the time of submission of study programme proposal)  </w:t>
            </w:r>
          </w:p>
        </w:tc>
      </w:tr>
      <w:tr w:rsidR="00BE08D2" w:rsidRPr="00CE54B4" w14:paraId="7CC515B1" w14:textId="77777777" w:rsidTr="00B07FF1">
        <w:trPr>
          <w:gridAfter w:val="1"/>
          <w:wAfter w:w="10" w:type="dxa"/>
          <w:trHeight w:val="1970"/>
          <w:jc w:val="center"/>
        </w:trPr>
        <w:tc>
          <w:tcPr>
            <w:tcW w:w="9608" w:type="dxa"/>
            <w:gridSpan w:val="13"/>
            <w:vAlign w:val="center"/>
          </w:tcPr>
          <w:p w14:paraId="5F8092B7" w14:textId="77777777" w:rsidR="00BE08D2" w:rsidRPr="00CE54B4" w:rsidRDefault="00BE08D2" w:rsidP="00BE08D2">
            <w:pPr>
              <w:numPr>
                <w:ilvl w:val="0"/>
                <w:numId w:val="9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Forgacs,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Gador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(2010).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Revenue Management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. American Hotel &amp; Lodging Educational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Institut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 </w:t>
            </w:r>
          </w:p>
          <w:p w14:paraId="628970E9" w14:textId="77777777" w:rsidR="00BE08D2" w:rsidRPr="00CE54B4" w:rsidRDefault="00BE08D2" w:rsidP="00BE08D2">
            <w:pPr>
              <w:numPr>
                <w:ilvl w:val="0"/>
                <w:numId w:val="9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Hayes, David K. (2010).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Revenue management for the hospitality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industy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Hoboken: John Wiley &amp; Sons.  </w:t>
            </w:r>
            <w:hyperlink r:id="rId7" w:tgtFrame="_blank" w:history="1"/>
          </w:p>
          <w:p w14:paraId="4DBD9334" w14:textId="77777777" w:rsidR="00BE08D2" w:rsidRPr="00CE54B4" w:rsidRDefault="00BE08D2" w:rsidP="00BE08D2">
            <w:pPr>
              <w:numPr>
                <w:ilvl w:val="0"/>
                <w:numId w:val="9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International Hotel Association. (1992).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Yield / revenue management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[Paris]: International Hotel Association.  </w:t>
            </w:r>
            <w:hyperlink r:id="rId8" w:tgtFrame="_blank" w:history="1"/>
            <w:hyperlink r:id="rId9" w:tgtFrame="_blank" w:history="1"/>
          </w:p>
        </w:tc>
      </w:tr>
      <w:tr w:rsidR="00BE08D2" w:rsidRPr="00CE54B4" w14:paraId="784DD53A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FDE2568" w14:textId="77777777" w:rsidR="00BE08D2" w:rsidRPr="00CE54B4" w:rsidRDefault="00BE08D2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11. 1Optional/additional literature (at the time of submission of the study programme proposal) </w:t>
            </w:r>
          </w:p>
        </w:tc>
      </w:tr>
      <w:tr w:rsidR="00BE08D2" w:rsidRPr="00CE54B4" w14:paraId="01A16D7D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5CFA1917" w14:textId="77777777" w:rsidR="00BE08D2" w:rsidRPr="00CE54B4" w:rsidRDefault="00BE08D2" w:rsidP="00BE08D2">
            <w:pPr>
              <w:numPr>
                <w:ilvl w:val="0"/>
                <w:numId w:val="6"/>
              </w:numPr>
              <w:spacing w:after="120" w:line="264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Yeoman, Ian. McMahon-Beattie, Una. (2004).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Revenue management and </w:t>
            </w:r>
            <w:proofErr w:type="gram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pricing: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</w:t>
            </w:r>
            <w:proofErr w:type="gram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London: Thomson Learning.  </w:t>
            </w:r>
          </w:p>
        </w:tc>
      </w:tr>
      <w:tr w:rsidR="00BE08D2" w:rsidRPr="00CE54B4" w14:paraId="65B59D3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28F1F7A1" w14:textId="77777777" w:rsidR="00BE08D2" w:rsidRPr="00CE54B4" w:rsidRDefault="00BE08D2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 xml:space="preserve">12. Number of assigned reading copies in relation to the number of students currently attending the course </w:t>
            </w:r>
          </w:p>
        </w:tc>
      </w:tr>
      <w:tr w:rsidR="00BE08D2" w:rsidRPr="00CE54B4" w14:paraId="26F221A4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7016" w:type="dxa"/>
            <w:gridSpan w:val="9"/>
            <w:vAlign w:val="center"/>
          </w:tcPr>
          <w:p w14:paraId="035C9E56" w14:textId="77777777" w:rsidR="00BE08D2" w:rsidRPr="00CE54B4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1276" w:type="dxa"/>
            <w:gridSpan w:val="2"/>
            <w:vAlign w:val="center"/>
          </w:tcPr>
          <w:p w14:paraId="1332FB26" w14:textId="77777777" w:rsidR="00BE08D2" w:rsidRPr="00CE54B4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copies</w:t>
            </w:r>
          </w:p>
        </w:tc>
        <w:tc>
          <w:tcPr>
            <w:tcW w:w="1316" w:type="dxa"/>
            <w:gridSpan w:val="2"/>
            <w:vAlign w:val="center"/>
          </w:tcPr>
          <w:p w14:paraId="25D9933C" w14:textId="77777777" w:rsidR="00BE08D2" w:rsidRPr="00CE54B4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Number of students</w:t>
            </w:r>
          </w:p>
        </w:tc>
      </w:tr>
      <w:tr w:rsidR="00BE08D2" w:rsidRPr="00CE54B4" w14:paraId="4C07730C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  <w:vAlign w:val="center"/>
          </w:tcPr>
          <w:p w14:paraId="320156F0" w14:textId="77777777" w:rsidR="00BE08D2" w:rsidRPr="00CE54B4" w:rsidRDefault="00BE08D2" w:rsidP="00BE08D2">
            <w:pPr>
              <w:numPr>
                <w:ilvl w:val="0"/>
                <w:numId w:val="9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hr-HR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lastRenderedPageBreak/>
              <w:t xml:space="preserve">Forgacs,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Gador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 (2010).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Revenue Management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 xml:space="preserve">. American Hotel &amp; Lodging Educational </w:t>
            </w:r>
            <w:proofErr w:type="spellStart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Institut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 </w:t>
            </w:r>
            <w:hyperlink r:id="rId10" w:tgtFrame="_blank" w:history="1"/>
          </w:p>
        </w:tc>
        <w:tc>
          <w:tcPr>
            <w:tcW w:w="1276" w:type="dxa"/>
            <w:gridSpan w:val="2"/>
            <w:vAlign w:val="center"/>
          </w:tcPr>
          <w:p w14:paraId="7870FE2A" w14:textId="77777777" w:rsidR="00BE08D2" w:rsidRPr="00D620AD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14:paraId="21D38E51" w14:textId="77777777" w:rsidR="00BE08D2" w:rsidRPr="00D620AD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BE08D2" w:rsidRPr="00CE54B4" w14:paraId="071A248D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</w:tcPr>
          <w:p w14:paraId="54D560FC" w14:textId="77777777" w:rsidR="00BE08D2" w:rsidRPr="00CE54B4" w:rsidRDefault="00BE08D2" w:rsidP="00BE08D2">
            <w:pPr>
              <w:numPr>
                <w:ilvl w:val="0"/>
                <w:numId w:val="9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Hayes, David K. (2010).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 xml:space="preserve">Revenue management for the hospitality </w:t>
            </w:r>
            <w:proofErr w:type="spellStart"/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industy</w:t>
            </w:r>
            <w:proofErr w:type="spellEnd"/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Hoboken: John Wiley &amp; Sons.  </w:t>
            </w:r>
            <w:hyperlink r:id="rId11" w:tgtFrame="_blank" w:history="1"/>
          </w:p>
        </w:tc>
        <w:tc>
          <w:tcPr>
            <w:tcW w:w="1276" w:type="dxa"/>
            <w:gridSpan w:val="2"/>
            <w:vAlign w:val="center"/>
          </w:tcPr>
          <w:p w14:paraId="18F68448" w14:textId="77777777" w:rsidR="00BE08D2" w:rsidRPr="00D620AD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8</w:t>
            </w:r>
          </w:p>
        </w:tc>
        <w:tc>
          <w:tcPr>
            <w:tcW w:w="1316" w:type="dxa"/>
            <w:gridSpan w:val="2"/>
            <w:vAlign w:val="center"/>
          </w:tcPr>
          <w:p w14:paraId="443D84BD" w14:textId="77777777" w:rsidR="00BE08D2" w:rsidRPr="00D620AD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BE08D2" w:rsidRPr="00CE54B4" w14:paraId="25A9C520" w14:textId="77777777" w:rsidTr="00B07FF1">
        <w:trPr>
          <w:gridAfter w:val="1"/>
          <w:wAfter w:w="10" w:type="dxa"/>
          <w:trHeight w:val="113"/>
          <w:jc w:val="center"/>
        </w:trPr>
        <w:tc>
          <w:tcPr>
            <w:tcW w:w="7016" w:type="dxa"/>
            <w:gridSpan w:val="9"/>
          </w:tcPr>
          <w:p w14:paraId="10F8D931" w14:textId="77777777" w:rsidR="00BE08D2" w:rsidRPr="00CE54B4" w:rsidRDefault="00BE08D2" w:rsidP="00BE08D2">
            <w:pPr>
              <w:numPr>
                <w:ilvl w:val="0"/>
                <w:numId w:val="9"/>
              </w:numPr>
              <w:spacing w:before="100" w:beforeAutospacing="1" w:after="100" w:afterAutospacing="1" w:line="264" w:lineRule="auto"/>
              <w:jc w:val="both"/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International Hotel Association. (1992). </w:t>
            </w:r>
            <w:r w:rsidRPr="00CE54B4">
              <w:rPr>
                <w:rFonts w:ascii="Calibri Light" w:hAnsi="Calibri Light" w:cs="Calibri Light"/>
                <w:i/>
                <w:iCs/>
                <w:color w:val="1C2441"/>
                <w:sz w:val="22"/>
                <w:szCs w:val="22"/>
                <w:lang w:val="en-GB" w:eastAsia="en-US"/>
              </w:rPr>
              <w:t>Yield / revenue management</w:t>
            </w:r>
            <w:r w:rsidRPr="00CE54B4">
              <w:rPr>
                <w:rFonts w:ascii="Calibri Light" w:hAnsi="Calibri Light" w:cs="Calibri Light"/>
                <w:color w:val="1C2441"/>
                <w:sz w:val="22"/>
                <w:szCs w:val="22"/>
                <w:lang w:val="en-GB" w:eastAsia="en-US"/>
              </w:rPr>
              <w:t>. [Paris]: International Hotel Association.  </w:t>
            </w:r>
            <w:hyperlink r:id="rId12" w:tgtFrame="_blank" w:history="1"/>
          </w:p>
        </w:tc>
        <w:tc>
          <w:tcPr>
            <w:tcW w:w="1276" w:type="dxa"/>
            <w:gridSpan w:val="2"/>
            <w:vAlign w:val="center"/>
          </w:tcPr>
          <w:p w14:paraId="35B0E778" w14:textId="77777777" w:rsidR="00BE08D2" w:rsidRPr="00D620AD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10</w:t>
            </w:r>
          </w:p>
        </w:tc>
        <w:tc>
          <w:tcPr>
            <w:tcW w:w="1316" w:type="dxa"/>
            <w:gridSpan w:val="2"/>
            <w:vAlign w:val="center"/>
          </w:tcPr>
          <w:p w14:paraId="5EACC90C" w14:textId="77777777" w:rsidR="00BE08D2" w:rsidRPr="00D620AD" w:rsidRDefault="00BE08D2" w:rsidP="00B07FF1">
            <w:pPr>
              <w:tabs>
                <w:tab w:val="left" w:pos="494"/>
              </w:tabs>
              <w:spacing w:after="120" w:line="264" w:lineRule="auto"/>
              <w:jc w:val="center"/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</w:pPr>
            <w:r w:rsidRPr="00D620AD">
              <w:rPr>
                <w:rFonts w:ascii="Calibri Light" w:hAnsi="Calibri Light" w:cs="Calibri Light"/>
                <w:i/>
                <w:color w:val="000000"/>
                <w:sz w:val="16"/>
                <w:szCs w:val="16"/>
                <w:lang w:val="hr-HR" w:eastAsia="en-US"/>
              </w:rPr>
              <w:t>30</w:t>
            </w:r>
          </w:p>
        </w:tc>
      </w:tr>
      <w:tr w:rsidR="00BE08D2" w:rsidRPr="00CE54B4" w14:paraId="70A8BD15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7CFC2873" w14:textId="77777777" w:rsidR="00BE08D2" w:rsidRPr="00CE54B4" w:rsidRDefault="00BE08D2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  <w:t>13. Quality monitoring methods that ensure the acquisition of exit knowledge, skills and competences</w:t>
            </w:r>
          </w:p>
        </w:tc>
      </w:tr>
      <w:tr w:rsidR="00BE08D2" w:rsidRPr="00CE54B4" w14:paraId="61008DF3" w14:textId="77777777" w:rsidTr="00B07FF1">
        <w:trPr>
          <w:gridAfter w:val="1"/>
          <w:wAfter w:w="10" w:type="dxa"/>
          <w:trHeight w:val="432"/>
          <w:jc w:val="center"/>
        </w:trPr>
        <w:tc>
          <w:tcPr>
            <w:tcW w:w="9608" w:type="dxa"/>
            <w:gridSpan w:val="13"/>
            <w:vAlign w:val="center"/>
          </w:tcPr>
          <w:p w14:paraId="146AD1D5" w14:textId="77777777" w:rsidR="00BE08D2" w:rsidRPr="00CE54B4" w:rsidRDefault="00BE08D2" w:rsidP="00B07FF1">
            <w:pPr>
              <w:tabs>
                <w:tab w:val="left" w:pos="494"/>
              </w:tabs>
              <w:spacing w:after="120" w:line="264" w:lineRule="auto"/>
              <w:jc w:val="both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val="en-GB" w:eastAsia="en-US"/>
              </w:rPr>
            </w:pPr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The quality of the programme and the performance of the teaching process will be evaluated in accordance with the general act of University of </w:t>
            </w:r>
            <w:proofErr w:type="gramStart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>Girona  and</w:t>
            </w:r>
            <w:proofErr w:type="gramEnd"/>
            <w:r w:rsidRPr="00CE54B4">
              <w:rPr>
                <w:rFonts w:ascii="Calibri Light" w:hAnsi="Calibri Light" w:cs="Calibri Light"/>
                <w:color w:val="000000"/>
                <w:sz w:val="22"/>
                <w:szCs w:val="22"/>
                <w:lang w:val="en-GB" w:eastAsia="en-US"/>
              </w:rPr>
              <w:t xml:space="preserve"> quality assessment procedure of Master of Sustainable Outdoor Hospitality Management.</w:t>
            </w:r>
          </w:p>
        </w:tc>
      </w:tr>
    </w:tbl>
    <w:p w14:paraId="3D1E2E05" w14:textId="77777777" w:rsidR="00AB0EF0" w:rsidRDefault="00AB0EF0"/>
    <w:sectPr w:rsidR="00AB0EF0" w:rsidSect="006E1A69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362B" w14:textId="77777777" w:rsidR="003139B3" w:rsidRDefault="003139B3" w:rsidP="0056274A">
      <w:r>
        <w:separator/>
      </w:r>
    </w:p>
  </w:endnote>
  <w:endnote w:type="continuationSeparator" w:id="0">
    <w:p w14:paraId="5B825427" w14:textId="77777777" w:rsidR="003139B3" w:rsidRDefault="003139B3" w:rsidP="0056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BD63" w14:textId="77777777" w:rsidR="003139B3" w:rsidRDefault="003139B3" w:rsidP="0056274A">
      <w:r>
        <w:separator/>
      </w:r>
    </w:p>
  </w:footnote>
  <w:footnote w:type="continuationSeparator" w:id="0">
    <w:p w14:paraId="5D635DD8" w14:textId="77777777" w:rsidR="003139B3" w:rsidRDefault="003139B3" w:rsidP="0056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D65" w14:textId="77777777" w:rsidR="0056274A" w:rsidRDefault="0056274A" w:rsidP="0056274A">
    <w:pPr>
      <w:pStyle w:val="Zaglavlje"/>
    </w:pPr>
  </w:p>
  <w:tbl>
    <w:tblPr>
      <w:tblW w:w="0" w:type="auto"/>
      <w:tblLook w:val="04A0" w:firstRow="1" w:lastRow="0" w:firstColumn="1" w:lastColumn="0" w:noHBand="0" w:noVBand="1"/>
    </w:tblPr>
    <w:tblGrid>
      <w:gridCol w:w="4704"/>
      <w:gridCol w:w="4702"/>
    </w:tblGrid>
    <w:tr w:rsidR="0056274A" w:rsidRPr="00E85EDF" w14:paraId="2E531F8D" w14:textId="77777777" w:rsidTr="00B07FF1">
      <w:tc>
        <w:tcPr>
          <w:tcW w:w="4984" w:type="dxa"/>
          <w:shd w:val="clear" w:color="auto" w:fill="auto"/>
        </w:tcPr>
        <w:p w14:paraId="27981559" w14:textId="46B8CE14" w:rsidR="0056274A" w:rsidRPr="00E85EDF" w:rsidRDefault="0056274A" w:rsidP="0056274A">
          <w:pPr>
            <w:tabs>
              <w:tab w:val="center" w:pos="4320"/>
              <w:tab w:val="right" w:pos="8640"/>
            </w:tabs>
          </w:pPr>
          <w:r w:rsidRPr="00E85EDF">
            <w:rPr>
              <w:noProof/>
            </w:rPr>
            <w:drawing>
              <wp:inline distT="0" distB="0" distL="0" distR="0" wp14:anchorId="12DB3AC5" wp14:editId="7E34B2B5">
                <wp:extent cx="727710" cy="720090"/>
                <wp:effectExtent l="0" t="0" r="0" b="381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</w:tcPr>
        <w:p w14:paraId="1077C004" w14:textId="77777777" w:rsidR="0056274A" w:rsidRPr="00E85EDF" w:rsidRDefault="0056274A" w:rsidP="0056274A">
          <w:pPr>
            <w:spacing w:after="80"/>
            <w:jc w:val="right"/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</w:pPr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Sveučilište u Rijeci • University </w:t>
          </w:r>
          <w:proofErr w:type="spellStart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>of</w:t>
          </w:r>
          <w:proofErr w:type="spellEnd"/>
          <w:r w:rsidRPr="00E85EDF">
            <w:rPr>
              <w:rFonts w:ascii="Calibri Light" w:hAnsi="Calibri Light"/>
              <w:b/>
              <w:i/>
              <w:color w:val="000000"/>
              <w:sz w:val="22"/>
              <w:szCs w:val="22"/>
              <w:lang w:val="hr-HR"/>
            </w:rPr>
            <w:t xml:space="preserve"> Rijeka</w:t>
          </w:r>
        </w:p>
        <w:p w14:paraId="5D0E1445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Trg braće Mažuranića 10 • 51 000 Rijeka • Croatia</w:t>
          </w:r>
        </w:p>
        <w:p w14:paraId="002C8B77" w14:textId="77777777" w:rsidR="0056274A" w:rsidRPr="00E85EDF" w:rsidRDefault="0056274A" w:rsidP="0056274A">
          <w:pPr>
            <w:jc w:val="right"/>
            <w:rPr>
              <w:rFonts w:ascii="Calibri Light" w:hAnsi="Calibri Light"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sz w:val="20"/>
              <w:szCs w:val="20"/>
              <w:lang w:val="hr-HR"/>
            </w:rPr>
            <w:t>T: +385 (0)51 406 500 • F: +385 (0)51 406 588</w:t>
          </w:r>
        </w:p>
        <w:p w14:paraId="47EEF307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W: www.uniri.hr</w:t>
          </w:r>
        </w:p>
        <w:p w14:paraId="34EE201F" w14:textId="77777777" w:rsidR="0056274A" w:rsidRPr="00E85EDF" w:rsidRDefault="0056274A" w:rsidP="0056274A">
          <w:pPr>
            <w:jc w:val="right"/>
            <w:rPr>
              <w:rFonts w:ascii="Calibri Light" w:hAnsi="Calibri Light"/>
              <w:i/>
              <w:sz w:val="20"/>
              <w:szCs w:val="20"/>
              <w:lang w:val="hr-HR"/>
            </w:rPr>
          </w:pPr>
          <w:r w:rsidRPr="00E85EDF">
            <w:rPr>
              <w:rFonts w:ascii="Calibri Light" w:hAnsi="Calibri Light"/>
              <w:i/>
              <w:sz w:val="20"/>
              <w:szCs w:val="20"/>
              <w:lang w:val="hr-HR"/>
            </w:rPr>
            <w:t>E: ured@uniri.hr</w:t>
          </w:r>
        </w:p>
      </w:tc>
    </w:tr>
  </w:tbl>
  <w:p w14:paraId="420B6EB7" w14:textId="77777777" w:rsidR="0056274A" w:rsidRPr="0056274A" w:rsidRDefault="0056274A" w:rsidP="005627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857"/>
    <w:multiLevelType w:val="hybridMultilevel"/>
    <w:tmpl w:val="97C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5AD3"/>
    <w:multiLevelType w:val="hybridMultilevel"/>
    <w:tmpl w:val="D97E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5796"/>
    <w:multiLevelType w:val="hybridMultilevel"/>
    <w:tmpl w:val="C652CAC0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60E5"/>
    <w:multiLevelType w:val="multilevel"/>
    <w:tmpl w:val="E9FE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2E2E"/>
    <w:multiLevelType w:val="multilevel"/>
    <w:tmpl w:val="B540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B48FC"/>
    <w:multiLevelType w:val="hybridMultilevel"/>
    <w:tmpl w:val="638EA042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5F95"/>
    <w:multiLevelType w:val="multilevel"/>
    <w:tmpl w:val="5C2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F42F1"/>
    <w:multiLevelType w:val="multilevel"/>
    <w:tmpl w:val="AAF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B84D37"/>
    <w:multiLevelType w:val="hybridMultilevel"/>
    <w:tmpl w:val="1688AC76"/>
    <w:lvl w:ilvl="0" w:tplc="89DAF5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668CE"/>
    <w:multiLevelType w:val="hybridMultilevel"/>
    <w:tmpl w:val="ABC64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4A"/>
    <w:rsid w:val="0017055B"/>
    <w:rsid w:val="003139B3"/>
    <w:rsid w:val="004F78D9"/>
    <w:rsid w:val="0056274A"/>
    <w:rsid w:val="0056302C"/>
    <w:rsid w:val="005F5CA8"/>
    <w:rsid w:val="006E1A69"/>
    <w:rsid w:val="007E2CB8"/>
    <w:rsid w:val="00AB0EF0"/>
    <w:rsid w:val="00BB799E"/>
    <w:rsid w:val="00BE08D2"/>
    <w:rsid w:val="00C97247"/>
    <w:rsid w:val="00E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F60C"/>
  <w15:chartTrackingRefBased/>
  <w15:docId w15:val="{8FFC898B-56BD-4307-B81B-7200A28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627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274A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ListParagraph1">
    <w:name w:val="List Paragraph1"/>
    <w:basedOn w:val="Normal"/>
    <w:qFormat/>
    <w:rsid w:val="00BE0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very.udg.edu/iii/encore/record/C__Rb1121091?lang=c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covery.udg.edu/iii/encore/record/C__Rb1386265?lang=cat" TargetMode="External"/><Relationship Id="rId12" Type="http://schemas.openxmlformats.org/officeDocument/2006/relationships/hyperlink" Target="https://discovery.udg.edu/iii/encore/record/C__Rb1121091?lang=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covery.udg.edu/iii/encore/record/C__Rb1386265?lang=c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covery.udg.edu/iii/encore/record/C__Rb1121091?lang=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very.udg.edu/iii/encore/record/C__Rb1249573?lang=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Lasinger Silađev</dc:creator>
  <cp:keywords/>
  <dc:description/>
  <cp:lastModifiedBy>Jasna Lasinger Silađev</cp:lastModifiedBy>
  <cp:revision>2</cp:revision>
  <dcterms:created xsi:type="dcterms:W3CDTF">2024-08-30T11:54:00Z</dcterms:created>
  <dcterms:modified xsi:type="dcterms:W3CDTF">2024-08-30T11:54:00Z</dcterms:modified>
</cp:coreProperties>
</file>