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631"/>
        <w:gridCol w:w="305"/>
        <w:gridCol w:w="39"/>
        <w:gridCol w:w="1435"/>
        <w:gridCol w:w="623"/>
        <w:gridCol w:w="1081"/>
        <w:gridCol w:w="706"/>
        <w:gridCol w:w="427"/>
        <w:gridCol w:w="187"/>
        <w:gridCol w:w="1089"/>
        <w:gridCol w:w="706"/>
        <w:gridCol w:w="610"/>
        <w:gridCol w:w="10"/>
      </w:tblGrid>
      <w:tr w:rsidR="00C94BDA" w:rsidRPr="00CE54B4" w14:paraId="33D2A37A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</w:tcPr>
          <w:p w14:paraId="0472667E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COURSE DESCRIPTION</w:t>
            </w:r>
          </w:p>
        </w:tc>
      </w:tr>
      <w:tr w:rsidR="00C94BDA" w:rsidRPr="00CE54B4" w14:paraId="00795C76" w14:textId="77777777" w:rsidTr="00B07FF1">
        <w:trPr>
          <w:trHeight w:val="421"/>
          <w:jc w:val="center"/>
        </w:trPr>
        <w:tc>
          <w:tcPr>
            <w:tcW w:w="2705" w:type="dxa"/>
            <w:gridSpan w:val="3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2D63F89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  <w:t xml:space="preserve">Course instructor </w:t>
            </w:r>
          </w:p>
        </w:tc>
        <w:tc>
          <w:tcPr>
            <w:tcW w:w="6913" w:type="dxa"/>
            <w:gridSpan w:val="11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5037CB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Lluís Prats,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Ph.D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Associate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Professors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Uniersity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of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Girona</w:t>
            </w:r>
          </w:p>
        </w:tc>
      </w:tr>
      <w:tr w:rsidR="00C94BDA" w:rsidRPr="00CE54B4" w14:paraId="2187456D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4ADCDC0E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Name of the course</w:t>
            </w:r>
          </w:p>
        </w:tc>
        <w:tc>
          <w:tcPr>
            <w:tcW w:w="6913" w:type="dxa"/>
            <w:gridSpan w:val="11"/>
            <w:vAlign w:val="center"/>
          </w:tcPr>
          <w:p w14:paraId="15F2DFFA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GB" w:eastAsia="en-GB"/>
              </w:rPr>
              <w:t>Strategic Management</w:t>
            </w:r>
          </w:p>
        </w:tc>
      </w:tr>
      <w:tr w:rsidR="00C94BDA" w:rsidRPr="00CE54B4" w14:paraId="24D55F61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5D7F24A3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Study programme </w:t>
            </w:r>
          </w:p>
        </w:tc>
        <w:tc>
          <w:tcPr>
            <w:tcW w:w="6913" w:type="dxa"/>
            <w:gridSpan w:val="11"/>
            <w:vAlign w:val="center"/>
          </w:tcPr>
          <w:p w14:paraId="71AD6A56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  <w:t>Master in Sustainable Outdoor Hospitality Management</w:t>
            </w:r>
          </w:p>
        </w:tc>
      </w:tr>
      <w:tr w:rsidR="00C94BDA" w:rsidRPr="00CE54B4" w14:paraId="0BF6BA30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28B8C2B7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Status of the course</w:t>
            </w:r>
          </w:p>
        </w:tc>
        <w:tc>
          <w:tcPr>
            <w:tcW w:w="6913" w:type="dxa"/>
            <w:gridSpan w:val="11"/>
            <w:vAlign w:val="center"/>
          </w:tcPr>
          <w:p w14:paraId="53129BFA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  <w:t>Compulsory</w:t>
            </w:r>
          </w:p>
        </w:tc>
      </w:tr>
      <w:tr w:rsidR="00C94BDA" w:rsidRPr="00CE54B4" w14:paraId="528C49AE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13517A4A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Year of study</w:t>
            </w:r>
          </w:p>
        </w:tc>
        <w:tc>
          <w:tcPr>
            <w:tcW w:w="6913" w:type="dxa"/>
            <w:gridSpan w:val="11"/>
            <w:vAlign w:val="center"/>
          </w:tcPr>
          <w:p w14:paraId="37CD1ADC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Year 2, Semester 3</w:t>
            </w:r>
          </w:p>
        </w:tc>
      </w:tr>
      <w:tr w:rsidR="00C94BDA" w:rsidRPr="00CE54B4" w14:paraId="219D8C0D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 w:val="restart"/>
            <w:vAlign w:val="center"/>
          </w:tcPr>
          <w:p w14:paraId="6AF3774B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ECTS credits and manner of instruction</w:t>
            </w:r>
          </w:p>
        </w:tc>
        <w:tc>
          <w:tcPr>
            <w:tcW w:w="3178" w:type="dxa"/>
            <w:gridSpan w:val="4"/>
            <w:vAlign w:val="center"/>
          </w:tcPr>
          <w:p w14:paraId="19346558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ECTS credits</w:t>
            </w:r>
          </w:p>
        </w:tc>
        <w:tc>
          <w:tcPr>
            <w:tcW w:w="3735" w:type="dxa"/>
            <w:gridSpan w:val="7"/>
            <w:vAlign w:val="center"/>
          </w:tcPr>
          <w:p w14:paraId="0A20A66E" w14:textId="77777777" w:rsidR="00C94BDA" w:rsidRPr="00CE54B4" w:rsidRDefault="00C94BDA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</w:t>
            </w:r>
          </w:p>
        </w:tc>
      </w:tr>
      <w:tr w:rsidR="00C94BDA" w:rsidRPr="00CE54B4" w14:paraId="61E3D416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/>
            <w:vAlign w:val="center"/>
          </w:tcPr>
          <w:p w14:paraId="34128A24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464A627E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Number of class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hours  (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L+E+S)</w:t>
            </w:r>
          </w:p>
        </w:tc>
        <w:tc>
          <w:tcPr>
            <w:tcW w:w="3735" w:type="dxa"/>
            <w:gridSpan w:val="7"/>
            <w:vAlign w:val="center"/>
          </w:tcPr>
          <w:p w14:paraId="2EB14654" w14:textId="77777777" w:rsidR="00C94BDA" w:rsidRPr="00CE54B4" w:rsidRDefault="00C94BDA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30 (15+0+15)</w:t>
            </w:r>
          </w:p>
        </w:tc>
      </w:tr>
      <w:tr w:rsidR="00C94BDA" w:rsidRPr="00CE54B4" w14:paraId="161DA64E" w14:textId="77777777" w:rsidTr="00B07FF1">
        <w:trPr>
          <w:trHeight w:val="150"/>
          <w:jc w:val="center"/>
        </w:trPr>
        <w:tc>
          <w:tcPr>
            <w:tcW w:w="9618" w:type="dxa"/>
            <w:gridSpan w:val="14"/>
            <w:shd w:val="clear" w:color="auto" w:fill="FFF2CC"/>
            <w:vAlign w:val="center"/>
          </w:tcPr>
          <w:p w14:paraId="7C4C4C72" w14:textId="77777777" w:rsidR="00C94BDA" w:rsidRPr="00CE54B4" w:rsidRDefault="00C94BDA" w:rsidP="00B07FF1">
            <w:pPr>
              <w:keepNext/>
              <w:keepLines/>
              <w:spacing w:before="40" w:line="264" w:lineRule="auto"/>
              <w:outlineLvl w:val="2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94BDA" w:rsidRPr="00CE54B4" w14:paraId="2EA03271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0A81BF9A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1. Course objectives</w:t>
            </w:r>
          </w:p>
        </w:tc>
      </w:tr>
      <w:tr w:rsidR="00C94BDA" w:rsidRPr="00CE54B4" w14:paraId="0AE9D9FA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52BBD511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The main objective of the subject is to understand the basic competences to have a responsibility position in a hospitality company or institution and innovate when facing challenges in a globalised, complex and changing environment. This subject includes topics, such as: the aim and importance of strategic management, business-level strategies, the main elements of corporate strategy, etc. A holistic approach is adopted to understand the strategy content, contexts and processes.</w:t>
            </w:r>
          </w:p>
        </w:tc>
      </w:tr>
      <w:tr w:rsidR="00C94BDA" w:rsidRPr="00CE54B4" w14:paraId="0AE2695B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tcBorders>
              <w:bottom w:val="single" w:sz="6" w:space="0" w:color="0000FF"/>
            </w:tcBorders>
            <w:vAlign w:val="center"/>
          </w:tcPr>
          <w:p w14:paraId="485BF568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2. Course enrolment requirements</w:t>
            </w:r>
          </w:p>
        </w:tc>
      </w:tr>
      <w:tr w:rsidR="00C94BDA" w:rsidRPr="00CE54B4" w14:paraId="67B73D51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2AF081FB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  <w:t>None.</w:t>
            </w:r>
          </w:p>
        </w:tc>
      </w:tr>
      <w:tr w:rsidR="00C94BDA" w:rsidRPr="00CE54B4" w14:paraId="66F09EB6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7BB84309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  <w:t>3. Expected learning outcomes</w:t>
            </w:r>
          </w:p>
        </w:tc>
      </w:tr>
      <w:tr w:rsidR="00C94BDA" w:rsidRPr="00CE54B4" w14:paraId="09264E71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3805A26E" w14:textId="77777777" w:rsidR="00C94BDA" w:rsidRPr="00CE54B4" w:rsidRDefault="00C94BDA" w:rsidP="00C94BDA">
            <w:pPr>
              <w:numPr>
                <w:ilvl w:val="0"/>
                <w:numId w:val="13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Prepare documents and be able to communicate them orally or in writing in English and using the latest technologies available.</w:t>
            </w:r>
          </w:p>
          <w:p w14:paraId="4B352888" w14:textId="77777777" w:rsidR="00C94BDA" w:rsidRPr="00CE54B4" w:rsidRDefault="00C94BDA" w:rsidP="00C94BDA">
            <w:pPr>
              <w:numPr>
                <w:ilvl w:val="0"/>
                <w:numId w:val="13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Adapt the use and selection of information and communication technology innovations to the field of work and research objectives.</w:t>
            </w:r>
          </w:p>
          <w:p w14:paraId="5160C9B0" w14:textId="77777777" w:rsidR="00C94BDA" w:rsidRPr="00CE54B4" w:rsidRDefault="00C94BDA" w:rsidP="00C94BDA">
            <w:pPr>
              <w:numPr>
                <w:ilvl w:val="0"/>
                <w:numId w:val="13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Use the necessary and specific tools to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analyze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the tourist reality and its context.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ab/>
              <w:t>.</w:t>
            </w:r>
          </w:p>
        </w:tc>
      </w:tr>
      <w:tr w:rsidR="00C94BDA" w:rsidRPr="00CE54B4" w14:paraId="022A3546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1D9BEEF0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4. Course content </w:t>
            </w:r>
          </w:p>
        </w:tc>
      </w:tr>
      <w:tr w:rsidR="00C94BDA" w:rsidRPr="00CE54B4" w14:paraId="389AF19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84A67DE" w14:textId="77777777" w:rsidR="00C94BDA" w:rsidRPr="00CE54B4" w:rsidRDefault="00C94BDA" w:rsidP="00B07FF1">
            <w:pPr>
              <w:spacing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1. Importance and relevance of strategic management </w:t>
            </w:r>
          </w:p>
          <w:p w14:paraId="497F7449" w14:textId="77777777" w:rsidR="00C94BDA" w:rsidRPr="00CE54B4" w:rsidRDefault="00C94BDA" w:rsidP="00B07FF1">
            <w:pPr>
              <w:spacing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2. H&amp;T context and evaluate characteristics and types of H&amp;T organizations. </w:t>
            </w:r>
          </w:p>
          <w:p w14:paraId="399CEDAF" w14:textId="77777777" w:rsidR="00C94BDA" w:rsidRPr="00CE54B4" w:rsidRDefault="00C94BDA" w:rsidP="00B07FF1">
            <w:pPr>
              <w:spacing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3. Influence of an organization’s internal environment on strategy formation and implementation. </w:t>
            </w:r>
          </w:p>
          <w:p w14:paraId="54573242" w14:textId="77777777" w:rsidR="00C94BDA" w:rsidRPr="00CE54B4" w:rsidRDefault="00C94BDA" w:rsidP="00B07FF1">
            <w:pPr>
              <w:spacing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4. Business-level strategies that are critical for a firm’s success in its product-service market domains. </w:t>
            </w:r>
          </w:p>
          <w:p w14:paraId="302FE618" w14:textId="77777777" w:rsidR="00C94BDA" w:rsidRPr="00CE54B4" w:rsidRDefault="00C94BDA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5. Corporate strategy and its main elements in H&amp;T organizations. It discusses how different corporate strategies could add value internationally. </w:t>
            </w:r>
          </w:p>
        </w:tc>
      </w:tr>
      <w:tr w:rsidR="00C94BDA" w:rsidRPr="00CE54B4" w14:paraId="346D3F6E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2B32597D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5. Manner of instruction </w:t>
            </w:r>
          </w:p>
        </w:tc>
        <w:tc>
          <w:tcPr>
            <w:tcW w:w="3139" w:type="dxa"/>
            <w:gridSpan w:val="3"/>
            <w:vAlign w:val="center"/>
          </w:tcPr>
          <w:p w14:paraId="459FD605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lectures</w:t>
            </w:r>
          </w:p>
          <w:p w14:paraId="1FE24DD8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seminars and workshops </w:t>
            </w:r>
          </w:p>
          <w:p w14:paraId="47D10AA5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exercises </w:t>
            </w:r>
          </w:p>
          <w:p w14:paraId="3992381B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distance learning</w:t>
            </w:r>
          </w:p>
          <w:p w14:paraId="397F2752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fieldwork</w:t>
            </w:r>
          </w:p>
        </w:tc>
        <w:tc>
          <w:tcPr>
            <w:tcW w:w="3725" w:type="dxa"/>
            <w:gridSpan w:val="6"/>
            <w:vAlign w:val="center"/>
          </w:tcPr>
          <w:p w14:paraId="5E144184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individual assignments</w:t>
            </w:r>
          </w:p>
          <w:p w14:paraId="4A223ECB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multimedia and network  </w:t>
            </w:r>
          </w:p>
          <w:p w14:paraId="1ECFC36C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laboratories</w:t>
            </w:r>
          </w:p>
          <w:p w14:paraId="2388B943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mentorship</w:t>
            </w:r>
          </w:p>
          <w:p w14:paraId="4F380D90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other Case study</w:t>
            </w:r>
          </w:p>
        </w:tc>
      </w:tr>
      <w:tr w:rsidR="00C94BDA" w:rsidRPr="00CE54B4" w14:paraId="689FF90E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5E272AF0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>6. Comments</w:t>
            </w:r>
          </w:p>
        </w:tc>
        <w:tc>
          <w:tcPr>
            <w:tcW w:w="6864" w:type="dxa"/>
            <w:gridSpan w:val="9"/>
            <w:vAlign w:val="center"/>
          </w:tcPr>
          <w:p w14:paraId="1FA71A12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t>-</w:t>
            </w:r>
          </w:p>
        </w:tc>
      </w:tr>
      <w:tr w:rsidR="00C94BDA" w:rsidRPr="00CE54B4" w14:paraId="341885CC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C228A17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7. Student responsibilities </w:t>
            </w:r>
          </w:p>
        </w:tc>
      </w:tr>
      <w:tr w:rsidR="00C94BDA" w:rsidRPr="00CE54B4" w14:paraId="285047B1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BD1BD1A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Independent work and group work, attend classes</w:t>
            </w:r>
          </w:p>
        </w:tc>
      </w:tr>
      <w:tr w:rsidR="00C94BDA" w:rsidRPr="00CE54B4" w14:paraId="33C564C1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ADB2273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  <w:t>8. Monitoring of student work</w:t>
            </w:r>
          </w:p>
        </w:tc>
      </w:tr>
      <w:tr w:rsidR="00C94BDA" w:rsidRPr="00D620AD" w14:paraId="1096D3E5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36B704D3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Class attendance</w:t>
            </w:r>
          </w:p>
        </w:tc>
        <w:tc>
          <w:tcPr>
            <w:tcW w:w="631" w:type="dxa"/>
            <w:vAlign w:val="center"/>
          </w:tcPr>
          <w:p w14:paraId="2640DBC9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779" w:type="dxa"/>
            <w:gridSpan w:val="3"/>
            <w:vAlign w:val="center"/>
          </w:tcPr>
          <w:p w14:paraId="213C6C4A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  <w:t>Class participation</w:t>
            </w:r>
          </w:p>
        </w:tc>
        <w:tc>
          <w:tcPr>
            <w:tcW w:w="623" w:type="dxa"/>
            <w:vAlign w:val="center"/>
          </w:tcPr>
          <w:p w14:paraId="26130430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2946CD8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  <w:t>Seminar paper</w:t>
            </w:r>
          </w:p>
        </w:tc>
        <w:tc>
          <w:tcPr>
            <w:tcW w:w="614" w:type="dxa"/>
            <w:gridSpan w:val="2"/>
            <w:vAlign w:val="center"/>
          </w:tcPr>
          <w:p w14:paraId="53207847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FB32585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Experimental work</w:t>
            </w:r>
          </w:p>
        </w:tc>
        <w:tc>
          <w:tcPr>
            <w:tcW w:w="610" w:type="dxa"/>
            <w:vAlign w:val="center"/>
          </w:tcPr>
          <w:p w14:paraId="36B31E1B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C94BDA" w:rsidRPr="00D620AD" w14:paraId="2BBE3107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054BA2C1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Written exam</w:t>
            </w:r>
          </w:p>
        </w:tc>
        <w:tc>
          <w:tcPr>
            <w:tcW w:w="631" w:type="dxa"/>
            <w:vAlign w:val="center"/>
          </w:tcPr>
          <w:p w14:paraId="41AF802F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  <w:t>0,5</w:t>
            </w:r>
          </w:p>
        </w:tc>
        <w:tc>
          <w:tcPr>
            <w:tcW w:w="1779" w:type="dxa"/>
            <w:gridSpan w:val="3"/>
            <w:vAlign w:val="center"/>
          </w:tcPr>
          <w:p w14:paraId="04D55C27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  <w:t>Oral exam</w:t>
            </w:r>
          </w:p>
        </w:tc>
        <w:tc>
          <w:tcPr>
            <w:tcW w:w="623" w:type="dxa"/>
            <w:vAlign w:val="center"/>
          </w:tcPr>
          <w:p w14:paraId="083CE5D1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3492565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  <w:t>Essay</w:t>
            </w:r>
          </w:p>
        </w:tc>
        <w:tc>
          <w:tcPr>
            <w:tcW w:w="614" w:type="dxa"/>
            <w:gridSpan w:val="2"/>
            <w:vAlign w:val="center"/>
          </w:tcPr>
          <w:p w14:paraId="482C5C72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  <w:t>0,5</w:t>
            </w:r>
          </w:p>
        </w:tc>
        <w:tc>
          <w:tcPr>
            <w:tcW w:w="1795" w:type="dxa"/>
            <w:gridSpan w:val="2"/>
            <w:vAlign w:val="center"/>
          </w:tcPr>
          <w:p w14:paraId="68E36990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Research</w:t>
            </w:r>
          </w:p>
        </w:tc>
        <w:tc>
          <w:tcPr>
            <w:tcW w:w="610" w:type="dxa"/>
            <w:vAlign w:val="center"/>
          </w:tcPr>
          <w:p w14:paraId="7755A595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C94BDA" w:rsidRPr="00D620AD" w14:paraId="74ED1249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3A6BA299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Project</w:t>
            </w:r>
          </w:p>
        </w:tc>
        <w:tc>
          <w:tcPr>
            <w:tcW w:w="631" w:type="dxa"/>
            <w:vAlign w:val="center"/>
          </w:tcPr>
          <w:p w14:paraId="4E49A53E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7A55174F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  <w:t>Continuous assessment</w:t>
            </w:r>
          </w:p>
        </w:tc>
        <w:tc>
          <w:tcPr>
            <w:tcW w:w="623" w:type="dxa"/>
            <w:vAlign w:val="center"/>
          </w:tcPr>
          <w:p w14:paraId="2D6C1F19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  <w:t>0,6</w:t>
            </w:r>
          </w:p>
        </w:tc>
        <w:tc>
          <w:tcPr>
            <w:tcW w:w="1787" w:type="dxa"/>
            <w:gridSpan w:val="2"/>
            <w:vAlign w:val="center"/>
          </w:tcPr>
          <w:p w14:paraId="27F1BD0D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  <w:t>Report</w:t>
            </w:r>
          </w:p>
        </w:tc>
        <w:tc>
          <w:tcPr>
            <w:tcW w:w="614" w:type="dxa"/>
            <w:gridSpan w:val="2"/>
            <w:vAlign w:val="center"/>
          </w:tcPr>
          <w:p w14:paraId="7FEE73AF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9D90A37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Practical work</w:t>
            </w:r>
          </w:p>
        </w:tc>
        <w:tc>
          <w:tcPr>
            <w:tcW w:w="610" w:type="dxa"/>
            <w:vAlign w:val="center"/>
          </w:tcPr>
          <w:p w14:paraId="1669D3BF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C94BDA" w:rsidRPr="00D620AD" w14:paraId="7B54F0A4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45E37ACC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Portfolio</w:t>
            </w:r>
          </w:p>
        </w:tc>
        <w:tc>
          <w:tcPr>
            <w:tcW w:w="631" w:type="dxa"/>
            <w:vAlign w:val="center"/>
          </w:tcPr>
          <w:p w14:paraId="42EABCC0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4257E705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sz w:val="16"/>
                <w:szCs w:val="16"/>
                <w:lang w:val="en-GB" w:eastAsia="en-US"/>
              </w:rPr>
              <w:t>Case study</w:t>
            </w:r>
          </w:p>
        </w:tc>
        <w:tc>
          <w:tcPr>
            <w:tcW w:w="623" w:type="dxa"/>
            <w:vAlign w:val="center"/>
          </w:tcPr>
          <w:p w14:paraId="4146796B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  <w:t>0,4</w:t>
            </w:r>
          </w:p>
        </w:tc>
        <w:tc>
          <w:tcPr>
            <w:tcW w:w="1787" w:type="dxa"/>
            <w:gridSpan w:val="2"/>
            <w:vAlign w:val="center"/>
          </w:tcPr>
          <w:p w14:paraId="47ACC61A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4A38B12E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BF21477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610" w:type="dxa"/>
            <w:vAlign w:val="center"/>
          </w:tcPr>
          <w:p w14:paraId="11080282" w14:textId="77777777" w:rsidR="00C94BDA" w:rsidRPr="00D620AD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C94BDA" w:rsidRPr="00CE54B4" w14:paraId="26BFFE9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04A0C55C" w14:textId="77777777" w:rsidR="00C94BDA" w:rsidRPr="00CE54B4" w:rsidRDefault="00C94BDA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  <w:t>9.Assessment of learning outcomes in class and at the final exam (procedure and examples)</w:t>
            </w:r>
          </w:p>
        </w:tc>
      </w:tr>
      <w:tr w:rsidR="00C94BDA" w:rsidRPr="00CE54B4" w14:paraId="6E346A05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E979C9C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shd w:val="clear" w:color="auto" w:fill="FFFFFF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shd w:val="clear" w:color="auto" w:fill="FFFFFF"/>
                <w:lang w:val="en-GB" w:eastAsia="en-US"/>
              </w:rPr>
              <w:t>The assessment of the student will be based on the following criteria:</w:t>
            </w:r>
          </w:p>
          <w:p w14:paraId="095FE2C5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shd w:val="clear" w:color="auto" w:fill="FFFFFF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shd w:val="clear" w:color="auto" w:fill="FFFFFF"/>
                <w:lang w:val="en-GB" w:eastAsia="en-US"/>
              </w:rPr>
              <w:t>1.- Presentations of different assignments and papers related with the foreseen topics: 35% of the grade</w:t>
            </w:r>
          </w:p>
          <w:p w14:paraId="3E8B47BA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shd w:val="clear" w:color="auto" w:fill="FFFFFF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shd w:val="clear" w:color="auto" w:fill="FFFFFF"/>
                <w:lang w:val="en-GB" w:eastAsia="en-US"/>
              </w:rPr>
              <w:t>2 In class or virtual presentation of the project / final work: 30% of the grade</w:t>
            </w:r>
          </w:p>
          <w:p w14:paraId="004B9233" w14:textId="77777777" w:rsidR="00C94BDA" w:rsidRPr="00CE54B4" w:rsidRDefault="00C94BDA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shd w:val="clear" w:color="auto" w:fill="FFFFFF"/>
                <w:lang w:val="en-GB" w:eastAsia="en-US"/>
              </w:rPr>
              <w:t>3.- Final Project paper / Group work: 35% of the grade. </w:t>
            </w:r>
          </w:p>
        </w:tc>
      </w:tr>
      <w:tr w:rsidR="00C94BDA" w:rsidRPr="00CE54B4" w14:paraId="447D8D6C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6BD42432" w14:textId="77777777" w:rsidR="00C94BDA" w:rsidRPr="00CE54B4" w:rsidRDefault="00C94BDA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10. Mandatory literature (at the time of submission of study programme proposal)  </w:t>
            </w:r>
          </w:p>
        </w:tc>
      </w:tr>
      <w:tr w:rsidR="00C94BDA" w:rsidRPr="00CE54B4" w14:paraId="3343F572" w14:textId="77777777" w:rsidTr="00B07FF1">
        <w:trPr>
          <w:gridAfter w:val="1"/>
          <w:wAfter w:w="10" w:type="dxa"/>
          <w:trHeight w:val="2665"/>
          <w:jc w:val="center"/>
        </w:trPr>
        <w:tc>
          <w:tcPr>
            <w:tcW w:w="9608" w:type="dxa"/>
            <w:gridSpan w:val="13"/>
            <w:vAlign w:val="center"/>
          </w:tcPr>
          <w:p w14:paraId="1FA73A6F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Juan Ramon Mestres Soler (2003). (2003).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 xml:space="preserve">Técnicas de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gestion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 xml:space="preserve"> y dirección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hotelera .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Gestin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 2000 SA.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Catàleg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.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Gestin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2000 SA</w:t>
            </w:r>
            <w:proofErr w:type="gram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.</w:t>
            </w:r>
            <w:proofErr w:type="gramEnd"/>
          </w:p>
          <w:p w14:paraId="6D7971C3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Jesus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 Felipe Gallego (2011).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Gestión de Hoteles 1era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.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Parafino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</w:t>
            </w:r>
          </w:p>
          <w:p w14:paraId="670E43F1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Lluis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Mesalles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 Canals (2010).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Hotel Control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Laertes.</w:t>
            </w:r>
          </w:p>
          <w:p w14:paraId="2951695E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Kasavana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&amp; Brooks (1998).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Managing front office Operations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Educational Institute American Hotel &amp; Motel Association. .</w:t>
            </w:r>
            <w:hyperlink r:id="rId7" w:tgtFrame="_blank" w:history="1"/>
          </w:p>
        </w:tc>
      </w:tr>
      <w:tr w:rsidR="00C94BDA" w:rsidRPr="00CE54B4" w14:paraId="19BEAC8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12BD607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11. Optional/additional literature (at the time of submission of the study programme proposal) </w:t>
            </w:r>
          </w:p>
        </w:tc>
      </w:tr>
      <w:tr w:rsidR="00C94BDA" w:rsidRPr="00CE54B4" w14:paraId="4EF90DE7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2EE672D" w14:textId="77777777" w:rsidR="00C94BDA" w:rsidRPr="00CE54B4" w:rsidRDefault="00C94BDA" w:rsidP="00C94BDA">
            <w:pPr>
              <w:numPr>
                <w:ilvl w:val="0"/>
                <w:numId w:val="9"/>
              </w:numPr>
              <w:spacing w:after="120" w:line="264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DAVID K. H AYES &amp; ALLISHA A. MILLER. (2011).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Revenue Management for the Hospitality Industry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John Wiley &amp; Sons, Inc..</w:t>
            </w:r>
          </w:p>
        </w:tc>
      </w:tr>
      <w:tr w:rsidR="00C94BDA" w:rsidRPr="00CE54B4" w14:paraId="18D7A3EE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397279E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 xml:space="preserve">12. Number of assigned reading copies in relation to the number of students currently attending the course </w:t>
            </w:r>
          </w:p>
        </w:tc>
      </w:tr>
      <w:tr w:rsidR="00C94BDA" w:rsidRPr="00CE54B4" w14:paraId="5D42AE18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7016" w:type="dxa"/>
            <w:gridSpan w:val="9"/>
            <w:vAlign w:val="center"/>
          </w:tcPr>
          <w:p w14:paraId="23B89889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1276" w:type="dxa"/>
            <w:gridSpan w:val="2"/>
            <w:vAlign w:val="center"/>
          </w:tcPr>
          <w:p w14:paraId="7BC086A6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copies</w:t>
            </w:r>
          </w:p>
        </w:tc>
        <w:tc>
          <w:tcPr>
            <w:tcW w:w="1316" w:type="dxa"/>
            <w:gridSpan w:val="2"/>
            <w:vAlign w:val="center"/>
          </w:tcPr>
          <w:p w14:paraId="23FA8811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students</w:t>
            </w:r>
          </w:p>
        </w:tc>
      </w:tr>
      <w:tr w:rsidR="00C94BDA" w:rsidRPr="00D620AD" w14:paraId="3F9BB8C6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621DB837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Juan Ramon Mestres Soler (2003). (2003).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 xml:space="preserve">Técnicas de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gestion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 xml:space="preserve"> y dirección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hotelera .</w:t>
            </w:r>
            <w:proofErr w:type="gramEnd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Gestin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 2000 SA.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Catàleg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.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Gestin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2000 SA</w:t>
            </w:r>
            <w:proofErr w:type="gram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.</w:t>
            </w:r>
            <w:proofErr w:type="gram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29310C98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59BCEB4C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C94BDA" w:rsidRPr="00D620AD" w14:paraId="03AF4F38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</w:tcPr>
          <w:p w14:paraId="540C4890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Jesus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 Felipe Gallego (2011).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Gestión de Hoteles 1era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.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Parafino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7648A4D6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5BE88E7E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C94BDA" w:rsidRPr="00D620AD" w14:paraId="12540EF1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</w:tcPr>
          <w:p w14:paraId="777EC9D8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Lluis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>Mesalles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 Canals (2010).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s-ES" w:eastAsia="en-US"/>
              </w:rPr>
              <w:t>Hotel Control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  <w:t xml:space="preserve">. 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Laertes.</w:t>
            </w:r>
          </w:p>
        </w:tc>
        <w:tc>
          <w:tcPr>
            <w:tcW w:w="1276" w:type="dxa"/>
            <w:gridSpan w:val="2"/>
            <w:vAlign w:val="center"/>
          </w:tcPr>
          <w:p w14:paraId="56124DA4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17397541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C94BDA" w:rsidRPr="00D620AD" w14:paraId="4B88198A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</w:tcPr>
          <w:p w14:paraId="3DCDDC3D" w14:textId="77777777" w:rsidR="00C94BDA" w:rsidRPr="00CE54B4" w:rsidRDefault="00C94BDA" w:rsidP="00C94B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s-ES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Kasavana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&amp; Brooks (1998).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Managing front office Operations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Educational Institute American Hotel &amp; Motel Association. .</w:t>
            </w:r>
          </w:p>
        </w:tc>
        <w:tc>
          <w:tcPr>
            <w:tcW w:w="1276" w:type="dxa"/>
            <w:gridSpan w:val="2"/>
            <w:vAlign w:val="center"/>
          </w:tcPr>
          <w:p w14:paraId="1D86DBD7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59AC8C1D" w14:textId="77777777" w:rsidR="00C94BDA" w:rsidRPr="00D620AD" w:rsidRDefault="00C94BDA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C94BDA" w:rsidRPr="00CE54B4" w14:paraId="5EE057F5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3F489747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13. Quality monitoring methods that ensure the acquisition of exit knowledge, skills and competences</w:t>
            </w:r>
          </w:p>
        </w:tc>
      </w:tr>
      <w:tr w:rsidR="00C94BDA" w:rsidRPr="00CE54B4" w14:paraId="5FCE050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F9B31B0" w14:textId="77777777" w:rsidR="00C94BDA" w:rsidRPr="00CE54B4" w:rsidRDefault="00C94BDA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The quality of the programme and the performance of the teaching process will be evaluated in accordance with the general act of University of </w:t>
            </w:r>
            <w:proofErr w:type="gramStart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Girona  and</w:t>
            </w:r>
            <w:proofErr w:type="gramEnd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 quality assessment procedure of Master of Sustainable Outdoor Hospitality Management.</w:t>
            </w:r>
          </w:p>
        </w:tc>
      </w:tr>
    </w:tbl>
    <w:p w14:paraId="3D1E2E05" w14:textId="77777777" w:rsidR="00AB0EF0" w:rsidRDefault="00AB0EF0"/>
    <w:sectPr w:rsidR="00AB0EF0" w:rsidSect="006E1A69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6AAF" w14:textId="77777777" w:rsidR="00213BD7" w:rsidRDefault="00213BD7" w:rsidP="0056274A">
      <w:r>
        <w:separator/>
      </w:r>
    </w:p>
  </w:endnote>
  <w:endnote w:type="continuationSeparator" w:id="0">
    <w:p w14:paraId="435E7A19" w14:textId="77777777" w:rsidR="00213BD7" w:rsidRDefault="00213BD7" w:rsidP="0056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265F" w14:textId="77777777" w:rsidR="00213BD7" w:rsidRDefault="00213BD7" w:rsidP="0056274A">
      <w:r>
        <w:separator/>
      </w:r>
    </w:p>
  </w:footnote>
  <w:footnote w:type="continuationSeparator" w:id="0">
    <w:p w14:paraId="67EA5C6B" w14:textId="77777777" w:rsidR="00213BD7" w:rsidRDefault="00213BD7" w:rsidP="0056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D65" w14:textId="77777777" w:rsidR="0056274A" w:rsidRDefault="0056274A" w:rsidP="0056274A">
    <w:pPr>
      <w:pStyle w:val="Zaglavlje"/>
    </w:pPr>
  </w:p>
  <w:tbl>
    <w:tblPr>
      <w:tblW w:w="0" w:type="auto"/>
      <w:tblLook w:val="04A0" w:firstRow="1" w:lastRow="0" w:firstColumn="1" w:lastColumn="0" w:noHBand="0" w:noVBand="1"/>
    </w:tblPr>
    <w:tblGrid>
      <w:gridCol w:w="4704"/>
      <w:gridCol w:w="4702"/>
    </w:tblGrid>
    <w:tr w:rsidR="0056274A" w:rsidRPr="00E85EDF" w14:paraId="2E531F8D" w14:textId="77777777" w:rsidTr="00B07FF1">
      <w:tc>
        <w:tcPr>
          <w:tcW w:w="4984" w:type="dxa"/>
          <w:shd w:val="clear" w:color="auto" w:fill="auto"/>
        </w:tcPr>
        <w:p w14:paraId="27981559" w14:textId="46B8CE14" w:rsidR="0056274A" w:rsidRPr="00E85EDF" w:rsidRDefault="0056274A" w:rsidP="0056274A">
          <w:pPr>
            <w:tabs>
              <w:tab w:val="center" w:pos="4320"/>
              <w:tab w:val="right" w:pos="8640"/>
            </w:tabs>
          </w:pPr>
          <w:r w:rsidRPr="00E85EDF">
            <w:rPr>
              <w:noProof/>
            </w:rPr>
            <w:drawing>
              <wp:inline distT="0" distB="0" distL="0" distR="0" wp14:anchorId="12DB3AC5" wp14:editId="7E34B2B5">
                <wp:extent cx="727710" cy="720090"/>
                <wp:effectExtent l="0" t="0" r="0" b="381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</w:tcPr>
        <w:p w14:paraId="1077C004" w14:textId="77777777" w:rsidR="0056274A" w:rsidRPr="00E85EDF" w:rsidRDefault="0056274A" w:rsidP="0056274A">
          <w:pPr>
            <w:spacing w:after="80"/>
            <w:jc w:val="right"/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</w:pPr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Sveučilište u Rijeci • University </w:t>
          </w:r>
          <w:proofErr w:type="spellStart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>of</w:t>
          </w:r>
          <w:proofErr w:type="spellEnd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 Rijeka</w:t>
          </w:r>
        </w:p>
        <w:p w14:paraId="5D0E1445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Trg braće Mažuranića 10 • 51 000 Rijeka • Croatia</w:t>
          </w:r>
        </w:p>
        <w:p w14:paraId="002C8B77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T: +385 (0)51 406 500 • F: +385 (0)51 406 588</w:t>
          </w:r>
        </w:p>
        <w:p w14:paraId="47EEF307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W: www.uniri.hr</w:t>
          </w:r>
        </w:p>
        <w:p w14:paraId="34EE201F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E: ured@uniri.hr</w:t>
          </w:r>
        </w:p>
      </w:tc>
    </w:tr>
  </w:tbl>
  <w:p w14:paraId="420B6EB7" w14:textId="77777777" w:rsidR="0056274A" w:rsidRPr="0056274A" w:rsidRDefault="0056274A" w:rsidP="005627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74C"/>
    <w:multiLevelType w:val="multilevel"/>
    <w:tmpl w:val="F15AC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F47C4"/>
    <w:multiLevelType w:val="hybridMultilevel"/>
    <w:tmpl w:val="E62E2C68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7EAA"/>
    <w:multiLevelType w:val="hybridMultilevel"/>
    <w:tmpl w:val="0D62D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C5AD3"/>
    <w:multiLevelType w:val="hybridMultilevel"/>
    <w:tmpl w:val="D97E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5796"/>
    <w:multiLevelType w:val="hybridMultilevel"/>
    <w:tmpl w:val="C652CAC0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60E5"/>
    <w:multiLevelType w:val="multilevel"/>
    <w:tmpl w:val="E9FE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A7F63"/>
    <w:multiLevelType w:val="hybridMultilevel"/>
    <w:tmpl w:val="9D9A8A10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6D87"/>
    <w:multiLevelType w:val="hybridMultilevel"/>
    <w:tmpl w:val="8E8E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48FC"/>
    <w:multiLevelType w:val="hybridMultilevel"/>
    <w:tmpl w:val="638EA042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5F95"/>
    <w:multiLevelType w:val="multilevel"/>
    <w:tmpl w:val="5C2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F42F1"/>
    <w:multiLevelType w:val="multilevel"/>
    <w:tmpl w:val="AAF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84D37"/>
    <w:multiLevelType w:val="hybridMultilevel"/>
    <w:tmpl w:val="1688AC76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68CE"/>
    <w:multiLevelType w:val="hybridMultilevel"/>
    <w:tmpl w:val="ABC64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4A"/>
    <w:rsid w:val="0017055B"/>
    <w:rsid w:val="00213BD7"/>
    <w:rsid w:val="004F78D9"/>
    <w:rsid w:val="0056274A"/>
    <w:rsid w:val="0056302C"/>
    <w:rsid w:val="005F5CA8"/>
    <w:rsid w:val="006E1A69"/>
    <w:rsid w:val="007E2CB8"/>
    <w:rsid w:val="00AB0EF0"/>
    <w:rsid w:val="00BB799E"/>
    <w:rsid w:val="00BE08D2"/>
    <w:rsid w:val="00C94BDA"/>
    <w:rsid w:val="00C97247"/>
    <w:rsid w:val="00D374C1"/>
    <w:rsid w:val="00E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F60C"/>
  <w15:chartTrackingRefBased/>
  <w15:docId w15:val="{8FFC898B-56BD-4307-B81B-7200A28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covery.udg.edu/iii/encore/record/C__Rb1114051?lang=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Lasinger Silađev</dc:creator>
  <cp:keywords/>
  <dc:description/>
  <cp:lastModifiedBy>Jasna Lasinger Silađev</cp:lastModifiedBy>
  <cp:revision>2</cp:revision>
  <dcterms:created xsi:type="dcterms:W3CDTF">2024-08-30T11:55:00Z</dcterms:created>
  <dcterms:modified xsi:type="dcterms:W3CDTF">2024-08-30T11:55:00Z</dcterms:modified>
</cp:coreProperties>
</file>