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theme/themeOverride3.xml" ContentType="application/vnd.openxmlformats-officedocument.themeOverride+xml"/>
  <Override PartName="/word/charts/chart3.xml" ContentType="application/vnd.openxmlformats-officedocument.drawingml.chart+xml"/>
  <Override PartName="/word/theme/themeOverride4.xml" ContentType="application/vnd.openxmlformats-officedocument.themeOverride+xml"/>
  <Override PartName="/word/charts/chart4.xml" ContentType="application/vnd.openxmlformats-officedocument.drawingml.chart+xml"/>
  <Override PartName="/word/theme/themeOverride5.xml" ContentType="application/vnd.openxmlformats-officedocument.themeOverride+xml"/>
  <Override PartName="/word/charts/chart5.xml" ContentType="application/vnd.openxmlformats-officedocument.drawingml.chart+xml"/>
  <Override PartName="/word/theme/themeOverride6.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6.xml" ContentType="application/vnd.openxmlformats-officedocument.drawingml.chart+xml"/>
  <Override PartName="/word/theme/themeOverride7.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9F603" w14:textId="77777777" w:rsidR="001047B2" w:rsidRPr="00BE5472" w:rsidRDefault="001047B2" w:rsidP="009E38CE">
      <w:pPr>
        <w:spacing w:line="360" w:lineRule="auto"/>
        <w:jc w:val="center"/>
        <w:rPr>
          <w:rFonts w:ascii="Times New Roman" w:hAnsi="Times New Roman" w:cs="Times New Roman"/>
          <w:b/>
          <w:sz w:val="28"/>
          <w:szCs w:val="28"/>
        </w:rPr>
      </w:pPr>
      <w:bookmarkStart w:id="0" w:name="_Hlk210223192"/>
    </w:p>
    <w:p w14:paraId="0BE53385" w14:textId="3CFC8A14" w:rsidR="009E38CE" w:rsidRPr="00BE5472" w:rsidRDefault="009E38CE" w:rsidP="009E38CE">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SVEUČILIŠTE U RIJECI</w:t>
      </w:r>
    </w:p>
    <w:p w14:paraId="4040BC1D" w14:textId="72FE1D72" w:rsidR="009E38CE" w:rsidRPr="00BE5472" w:rsidRDefault="009E38CE" w:rsidP="009E38CE">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 xml:space="preserve">FAKULTET ZA MENADŽMENT U TURIZMU I UGOSTITELJSTVU </w:t>
      </w:r>
    </w:p>
    <w:p w14:paraId="19BCA06B" w14:textId="7462E20A" w:rsidR="009E38CE" w:rsidRPr="00BE5472" w:rsidRDefault="009E38CE" w:rsidP="009E38CE">
      <w:pPr>
        <w:spacing w:line="360" w:lineRule="auto"/>
        <w:jc w:val="center"/>
        <w:rPr>
          <w:rFonts w:ascii="Times New Roman" w:hAnsi="Times New Roman" w:cs="Times New Roman"/>
          <w:b/>
          <w:sz w:val="28"/>
          <w:szCs w:val="28"/>
        </w:rPr>
      </w:pPr>
    </w:p>
    <w:p w14:paraId="44F10DD8" w14:textId="7D267ACE" w:rsidR="009E38CE" w:rsidRPr="00BE5472" w:rsidRDefault="009E38CE" w:rsidP="009E38CE">
      <w:pPr>
        <w:spacing w:line="360" w:lineRule="auto"/>
        <w:jc w:val="center"/>
        <w:rPr>
          <w:rFonts w:ascii="Times New Roman" w:hAnsi="Times New Roman" w:cs="Times New Roman"/>
          <w:b/>
          <w:sz w:val="28"/>
          <w:szCs w:val="28"/>
        </w:rPr>
      </w:pPr>
    </w:p>
    <w:p w14:paraId="48422832" w14:textId="77777777" w:rsidR="009E38CE" w:rsidRPr="00BE5472" w:rsidRDefault="009E38CE" w:rsidP="009E38CE">
      <w:pPr>
        <w:spacing w:line="360" w:lineRule="auto"/>
        <w:jc w:val="center"/>
        <w:rPr>
          <w:rFonts w:ascii="Times New Roman" w:hAnsi="Times New Roman" w:cs="Times New Roman"/>
          <w:b/>
          <w:sz w:val="28"/>
          <w:szCs w:val="28"/>
        </w:rPr>
      </w:pPr>
    </w:p>
    <w:p w14:paraId="1C49A07E" w14:textId="7EED366F" w:rsidR="009E38CE" w:rsidRPr="00BE5472" w:rsidRDefault="009E38CE" w:rsidP="009E38CE">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Denis Prevolšek, univ. mag. oec.</w:t>
      </w:r>
    </w:p>
    <w:p w14:paraId="6D4E4DA3" w14:textId="7005563B" w:rsidR="009E38CE" w:rsidRPr="00BE5472" w:rsidRDefault="009E38CE" w:rsidP="009E38CE">
      <w:pPr>
        <w:spacing w:line="360" w:lineRule="auto"/>
        <w:jc w:val="center"/>
        <w:rPr>
          <w:rFonts w:ascii="Times New Roman" w:hAnsi="Times New Roman" w:cs="Times New Roman"/>
          <w:b/>
          <w:sz w:val="28"/>
          <w:szCs w:val="28"/>
        </w:rPr>
      </w:pPr>
    </w:p>
    <w:p w14:paraId="17CA048E" w14:textId="3C1D7D73" w:rsidR="009E38CE" w:rsidRPr="00BE5472" w:rsidRDefault="009E38CE" w:rsidP="009E38CE">
      <w:pPr>
        <w:spacing w:line="360" w:lineRule="auto"/>
        <w:jc w:val="center"/>
        <w:rPr>
          <w:rFonts w:ascii="Times New Roman" w:hAnsi="Times New Roman" w:cs="Times New Roman"/>
          <w:b/>
          <w:sz w:val="28"/>
          <w:szCs w:val="28"/>
        </w:rPr>
      </w:pPr>
    </w:p>
    <w:p w14:paraId="0602D108" w14:textId="3C20EB7F" w:rsidR="009E38CE" w:rsidRPr="00BE5472" w:rsidRDefault="009E38CE" w:rsidP="009E38CE">
      <w:pPr>
        <w:spacing w:line="360" w:lineRule="auto"/>
        <w:jc w:val="center"/>
        <w:rPr>
          <w:rFonts w:ascii="Times New Roman" w:hAnsi="Times New Roman" w:cs="Times New Roman"/>
          <w:b/>
          <w:caps/>
          <w:sz w:val="32"/>
          <w:szCs w:val="32"/>
        </w:rPr>
      </w:pPr>
      <w:r w:rsidRPr="00BE5472">
        <w:rPr>
          <w:rFonts w:ascii="Times New Roman" w:hAnsi="Times New Roman" w:cs="Times New Roman"/>
          <w:b/>
          <w:caps/>
          <w:sz w:val="32"/>
          <w:szCs w:val="32"/>
        </w:rPr>
        <w:t xml:space="preserve">Sinergijski učinci procesa spajanja i preuzimanja </w:t>
      </w:r>
      <w:r w:rsidR="007A72EF" w:rsidRPr="00BE5472">
        <w:rPr>
          <w:rFonts w:ascii="Times New Roman" w:hAnsi="Times New Roman" w:cs="Times New Roman"/>
          <w:b/>
          <w:caps/>
          <w:sz w:val="32"/>
          <w:szCs w:val="32"/>
        </w:rPr>
        <w:t xml:space="preserve">U HOTELSKOM </w:t>
      </w:r>
      <w:r w:rsidR="006A1005">
        <w:rPr>
          <w:rFonts w:ascii="Times New Roman" w:hAnsi="Times New Roman" w:cs="Times New Roman"/>
          <w:b/>
          <w:caps/>
          <w:sz w:val="32"/>
          <w:szCs w:val="32"/>
        </w:rPr>
        <w:t>SEKTORU</w:t>
      </w:r>
    </w:p>
    <w:p w14:paraId="7DD7750F" w14:textId="47058764" w:rsidR="009E38CE" w:rsidRPr="00BE5472" w:rsidRDefault="009E38CE" w:rsidP="009E38CE">
      <w:pPr>
        <w:jc w:val="center"/>
        <w:rPr>
          <w:rFonts w:ascii="Times New Roman" w:hAnsi="Times New Roman" w:cs="Times New Roman"/>
          <w:i/>
          <w:sz w:val="24"/>
          <w:szCs w:val="24"/>
        </w:rPr>
      </w:pPr>
      <w:r w:rsidRPr="00BE5472">
        <w:rPr>
          <w:rFonts w:ascii="Times New Roman" w:hAnsi="Times New Roman" w:cs="Times New Roman"/>
          <w:i/>
          <w:sz w:val="24"/>
          <w:szCs w:val="24"/>
        </w:rPr>
        <w:t>DOKTORSK</w:t>
      </w:r>
      <w:r w:rsidR="007711EB" w:rsidRPr="00BE5472">
        <w:rPr>
          <w:rFonts w:ascii="Times New Roman" w:hAnsi="Times New Roman" w:cs="Times New Roman"/>
          <w:i/>
          <w:sz w:val="24"/>
          <w:szCs w:val="24"/>
        </w:rPr>
        <w:t>A DISERTACIJA</w:t>
      </w:r>
    </w:p>
    <w:p w14:paraId="1D476435" w14:textId="56DBF8E1" w:rsidR="009E38CE" w:rsidRPr="00BE5472" w:rsidRDefault="009E38CE" w:rsidP="009E38CE">
      <w:pPr>
        <w:jc w:val="center"/>
        <w:rPr>
          <w:rFonts w:ascii="Times New Roman" w:hAnsi="Times New Roman" w:cs="Times New Roman"/>
          <w:i/>
          <w:sz w:val="24"/>
          <w:szCs w:val="24"/>
        </w:rPr>
      </w:pPr>
    </w:p>
    <w:p w14:paraId="4FE7AF59" w14:textId="063EBA7C" w:rsidR="009E38CE" w:rsidRPr="00BE5472" w:rsidRDefault="009E38CE" w:rsidP="009E38CE">
      <w:pPr>
        <w:jc w:val="center"/>
        <w:rPr>
          <w:rFonts w:ascii="Times New Roman" w:hAnsi="Times New Roman" w:cs="Times New Roman"/>
          <w:i/>
          <w:sz w:val="24"/>
          <w:szCs w:val="24"/>
        </w:rPr>
      </w:pPr>
    </w:p>
    <w:bookmarkEnd w:id="0"/>
    <w:p w14:paraId="2F84CFA9" w14:textId="151F4B1B" w:rsidR="009E38CE" w:rsidRPr="00BE5472" w:rsidRDefault="009E38CE" w:rsidP="009E38CE">
      <w:pPr>
        <w:jc w:val="center"/>
        <w:rPr>
          <w:rFonts w:ascii="Times New Roman" w:hAnsi="Times New Roman" w:cs="Times New Roman"/>
          <w:i/>
          <w:sz w:val="24"/>
          <w:szCs w:val="24"/>
        </w:rPr>
      </w:pPr>
    </w:p>
    <w:p w14:paraId="6C9113F0" w14:textId="14B6C2D2" w:rsidR="009E38CE" w:rsidRPr="00BE5472" w:rsidRDefault="009E38CE" w:rsidP="009E38CE">
      <w:pPr>
        <w:jc w:val="center"/>
        <w:rPr>
          <w:rFonts w:ascii="Times New Roman" w:hAnsi="Times New Roman" w:cs="Times New Roman"/>
          <w:i/>
          <w:sz w:val="24"/>
          <w:szCs w:val="24"/>
        </w:rPr>
      </w:pPr>
    </w:p>
    <w:p w14:paraId="487CD2D3" w14:textId="244F1749" w:rsidR="009E38CE" w:rsidRDefault="009E38CE" w:rsidP="009E38CE">
      <w:pPr>
        <w:jc w:val="center"/>
        <w:rPr>
          <w:rFonts w:ascii="Times New Roman" w:hAnsi="Times New Roman" w:cs="Times New Roman"/>
          <w:i/>
          <w:sz w:val="24"/>
          <w:szCs w:val="24"/>
        </w:rPr>
      </w:pPr>
    </w:p>
    <w:p w14:paraId="093D0717" w14:textId="77777777" w:rsidR="005319AE" w:rsidRPr="00BE5472" w:rsidRDefault="005319AE" w:rsidP="009E38CE">
      <w:pPr>
        <w:jc w:val="center"/>
        <w:rPr>
          <w:rFonts w:ascii="Times New Roman" w:hAnsi="Times New Roman" w:cs="Times New Roman"/>
          <w:i/>
          <w:sz w:val="24"/>
          <w:szCs w:val="24"/>
        </w:rPr>
      </w:pPr>
    </w:p>
    <w:p w14:paraId="48F3F1BC" w14:textId="518D84F9" w:rsidR="005319AE" w:rsidRDefault="005319AE" w:rsidP="009E38CE">
      <w:pPr>
        <w:jc w:val="center"/>
        <w:rPr>
          <w:rFonts w:ascii="Times New Roman" w:hAnsi="Times New Roman" w:cs="Times New Roman"/>
          <w:i/>
          <w:sz w:val="24"/>
          <w:szCs w:val="24"/>
        </w:rPr>
      </w:pPr>
    </w:p>
    <w:p w14:paraId="3D332FD4" w14:textId="77777777" w:rsidR="005319AE" w:rsidRPr="00BE5472" w:rsidRDefault="005319AE" w:rsidP="009E38CE">
      <w:pPr>
        <w:jc w:val="center"/>
        <w:rPr>
          <w:rFonts w:ascii="Times New Roman" w:hAnsi="Times New Roman" w:cs="Times New Roman"/>
          <w:i/>
          <w:sz w:val="24"/>
          <w:szCs w:val="24"/>
        </w:rPr>
      </w:pPr>
    </w:p>
    <w:p w14:paraId="0FCE44FB" w14:textId="1A700505" w:rsidR="009E38CE" w:rsidRDefault="009E38CE" w:rsidP="009E38CE">
      <w:pPr>
        <w:jc w:val="center"/>
        <w:rPr>
          <w:rFonts w:ascii="Times New Roman" w:hAnsi="Times New Roman" w:cs="Times New Roman"/>
          <w:i/>
          <w:sz w:val="24"/>
          <w:szCs w:val="24"/>
        </w:rPr>
      </w:pPr>
    </w:p>
    <w:p w14:paraId="567D41D2" w14:textId="77777777" w:rsidR="003D46C7" w:rsidRPr="00BE5472" w:rsidRDefault="003D46C7" w:rsidP="009E38CE">
      <w:pPr>
        <w:jc w:val="center"/>
        <w:rPr>
          <w:rFonts w:ascii="Times New Roman" w:hAnsi="Times New Roman" w:cs="Times New Roman"/>
          <w:i/>
          <w:sz w:val="24"/>
          <w:szCs w:val="24"/>
        </w:rPr>
      </w:pPr>
    </w:p>
    <w:p w14:paraId="7E500AD9" w14:textId="0B745CB7" w:rsidR="002517C4" w:rsidRPr="00BE5472" w:rsidRDefault="00E2029F" w:rsidP="009E38CE">
      <w:pPr>
        <w:jc w:val="center"/>
        <w:rPr>
          <w:rFonts w:ascii="Times New Roman" w:hAnsi="Times New Roman" w:cs="Times New Roman"/>
          <w:sz w:val="24"/>
          <w:szCs w:val="24"/>
        </w:rPr>
      </w:pPr>
      <w:r w:rsidRPr="00BE5472">
        <w:rPr>
          <w:rFonts w:ascii="Times New Roman" w:hAnsi="Times New Roman" w:cs="Times New Roman"/>
          <w:sz w:val="24"/>
          <w:szCs w:val="24"/>
        </w:rPr>
        <w:t>Opatija</w:t>
      </w:r>
      <w:r w:rsidR="009E38CE" w:rsidRPr="00BE5472">
        <w:rPr>
          <w:rFonts w:ascii="Times New Roman" w:hAnsi="Times New Roman" w:cs="Times New Roman"/>
          <w:sz w:val="24"/>
          <w:szCs w:val="24"/>
        </w:rPr>
        <w:t>, 202</w:t>
      </w:r>
      <w:r w:rsidR="00E94C2A" w:rsidRPr="00BE5472">
        <w:rPr>
          <w:rFonts w:ascii="Times New Roman" w:hAnsi="Times New Roman" w:cs="Times New Roman"/>
          <w:sz w:val="24"/>
          <w:szCs w:val="24"/>
        </w:rPr>
        <w:t>6</w:t>
      </w:r>
      <w:r w:rsidR="001047B2" w:rsidRPr="00BE5472">
        <w:rPr>
          <w:rFonts w:ascii="Times New Roman" w:hAnsi="Times New Roman" w:cs="Times New Roman"/>
          <w:sz w:val="24"/>
          <w:szCs w:val="24"/>
        </w:rPr>
        <w:t>.</w:t>
      </w:r>
    </w:p>
    <w:p w14:paraId="433A1CA4" w14:textId="359D6638" w:rsidR="001047B2" w:rsidRPr="00BE5472" w:rsidRDefault="001047B2" w:rsidP="001047B2">
      <w:pPr>
        <w:rPr>
          <w:rFonts w:ascii="Times New Roman" w:hAnsi="Times New Roman" w:cs="Times New Roman"/>
          <w:sz w:val="24"/>
          <w:szCs w:val="24"/>
        </w:rPr>
        <w:sectPr w:rsidR="001047B2" w:rsidRPr="00BE5472" w:rsidSect="005D19C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NumType w:fmt="upperRoman" w:start="1"/>
          <w:cols w:space="708"/>
          <w:titlePg/>
          <w:docGrid w:linePitch="360"/>
        </w:sectPr>
      </w:pPr>
    </w:p>
    <w:p w14:paraId="6CE0DA21" w14:textId="4C08520D" w:rsidR="00E94C2A" w:rsidRPr="00BE5472" w:rsidRDefault="00E94C2A" w:rsidP="00134C3A">
      <w:pPr>
        <w:rPr>
          <w:rFonts w:ascii="Times New Roman" w:hAnsi="Times New Roman" w:cs="Times New Roman"/>
          <w:sz w:val="24"/>
          <w:szCs w:val="24"/>
        </w:rPr>
        <w:sectPr w:rsidR="00E94C2A" w:rsidRPr="00BE5472" w:rsidSect="005D19CA">
          <w:footerReference w:type="first" r:id="rId14"/>
          <w:pgSz w:w="12240" w:h="15840"/>
          <w:pgMar w:top="1440" w:right="1440" w:bottom="1440" w:left="1440" w:header="708" w:footer="708" w:gutter="0"/>
          <w:pgNumType w:fmt="upperRoman" w:start="1"/>
          <w:cols w:space="708"/>
          <w:titlePg/>
          <w:docGrid w:linePitch="360"/>
        </w:sectPr>
      </w:pPr>
    </w:p>
    <w:p w14:paraId="4D9F7C7F" w14:textId="091D095F" w:rsidR="00190674" w:rsidRPr="00BE5472" w:rsidRDefault="00190674" w:rsidP="00E94C2A">
      <w:pPr>
        <w:rPr>
          <w:rFonts w:ascii="Times New Roman" w:hAnsi="Times New Roman" w:cs="Times New Roman"/>
          <w:sz w:val="24"/>
          <w:szCs w:val="24"/>
        </w:rPr>
        <w:sectPr w:rsidR="00190674" w:rsidRPr="00BE5472" w:rsidSect="00E94C2A">
          <w:type w:val="continuous"/>
          <w:pgSz w:w="12240" w:h="15840"/>
          <w:pgMar w:top="1440" w:right="1440" w:bottom="1440" w:left="1440" w:header="708" w:footer="708" w:gutter="0"/>
          <w:pgNumType w:fmt="upperRoman" w:start="1"/>
          <w:cols w:space="708"/>
          <w:titlePg/>
          <w:docGrid w:linePitch="360"/>
        </w:sectPr>
      </w:pPr>
    </w:p>
    <w:p w14:paraId="74B83AF1" w14:textId="7640ADA3" w:rsidR="00C40D40" w:rsidRPr="00BE5472" w:rsidRDefault="00C40D40" w:rsidP="001047B2">
      <w:pPr>
        <w:jc w:val="center"/>
        <w:rPr>
          <w:rFonts w:ascii="Times New Roman" w:hAnsi="Times New Roman" w:cs="Times New Roman"/>
          <w:sz w:val="24"/>
          <w:szCs w:val="24"/>
        </w:rPr>
      </w:pPr>
      <w:r w:rsidRPr="00BE5472">
        <w:rPr>
          <w:rFonts w:ascii="Times New Roman" w:hAnsi="Times New Roman" w:cs="Times New Roman"/>
          <w:b/>
          <w:sz w:val="28"/>
          <w:szCs w:val="28"/>
        </w:rPr>
        <w:t>SVEUČILIŠTE U RIJECI</w:t>
      </w:r>
    </w:p>
    <w:p w14:paraId="5ABA275C" w14:textId="77777777" w:rsidR="00C40D40" w:rsidRPr="00BE5472" w:rsidRDefault="00C40D40" w:rsidP="00C40D40">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 xml:space="preserve">FAKULTET ZA MENADŽMENT U TURIZMU I UGOSTITELJSTVU </w:t>
      </w:r>
    </w:p>
    <w:p w14:paraId="2E791487" w14:textId="77777777" w:rsidR="00C40D40" w:rsidRPr="00BE5472" w:rsidRDefault="00C40D40" w:rsidP="00C40D40">
      <w:pPr>
        <w:spacing w:line="360" w:lineRule="auto"/>
        <w:jc w:val="center"/>
        <w:rPr>
          <w:rFonts w:ascii="Times New Roman" w:hAnsi="Times New Roman" w:cs="Times New Roman"/>
          <w:b/>
          <w:sz w:val="28"/>
          <w:szCs w:val="28"/>
        </w:rPr>
      </w:pPr>
    </w:p>
    <w:p w14:paraId="7615458C" w14:textId="77777777" w:rsidR="00C40D40" w:rsidRPr="00BE5472" w:rsidRDefault="00C40D40" w:rsidP="00C40D40">
      <w:pPr>
        <w:spacing w:line="360" w:lineRule="auto"/>
        <w:jc w:val="center"/>
        <w:rPr>
          <w:rFonts w:ascii="Times New Roman" w:hAnsi="Times New Roman" w:cs="Times New Roman"/>
          <w:b/>
          <w:sz w:val="28"/>
          <w:szCs w:val="28"/>
        </w:rPr>
      </w:pPr>
    </w:p>
    <w:p w14:paraId="291A0924" w14:textId="77777777" w:rsidR="00C40D40" w:rsidRPr="00BE5472" w:rsidRDefault="00C40D40" w:rsidP="00C40D40">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Denis Prevolšek, univ. mag. oec.</w:t>
      </w:r>
    </w:p>
    <w:p w14:paraId="66DD7887" w14:textId="77777777" w:rsidR="00C40D40" w:rsidRPr="00BE5472" w:rsidRDefault="00C40D40" w:rsidP="00C40D40">
      <w:pPr>
        <w:spacing w:line="360" w:lineRule="auto"/>
        <w:jc w:val="center"/>
        <w:rPr>
          <w:rFonts w:ascii="Times New Roman" w:hAnsi="Times New Roman" w:cs="Times New Roman"/>
          <w:b/>
          <w:sz w:val="28"/>
          <w:szCs w:val="28"/>
        </w:rPr>
      </w:pPr>
    </w:p>
    <w:p w14:paraId="5965B3B3" w14:textId="77777777" w:rsidR="00C40D40" w:rsidRPr="00BE5472" w:rsidRDefault="00C40D40" w:rsidP="00C40D40">
      <w:pPr>
        <w:spacing w:line="360" w:lineRule="auto"/>
        <w:jc w:val="center"/>
        <w:rPr>
          <w:rFonts w:ascii="Times New Roman" w:hAnsi="Times New Roman" w:cs="Times New Roman"/>
          <w:b/>
          <w:sz w:val="28"/>
          <w:szCs w:val="28"/>
        </w:rPr>
      </w:pPr>
    </w:p>
    <w:p w14:paraId="2DABC002" w14:textId="07FFE50C" w:rsidR="00C40D40" w:rsidRPr="00BE5472" w:rsidRDefault="00C40D40" w:rsidP="00C40D40">
      <w:pPr>
        <w:spacing w:line="360" w:lineRule="auto"/>
        <w:jc w:val="center"/>
        <w:rPr>
          <w:rFonts w:ascii="Times New Roman" w:hAnsi="Times New Roman" w:cs="Times New Roman"/>
          <w:b/>
          <w:caps/>
          <w:sz w:val="32"/>
          <w:szCs w:val="32"/>
        </w:rPr>
      </w:pPr>
      <w:r w:rsidRPr="00BE5472">
        <w:rPr>
          <w:rFonts w:ascii="Times New Roman" w:hAnsi="Times New Roman" w:cs="Times New Roman"/>
          <w:b/>
          <w:caps/>
          <w:sz w:val="32"/>
          <w:szCs w:val="32"/>
        </w:rPr>
        <w:t xml:space="preserve">Sinergijski učinci procesa spajanja i preuzimanja </w:t>
      </w:r>
      <w:r w:rsidR="007A72EF" w:rsidRPr="00BE5472">
        <w:rPr>
          <w:rFonts w:ascii="Times New Roman" w:hAnsi="Times New Roman" w:cs="Times New Roman"/>
          <w:b/>
          <w:caps/>
          <w:sz w:val="32"/>
          <w:szCs w:val="32"/>
        </w:rPr>
        <w:t xml:space="preserve">U HOTELSKOM </w:t>
      </w:r>
      <w:r w:rsidR="006A1005">
        <w:rPr>
          <w:rFonts w:ascii="Times New Roman" w:hAnsi="Times New Roman" w:cs="Times New Roman"/>
          <w:b/>
          <w:caps/>
          <w:sz w:val="32"/>
          <w:szCs w:val="32"/>
        </w:rPr>
        <w:t>SEKTORU</w:t>
      </w:r>
    </w:p>
    <w:p w14:paraId="30F1C85F" w14:textId="2DFA0F8B" w:rsidR="00C40D40" w:rsidRPr="00BE5472" w:rsidRDefault="00C40D40" w:rsidP="00C40D40">
      <w:pPr>
        <w:jc w:val="center"/>
        <w:rPr>
          <w:rFonts w:ascii="Times New Roman" w:hAnsi="Times New Roman" w:cs="Times New Roman"/>
          <w:i/>
          <w:sz w:val="24"/>
          <w:szCs w:val="24"/>
        </w:rPr>
      </w:pPr>
      <w:r w:rsidRPr="00BE5472">
        <w:rPr>
          <w:rFonts w:ascii="Times New Roman" w:hAnsi="Times New Roman" w:cs="Times New Roman"/>
          <w:i/>
          <w:sz w:val="24"/>
          <w:szCs w:val="24"/>
        </w:rPr>
        <w:t>DOKTORSK</w:t>
      </w:r>
      <w:r w:rsidR="007711EB" w:rsidRPr="00BE5472">
        <w:rPr>
          <w:rFonts w:ascii="Times New Roman" w:hAnsi="Times New Roman" w:cs="Times New Roman"/>
          <w:i/>
          <w:sz w:val="24"/>
          <w:szCs w:val="24"/>
        </w:rPr>
        <w:t>A DISERTACIJA</w:t>
      </w:r>
    </w:p>
    <w:p w14:paraId="46A0AE77" w14:textId="77777777" w:rsidR="00C40D40" w:rsidRPr="00BE5472" w:rsidRDefault="00C40D40" w:rsidP="00C40D40">
      <w:pPr>
        <w:jc w:val="center"/>
        <w:rPr>
          <w:rFonts w:ascii="Times New Roman" w:hAnsi="Times New Roman" w:cs="Times New Roman"/>
          <w:i/>
          <w:sz w:val="24"/>
          <w:szCs w:val="24"/>
        </w:rPr>
      </w:pPr>
    </w:p>
    <w:p w14:paraId="4EBEC5B5" w14:textId="77777777" w:rsidR="00C40D40" w:rsidRPr="00BE5472" w:rsidRDefault="00C40D40" w:rsidP="00C40D40">
      <w:pPr>
        <w:jc w:val="center"/>
        <w:rPr>
          <w:rFonts w:ascii="Times New Roman" w:hAnsi="Times New Roman" w:cs="Times New Roman"/>
          <w:sz w:val="24"/>
          <w:szCs w:val="24"/>
        </w:rPr>
      </w:pPr>
      <w:r w:rsidRPr="00BE5472">
        <w:rPr>
          <w:rFonts w:ascii="Times New Roman" w:hAnsi="Times New Roman" w:cs="Times New Roman"/>
          <w:sz w:val="24"/>
          <w:szCs w:val="24"/>
        </w:rPr>
        <w:t xml:space="preserve">Mentor: </w:t>
      </w:r>
    </w:p>
    <w:p w14:paraId="1D51EFC9" w14:textId="6D33241B" w:rsidR="00C40D40" w:rsidRPr="00BE5472" w:rsidRDefault="00C40D40" w:rsidP="00C40D40">
      <w:pPr>
        <w:jc w:val="center"/>
        <w:rPr>
          <w:rFonts w:ascii="Times New Roman" w:hAnsi="Times New Roman" w:cs="Times New Roman"/>
          <w:sz w:val="24"/>
          <w:szCs w:val="24"/>
        </w:rPr>
      </w:pPr>
      <w:r w:rsidRPr="00BE5472">
        <w:rPr>
          <w:rFonts w:ascii="Times New Roman" w:hAnsi="Times New Roman" w:cs="Times New Roman"/>
          <w:sz w:val="24"/>
          <w:szCs w:val="24"/>
        </w:rPr>
        <w:t>prof. dr. sc. Darko Prebežac</w:t>
      </w:r>
    </w:p>
    <w:p w14:paraId="5DFD18A1" w14:textId="5786DD86" w:rsidR="007711EB" w:rsidRPr="00BE5472" w:rsidRDefault="007711EB" w:rsidP="00C40D40">
      <w:pPr>
        <w:jc w:val="center"/>
        <w:rPr>
          <w:rFonts w:ascii="Times New Roman" w:hAnsi="Times New Roman" w:cs="Times New Roman"/>
          <w:sz w:val="24"/>
          <w:szCs w:val="24"/>
        </w:rPr>
      </w:pPr>
      <w:r w:rsidRPr="00BE5472">
        <w:rPr>
          <w:rFonts w:ascii="Times New Roman" w:hAnsi="Times New Roman" w:cs="Times New Roman"/>
          <w:sz w:val="24"/>
          <w:szCs w:val="24"/>
        </w:rPr>
        <w:t>Komentor: prof. dr. sc. Sandra Janković</w:t>
      </w:r>
    </w:p>
    <w:p w14:paraId="0DCD3B69" w14:textId="156CEEA8" w:rsidR="00C40D40" w:rsidRPr="00BE5472" w:rsidRDefault="00C40D40" w:rsidP="00C40D40">
      <w:pPr>
        <w:jc w:val="center"/>
        <w:rPr>
          <w:rFonts w:ascii="Times New Roman" w:hAnsi="Times New Roman" w:cs="Times New Roman"/>
          <w:sz w:val="24"/>
          <w:szCs w:val="24"/>
        </w:rPr>
      </w:pPr>
    </w:p>
    <w:p w14:paraId="0F0C6FC3" w14:textId="6B283F50" w:rsidR="00C40D40" w:rsidRPr="00BE5472" w:rsidRDefault="00C40D40" w:rsidP="00C40D40">
      <w:pPr>
        <w:jc w:val="center"/>
        <w:rPr>
          <w:rFonts w:ascii="Times New Roman" w:hAnsi="Times New Roman" w:cs="Times New Roman"/>
          <w:sz w:val="24"/>
          <w:szCs w:val="24"/>
        </w:rPr>
      </w:pPr>
    </w:p>
    <w:p w14:paraId="0211D81A" w14:textId="04599FA1" w:rsidR="00C40D40" w:rsidRDefault="00C40D40" w:rsidP="00C40D40">
      <w:pPr>
        <w:jc w:val="center"/>
        <w:rPr>
          <w:rFonts w:ascii="Times New Roman" w:hAnsi="Times New Roman" w:cs="Times New Roman"/>
          <w:sz w:val="24"/>
          <w:szCs w:val="24"/>
        </w:rPr>
      </w:pPr>
    </w:p>
    <w:p w14:paraId="7D4D94B6" w14:textId="77777777" w:rsidR="005319AE" w:rsidRPr="00BE5472" w:rsidRDefault="005319AE" w:rsidP="00C40D40">
      <w:pPr>
        <w:jc w:val="center"/>
        <w:rPr>
          <w:rFonts w:ascii="Times New Roman" w:hAnsi="Times New Roman" w:cs="Times New Roman"/>
          <w:sz w:val="24"/>
          <w:szCs w:val="24"/>
        </w:rPr>
      </w:pPr>
    </w:p>
    <w:p w14:paraId="57B1B0DC" w14:textId="0545C058" w:rsidR="00C40D40" w:rsidRDefault="00C40D40" w:rsidP="00C40D40">
      <w:pPr>
        <w:jc w:val="center"/>
        <w:rPr>
          <w:rFonts w:ascii="Times New Roman" w:hAnsi="Times New Roman" w:cs="Times New Roman"/>
          <w:sz w:val="24"/>
          <w:szCs w:val="24"/>
        </w:rPr>
      </w:pPr>
    </w:p>
    <w:p w14:paraId="5FF0B247" w14:textId="77777777" w:rsidR="005319AE" w:rsidRPr="00BE5472" w:rsidRDefault="005319AE" w:rsidP="00C40D40">
      <w:pPr>
        <w:jc w:val="center"/>
        <w:rPr>
          <w:rFonts w:ascii="Times New Roman" w:hAnsi="Times New Roman" w:cs="Times New Roman"/>
          <w:sz w:val="24"/>
          <w:szCs w:val="24"/>
        </w:rPr>
      </w:pPr>
    </w:p>
    <w:p w14:paraId="23956D00" w14:textId="0F56635D" w:rsidR="00C40D40" w:rsidRDefault="00C40D40" w:rsidP="00C40D40">
      <w:pPr>
        <w:jc w:val="center"/>
        <w:rPr>
          <w:rFonts w:ascii="Times New Roman" w:hAnsi="Times New Roman" w:cs="Times New Roman"/>
          <w:sz w:val="24"/>
          <w:szCs w:val="24"/>
        </w:rPr>
      </w:pPr>
    </w:p>
    <w:p w14:paraId="002EB204" w14:textId="77777777" w:rsidR="003D46C7" w:rsidRPr="00BE5472" w:rsidRDefault="003D46C7" w:rsidP="00C40D40">
      <w:pPr>
        <w:jc w:val="center"/>
        <w:rPr>
          <w:rFonts w:ascii="Times New Roman" w:hAnsi="Times New Roman" w:cs="Times New Roman"/>
          <w:sz w:val="24"/>
          <w:szCs w:val="24"/>
        </w:rPr>
      </w:pPr>
    </w:p>
    <w:p w14:paraId="02B93B3A" w14:textId="6B543278" w:rsidR="00D56A64" w:rsidRPr="00BE5472" w:rsidRDefault="00E2029F" w:rsidP="00C40D40">
      <w:pPr>
        <w:jc w:val="center"/>
        <w:rPr>
          <w:rFonts w:ascii="Times New Roman" w:hAnsi="Times New Roman" w:cs="Times New Roman"/>
          <w:sz w:val="24"/>
          <w:szCs w:val="24"/>
        </w:rPr>
        <w:sectPr w:rsidR="00D56A64" w:rsidRPr="00BE5472" w:rsidSect="00190674">
          <w:footerReference w:type="default" r:id="rId15"/>
          <w:type w:val="continuous"/>
          <w:pgSz w:w="12240" w:h="15840"/>
          <w:pgMar w:top="1440" w:right="1440" w:bottom="1440" w:left="1440" w:header="708" w:footer="708" w:gutter="0"/>
          <w:pgNumType w:fmt="upperRoman" w:start="1"/>
          <w:cols w:space="708"/>
          <w:titlePg/>
          <w:docGrid w:linePitch="360"/>
        </w:sectPr>
      </w:pPr>
      <w:r w:rsidRPr="00BE5472">
        <w:rPr>
          <w:rFonts w:ascii="Times New Roman" w:hAnsi="Times New Roman" w:cs="Times New Roman"/>
          <w:sz w:val="24"/>
          <w:szCs w:val="24"/>
        </w:rPr>
        <w:t>Opatija</w:t>
      </w:r>
      <w:r w:rsidR="00C40D40" w:rsidRPr="00BE5472">
        <w:rPr>
          <w:rFonts w:ascii="Times New Roman" w:hAnsi="Times New Roman" w:cs="Times New Roman"/>
          <w:sz w:val="24"/>
          <w:szCs w:val="24"/>
        </w:rPr>
        <w:t>, 20</w:t>
      </w:r>
      <w:r w:rsidR="001A4B64" w:rsidRPr="00BE5472">
        <w:rPr>
          <w:rFonts w:ascii="Times New Roman" w:hAnsi="Times New Roman" w:cs="Times New Roman"/>
          <w:sz w:val="24"/>
          <w:szCs w:val="24"/>
        </w:rPr>
        <w:t>26</w:t>
      </w:r>
    </w:p>
    <w:p w14:paraId="191FEFE9" w14:textId="77777777" w:rsidR="0019441D" w:rsidRPr="00BE5472" w:rsidRDefault="00596056" w:rsidP="00544497">
      <w:pPr>
        <w:spacing w:line="360" w:lineRule="auto"/>
        <w:jc w:val="center"/>
        <w:rPr>
          <w:rFonts w:ascii="Times New Roman" w:hAnsi="Times New Roman" w:cs="Times New Roman"/>
          <w:b/>
          <w:sz w:val="28"/>
          <w:szCs w:val="28"/>
        </w:rPr>
      </w:pPr>
      <w:r w:rsidRPr="00BE5472">
        <w:rPr>
          <w:rFonts w:ascii="Times New Roman" w:hAnsi="Times New Roman" w:cs="Times New Roman"/>
          <w:b/>
          <w:bCs/>
          <w:sz w:val="28"/>
          <w:szCs w:val="28"/>
        </w:rPr>
        <w:lastRenderedPageBreak/>
        <w:t>UNIVERSITY OF RIJEKA</w:t>
      </w:r>
      <w:r w:rsidRPr="00BE5472">
        <w:rPr>
          <w:rFonts w:ascii="Times New Roman" w:hAnsi="Times New Roman" w:cs="Times New Roman"/>
          <w:b/>
          <w:sz w:val="28"/>
          <w:szCs w:val="28"/>
        </w:rPr>
        <w:t xml:space="preserve"> </w:t>
      </w:r>
    </w:p>
    <w:p w14:paraId="27345A5E" w14:textId="002150A8" w:rsidR="00544497" w:rsidRPr="00BE5472" w:rsidRDefault="00596056" w:rsidP="00544497">
      <w:pPr>
        <w:spacing w:line="360" w:lineRule="auto"/>
        <w:jc w:val="center"/>
        <w:rPr>
          <w:rFonts w:ascii="Times New Roman" w:hAnsi="Times New Roman" w:cs="Times New Roman"/>
          <w:b/>
          <w:sz w:val="28"/>
          <w:szCs w:val="28"/>
        </w:rPr>
      </w:pPr>
      <w:r w:rsidRPr="00BE5472">
        <w:rPr>
          <w:rFonts w:ascii="Times New Roman" w:hAnsi="Times New Roman" w:cs="Times New Roman"/>
          <w:b/>
          <w:bCs/>
          <w:sz w:val="28"/>
          <w:szCs w:val="28"/>
        </w:rPr>
        <w:t>FACULTY OF TOURISM AND HOSPITALITY MANAGEMENT</w:t>
      </w:r>
    </w:p>
    <w:p w14:paraId="1CEB980B" w14:textId="77777777" w:rsidR="00675222" w:rsidRPr="00BE5472" w:rsidRDefault="00675222" w:rsidP="00544497">
      <w:pPr>
        <w:spacing w:line="360" w:lineRule="auto"/>
        <w:jc w:val="center"/>
        <w:rPr>
          <w:rFonts w:ascii="Times New Roman" w:hAnsi="Times New Roman" w:cs="Times New Roman"/>
          <w:b/>
          <w:sz w:val="28"/>
          <w:szCs w:val="28"/>
        </w:rPr>
      </w:pPr>
    </w:p>
    <w:p w14:paraId="04DA7CED" w14:textId="77777777" w:rsidR="00544497" w:rsidRPr="00BE5472" w:rsidRDefault="00544497" w:rsidP="00544497">
      <w:pPr>
        <w:spacing w:line="360" w:lineRule="auto"/>
        <w:jc w:val="center"/>
        <w:rPr>
          <w:rFonts w:ascii="Times New Roman" w:hAnsi="Times New Roman" w:cs="Times New Roman"/>
          <w:b/>
          <w:sz w:val="28"/>
          <w:szCs w:val="28"/>
        </w:rPr>
      </w:pPr>
    </w:p>
    <w:p w14:paraId="4CF74A3E" w14:textId="77777777" w:rsidR="00544497" w:rsidRPr="00BE5472" w:rsidRDefault="00544497" w:rsidP="00544497">
      <w:pPr>
        <w:spacing w:line="360" w:lineRule="auto"/>
        <w:jc w:val="center"/>
        <w:rPr>
          <w:rFonts w:ascii="Times New Roman" w:hAnsi="Times New Roman" w:cs="Times New Roman"/>
          <w:b/>
          <w:sz w:val="28"/>
          <w:szCs w:val="28"/>
        </w:rPr>
      </w:pPr>
      <w:r w:rsidRPr="00BE5472">
        <w:rPr>
          <w:rFonts w:ascii="Times New Roman" w:hAnsi="Times New Roman" w:cs="Times New Roman"/>
          <w:b/>
          <w:sz w:val="28"/>
          <w:szCs w:val="28"/>
        </w:rPr>
        <w:t>Denis Prevolšek, univ. mag. oec.</w:t>
      </w:r>
    </w:p>
    <w:p w14:paraId="45E80490" w14:textId="77777777" w:rsidR="00544497" w:rsidRPr="00BE5472" w:rsidRDefault="00544497" w:rsidP="00544497">
      <w:pPr>
        <w:spacing w:line="360" w:lineRule="auto"/>
        <w:jc w:val="center"/>
        <w:rPr>
          <w:rFonts w:ascii="Times New Roman" w:hAnsi="Times New Roman" w:cs="Times New Roman"/>
          <w:b/>
          <w:sz w:val="28"/>
          <w:szCs w:val="28"/>
        </w:rPr>
      </w:pPr>
    </w:p>
    <w:p w14:paraId="7103F28F" w14:textId="77777777" w:rsidR="00544497" w:rsidRPr="00BE5472" w:rsidRDefault="00544497" w:rsidP="00544497">
      <w:pPr>
        <w:spacing w:line="360" w:lineRule="auto"/>
        <w:jc w:val="center"/>
        <w:rPr>
          <w:rFonts w:ascii="Times New Roman" w:hAnsi="Times New Roman" w:cs="Times New Roman"/>
          <w:b/>
          <w:sz w:val="28"/>
          <w:szCs w:val="28"/>
        </w:rPr>
      </w:pPr>
    </w:p>
    <w:p w14:paraId="205F9AA4" w14:textId="38B42703" w:rsidR="00544497" w:rsidRPr="00BE5472" w:rsidRDefault="00C650B0" w:rsidP="00115786">
      <w:pPr>
        <w:spacing w:line="360" w:lineRule="auto"/>
        <w:jc w:val="center"/>
        <w:rPr>
          <w:rFonts w:ascii="Times New Roman" w:hAnsi="Times New Roman" w:cs="Times New Roman"/>
          <w:i/>
          <w:sz w:val="24"/>
          <w:szCs w:val="24"/>
        </w:rPr>
      </w:pPr>
      <w:r w:rsidRPr="00BE5472">
        <w:rPr>
          <w:rFonts w:ascii="Times New Roman" w:hAnsi="Times New Roman" w:cs="Times New Roman"/>
          <w:b/>
          <w:bCs/>
          <w:caps/>
          <w:sz w:val="32"/>
          <w:szCs w:val="32"/>
        </w:rPr>
        <w:t>Synergetic Effects</w:t>
      </w:r>
      <w:r w:rsidR="00A43175" w:rsidRPr="00BE5472">
        <w:rPr>
          <w:rFonts w:ascii="Times New Roman" w:hAnsi="Times New Roman" w:cs="Times New Roman"/>
          <w:b/>
          <w:bCs/>
          <w:caps/>
          <w:sz w:val="32"/>
          <w:szCs w:val="32"/>
        </w:rPr>
        <w:t xml:space="preserve"> </w:t>
      </w:r>
      <w:r w:rsidRPr="00BE5472">
        <w:rPr>
          <w:rFonts w:ascii="Times New Roman" w:hAnsi="Times New Roman" w:cs="Times New Roman"/>
          <w:b/>
          <w:bCs/>
          <w:caps/>
          <w:sz w:val="32"/>
          <w:szCs w:val="32"/>
        </w:rPr>
        <w:t>of Mergers and Acquisitions </w:t>
      </w:r>
      <w:r w:rsidR="00115786" w:rsidRPr="00BE5472">
        <w:rPr>
          <w:rFonts w:ascii="Times New Roman" w:hAnsi="Times New Roman" w:cs="Times New Roman"/>
          <w:b/>
          <w:bCs/>
          <w:caps/>
          <w:sz w:val="32"/>
          <w:szCs w:val="32"/>
        </w:rPr>
        <w:t>in the hospitality industry</w:t>
      </w:r>
      <w:r w:rsidR="00115786" w:rsidRPr="00BE5472">
        <w:rPr>
          <w:rFonts w:ascii="Times New Roman" w:hAnsi="Times New Roman" w:cs="Times New Roman"/>
          <w:i/>
          <w:sz w:val="24"/>
          <w:szCs w:val="24"/>
        </w:rPr>
        <w:t xml:space="preserve"> </w:t>
      </w:r>
      <w:r w:rsidR="00961EC1" w:rsidRPr="00BE5472">
        <w:rPr>
          <w:rFonts w:ascii="Times New Roman" w:hAnsi="Times New Roman" w:cs="Times New Roman"/>
          <w:i/>
          <w:sz w:val="24"/>
          <w:szCs w:val="24"/>
        </w:rPr>
        <w:t xml:space="preserve">DOCTORAL </w:t>
      </w:r>
      <w:r w:rsidR="007711EB" w:rsidRPr="00BE5472">
        <w:rPr>
          <w:rFonts w:ascii="Times New Roman" w:hAnsi="Times New Roman" w:cs="Times New Roman"/>
          <w:i/>
          <w:sz w:val="24"/>
          <w:szCs w:val="24"/>
        </w:rPr>
        <w:t>DISERTATION</w:t>
      </w:r>
    </w:p>
    <w:p w14:paraId="1734CC99" w14:textId="77777777" w:rsidR="00961EC1" w:rsidRPr="00BE5472" w:rsidRDefault="00961EC1" w:rsidP="00544497">
      <w:pPr>
        <w:jc w:val="center"/>
        <w:rPr>
          <w:rFonts w:ascii="Times New Roman" w:hAnsi="Times New Roman" w:cs="Times New Roman"/>
          <w:i/>
          <w:sz w:val="24"/>
          <w:szCs w:val="24"/>
        </w:rPr>
      </w:pPr>
    </w:p>
    <w:p w14:paraId="0EBC493E" w14:textId="3C870024" w:rsidR="00544497" w:rsidRPr="00BE5472" w:rsidRDefault="00937F64" w:rsidP="00544497">
      <w:pPr>
        <w:jc w:val="center"/>
        <w:rPr>
          <w:rFonts w:ascii="Times New Roman" w:hAnsi="Times New Roman" w:cs="Times New Roman"/>
          <w:sz w:val="24"/>
          <w:szCs w:val="24"/>
        </w:rPr>
      </w:pPr>
      <w:r w:rsidRPr="00BE5472">
        <w:rPr>
          <w:rFonts w:ascii="Times New Roman" w:hAnsi="Times New Roman" w:cs="Times New Roman"/>
          <w:sz w:val="24"/>
          <w:szCs w:val="24"/>
        </w:rPr>
        <w:t>Supervisor</w:t>
      </w:r>
      <w:r w:rsidR="00544497" w:rsidRPr="00BE5472">
        <w:rPr>
          <w:rFonts w:ascii="Times New Roman" w:hAnsi="Times New Roman" w:cs="Times New Roman"/>
          <w:sz w:val="24"/>
          <w:szCs w:val="24"/>
        </w:rPr>
        <w:t xml:space="preserve">: </w:t>
      </w:r>
    </w:p>
    <w:p w14:paraId="685283D2" w14:textId="437A3EBA" w:rsidR="00544497" w:rsidRPr="00BE5472" w:rsidRDefault="001075EE" w:rsidP="00544497">
      <w:pPr>
        <w:jc w:val="center"/>
        <w:rPr>
          <w:rFonts w:ascii="Times New Roman" w:hAnsi="Times New Roman" w:cs="Times New Roman"/>
          <w:sz w:val="24"/>
          <w:szCs w:val="24"/>
        </w:rPr>
      </w:pPr>
      <w:r w:rsidRPr="00BE5472">
        <w:rPr>
          <w:rFonts w:ascii="Times New Roman" w:hAnsi="Times New Roman" w:cs="Times New Roman"/>
          <w:sz w:val="24"/>
          <w:szCs w:val="24"/>
        </w:rPr>
        <w:t>Darko Prebežac</w:t>
      </w:r>
      <w:r w:rsidR="005319AE">
        <w:rPr>
          <w:rFonts w:ascii="Times New Roman" w:hAnsi="Times New Roman" w:cs="Times New Roman"/>
          <w:sz w:val="24"/>
          <w:szCs w:val="24"/>
        </w:rPr>
        <w:t xml:space="preserve">, Ph. D., Full Professor </w:t>
      </w:r>
      <w:r w:rsidR="005319AE" w:rsidRPr="005319AE">
        <w:rPr>
          <w:rFonts w:ascii="Times New Roman" w:hAnsi="Times New Roman" w:cs="Times New Roman"/>
          <w:sz w:val="24"/>
          <w:szCs w:val="24"/>
        </w:rPr>
        <w:t>with Tenure</w:t>
      </w:r>
    </w:p>
    <w:p w14:paraId="6C6E8B8D" w14:textId="77777777" w:rsidR="006A1005" w:rsidRPr="006A1005" w:rsidRDefault="006A1005" w:rsidP="006A1005">
      <w:pPr>
        <w:jc w:val="center"/>
        <w:rPr>
          <w:rFonts w:ascii="Times New Roman" w:hAnsi="Times New Roman" w:cs="Times New Roman"/>
          <w:sz w:val="24"/>
          <w:szCs w:val="24"/>
        </w:rPr>
      </w:pPr>
      <w:r w:rsidRPr="006A1005">
        <w:rPr>
          <w:rFonts w:ascii="Times New Roman" w:hAnsi="Times New Roman" w:cs="Times New Roman"/>
          <w:sz w:val="24"/>
          <w:szCs w:val="24"/>
        </w:rPr>
        <w:t>Co-supervisor: Sandra Janković, Ph. D., Full Professor with Tenure</w:t>
      </w:r>
    </w:p>
    <w:p w14:paraId="40980740" w14:textId="77777777" w:rsidR="00544497" w:rsidRPr="00BE5472" w:rsidRDefault="00544497" w:rsidP="00544497">
      <w:pPr>
        <w:jc w:val="center"/>
        <w:rPr>
          <w:rFonts w:ascii="Times New Roman" w:hAnsi="Times New Roman" w:cs="Times New Roman"/>
          <w:sz w:val="24"/>
          <w:szCs w:val="24"/>
        </w:rPr>
      </w:pPr>
    </w:p>
    <w:p w14:paraId="73693CD4" w14:textId="77777777" w:rsidR="00544497" w:rsidRPr="00BE5472" w:rsidRDefault="00544497" w:rsidP="00544497">
      <w:pPr>
        <w:jc w:val="center"/>
        <w:rPr>
          <w:rFonts w:ascii="Times New Roman" w:hAnsi="Times New Roman" w:cs="Times New Roman"/>
          <w:sz w:val="24"/>
          <w:szCs w:val="24"/>
        </w:rPr>
      </w:pPr>
    </w:p>
    <w:p w14:paraId="274F82C2" w14:textId="77777777" w:rsidR="00544497" w:rsidRPr="00BE5472" w:rsidRDefault="00544497" w:rsidP="00544497">
      <w:pPr>
        <w:jc w:val="center"/>
        <w:rPr>
          <w:rFonts w:ascii="Times New Roman" w:hAnsi="Times New Roman" w:cs="Times New Roman"/>
          <w:sz w:val="24"/>
          <w:szCs w:val="24"/>
        </w:rPr>
      </w:pPr>
    </w:p>
    <w:p w14:paraId="30581C20" w14:textId="20BEE96B" w:rsidR="00544497" w:rsidRDefault="00544497" w:rsidP="00544497">
      <w:pPr>
        <w:jc w:val="center"/>
        <w:rPr>
          <w:rFonts w:ascii="Times New Roman" w:hAnsi="Times New Roman" w:cs="Times New Roman"/>
          <w:sz w:val="24"/>
          <w:szCs w:val="24"/>
        </w:rPr>
      </w:pPr>
    </w:p>
    <w:p w14:paraId="570D7221" w14:textId="39E04809" w:rsidR="005319AE" w:rsidRDefault="005319AE" w:rsidP="00544497">
      <w:pPr>
        <w:jc w:val="center"/>
        <w:rPr>
          <w:rFonts w:ascii="Times New Roman" w:hAnsi="Times New Roman" w:cs="Times New Roman"/>
          <w:sz w:val="24"/>
          <w:szCs w:val="24"/>
        </w:rPr>
      </w:pPr>
    </w:p>
    <w:p w14:paraId="6C385842" w14:textId="489ED7C2" w:rsidR="005319AE" w:rsidRDefault="005319AE" w:rsidP="00544497">
      <w:pPr>
        <w:jc w:val="center"/>
        <w:rPr>
          <w:rFonts w:ascii="Times New Roman" w:hAnsi="Times New Roman" w:cs="Times New Roman"/>
          <w:sz w:val="24"/>
          <w:szCs w:val="24"/>
        </w:rPr>
      </w:pPr>
    </w:p>
    <w:p w14:paraId="10C80A04" w14:textId="6534FB71" w:rsidR="005319AE" w:rsidRDefault="005319AE" w:rsidP="00544497">
      <w:pPr>
        <w:jc w:val="center"/>
        <w:rPr>
          <w:rFonts w:ascii="Times New Roman" w:hAnsi="Times New Roman" w:cs="Times New Roman"/>
          <w:sz w:val="24"/>
          <w:szCs w:val="24"/>
        </w:rPr>
      </w:pPr>
    </w:p>
    <w:p w14:paraId="3C9EFC89" w14:textId="3A4AEF7C" w:rsidR="005319AE" w:rsidRDefault="005319AE" w:rsidP="00544497">
      <w:pPr>
        <w:jc w:val="center"/>
        <w:rPr>
          <w:rFonts w:ascii="Times New Roman" w:hAnsi="Times New Roman" w:cs="Times New Roman"/>
          <w:sz w:val="24"/>
          <w:szCs w:val="24"/>
        </w:rPr>
      </w:pPr>
    </w:p>
    <w:p w14:paraId="67D2281C" w14:textId="77777777" w:rsidR="005319AE" w:rsidRPr="00BE5472" w:rsidRDefault="005319AE" w:rsidP="00544497">
      <w:pPr>
        <w:jc w:val="center"/>
        <w:rPr>
          <w:rFonts w:ascii="Times New Roman" w:hAnsi="Times New Roman" w:cs="Times New Roman"/>
          <w:sz w:val="24"/>
          <w:szCs w:val="24"/>
        </w:rPr>
      </w:pPr>
    </w:p>
    <w:p w14:paraId="6E868D7A" w14:textId="0F03B416" w:rsidR="002373DB" w:rsidRPr="00BE5472" w:rsidRDefault="00E2029F" w:rsidP="002373DB">
      <w:pPr>
        <w:jc w:val="center"/>
        <w:rPr>
          <w:rFonts w:ascii="Times New Roman" w:hAnsi="Times New Roman" w:cs="Times New Roman"/>
          <w:sz w:val="24"/>
          <w:szCs w:val="24"/>
        </w:rPr>
        <w:sectPr w:rsidR="002373DB" w:rsidRPr="00BE5472" w:rsidSect="00D56A64">
          <w:footerReference w:type="first" r:id="rId16"/>
          <w:pgSz w:w="12240" w:h="15840"/>
          <w:pgMar w:top="1440" w:right="1440" w:bottom="1440" w:left="1440" w:header="708" w:footer="708" w:gutter="0"/>
          <w:pgNumType w:fmt="upperRoman" w:start="1"/>
          <w:cols w:space="708"/>
          <w:titlePg/>
          <w:docGrid w:linePitch="360"/>
        </w:sectPr>
      </w:pPr>
      <w:r w:rsidRPr="00BE5472">
        <w:rPr>
          <w:rFonts w:ascii="Times New Roman" w:hAnsi="Times New Roman" w:cs="Times New Roman"/>
          <w:sz w:val="24"/>
          <w:szCs w:val="24"/>
        </w:rPr>
        <w:t>Opatija</w:t>
      </w:r>
      <w:r w:rsidR="00544497" w:rsidRPr="00BE5472">
        <w:rPr>
          <w:rFonts w:ascii="Times New Roman" w:hAnsi="Times New Roman" w:cs="Times New Roman"/>
          <w:sz w:val="24"/>
          <w:szCs w:val="24"/>
        </w:rPr>
        <w:t>, 202</w:t>
      </w:r>
      <w:r w:rsidR="00D6089C" w:rsidRPr="00BE5472">
        <w:rPr>
          <w:rFonts w:ascii="Times New Roman" w:hAnsi="Times New Roman" w:cs="Times New Roman"/>
          <w:sz w:val="24"/>
          <w:szCs w:val="24"/>
        </w:rPr>
        <w:t>6.</w:t>
      </w:r>
    </w:p>
    <w:p w14:paraId="424128CF" w14:textId="6030AA8D" w:rsidR="00C40D40" w:rsidRPr="00BE5472" w:rsidRDefault="00904741" w:rsidP="001A4B64">
      <w:pPr>
        <w:jc w:val="center"/>
        <w:rPr>
          <w:rFonts w:ascii="Times New Roman" w:hAnsi="Times New Roman" w:cs="Times New Roman"/>
          <w:b/>
          <w:sz w:val="28"/>
          <w:szCs w:val="28"/>
        </w:rPr>
      </w:pPr>
      <w:r w:rsidRPr="00BE5472">
        <w:rPr>
          <w:rFonts w:ascii="Times New Roman" w:hAnsi="Times New Roman" w:cs="Times New Roman"/>
          <w:b/>
          <w:sz w:val="28"/>
          <w:szCs w:val="28"/>
        </w:rPr>
        <w:lastRenderedPageBreak/>
        <w:t>I</w:t>
      </w:r>
      <w:r w:rsidR="00C40D40" w:rsidRPr="00BE5472">
        <w:rPr>
          <w:rFonts w:ascii="Times New Roman" w:hAnsi="Times New Roman" w:cs="Times New Roman"/>
          <w:b/>
          <w:sz w:val="28"/>
          <w:szCs w:val="28"/>
        </w:rPr>
        <w:t>ZJAVA O AKADEMSKOJ ČESTITOSTI</w:t>
      </w:r>
    </w:p>
    <w:p w14:paraId="7528A85B" w14:textId="77777777" w:rsidR="00C40D40" w:rsidRPr="00BE5472" w:rsidRDefault="00C40D40" w:rsidP="00C40D40">
      <w:pPr>
        <w:jc w:val="center"/>
        <w:rPr>
          <w:rFonts w:ascii="Times New Roman" w:hAnsi="Times New Roman" w:cs="Times New Roman"/>
          <w:sz w:val="24"/>
          <w:szCs w:val="24"/>
        </w:rPr>
      </w:pPr>
    </w:p>
    <w:p w14:paraId="605132C6" w14:textId="77777777" w:rsidR="00C40D40" w:rsidRPr="00BE5472" w:rsidRDefault="00C40D40" w:rsidP="00C40D40">
      <w:pPr>
        <w:jc w:val="both"/>
        <w:rPr>
          <w:rFonts w:ascii="Times New Roman" w:hAnsi="Times New Roman" w:cs="Times New Roman"/>
          <w:sz w:val="24"/>
          <w:szCs w:val="24"/>
        </w:rPr>
      </w:pPr>
      <w:r w:rsidRPr="00BE5472">
        <w:rPr>
          <w:rFonts w:ascii="Times New Roman" w:hAnsi="Times New Roman" w:cs="Times New Roman"/>
          <w:sz w:val="24"/>
          <w:szCs w:val="24"/>
        </w:rPr>
        <w:t xml:space="preserve">Izjavljujem i svojim potpisom potvrđujem da je doktorski rad isključivo rezultat mog vlastitog rada koji se temelji na mojim istraživanjima i oslanja se na objavljenu literaturu, a što pokazuju korištene bilješke i bibliografija. </w:t>
      </w:r>
    </w:p>
    <w:p w14:paraId="2615AF52" w14:textId="77777777" w:rsidR="00C40D40" w:rsidRPr="00BE5472" w:rsidRDefault="00C40D40" w:rsidP="00C40D40">
      <w:pPr>
        <w:jc w:val="both"/>
        <w:rPr>
          <w:rFonts w:ascii="Times New Roman" w:hAnsi="Times New Roman" w:cs="Times New Roman"/>
          <w:sz w:val="24"/>
          <w:szCs w:val="24"/>
        </w:rPr>
      </w:pPr>
      <w:r w:rsidRPr="00BE5472">
        <w:rPr>
          <w:rFonts w:ascii="Times New Roman" w:hAnsi="Times New Roman" w:cs="Times New Roman"/>
          <w:sz w:val="24"/>
          <w:szCs w:val="24"/>
        </w:rPr>
        <w:t xml:space="preserve">Izjavljujem da nijedan dio rada nije napisan na nedozvoljen način, odnosno da je prepisan iz necitiranog rada, te da nijedan dio rada ne krši bilo čija autorska prava. </w:t>
      </w:r>
    </w:p>
    <w:p w14:paraId="731F4F71" w14:textId="0E2814C2" w:rsidR="00C40D40" w:rsidRPr="00BE5472" w:rsidRDefault="00C40D40" w:rsidP="00C40D40">
      <w:pPr>
        <w:jc w:val="both"/>
        <w:rPr>
          <w:rFonts w:ascii="Times New Roman" w:hAnsi="Times New Roman" w:cs="Times New Roman"/>
          <w:sz w:val="24"/>
          <w:szCs w:val="24"/>
        </w:rPr>
      </w:pPr>
      <w:r w:rsidRPr="00BE5472">
        <w:rPr>
          <w:rFonts w:ascii="Times New Roman" w:hAnsi="Times New Roman" w:cs="Times New Roman"/>
          <w:sz w:val="24"/>
          <w:szCs w:val="24"/>
        </w:rPr>
        <w:t>Izjavljujem, također, da nijedan dio rada nije iskorišten za bilo koji drugi rad u bilo kojoj drugoj visokoškolskoj, znanstvenoj ili obrazovnoj ustanovi.</w:t>
      </w:r>
    </w:p>
    <w:p w14:paraId="32B11F62" w14:textId="500DC253" w:rsidR="00C40D40" w:rsidRPr="00BE5472" w:rsidRDefault="00C40D40" w:rsidP="00C40D40">
      <w:pPr>
        <w:jc w:val="both"/>
        <w:rPr>
          <w:rFonts w:ascii="Times New Roman" w:hAnsi="Times New Roman" w:cs="Times New Roman"/>
          <w:sz w:val="24"/>
          <w:szCs w:val="24"/>
        </w:rPr>
      </w:pPr>
    </w:p>
    <w:p w14:paraId="3AE4CE2F" w14:textId="677FE662" w:rsidR="00C40D40" w:rsidRPr="00BE5472" w:rsidRDefault="00B96BD3" w:rsidP="00C40D40">
      <w:pPr>
        <w:jc w:val="both"/>
        <w:rPr>
          <w:rFonts w:ascii="Times New Roman" w:hAnsi="Times New Roman" w:cs="Times New Roman"/>
          <w:sz w:val="24"/>
          <w:szCs w:val="24"/>
        </w:rPr>
      </w:pPr>
      <w:r w:rsidRPr="00BE5472">
        <w:rPr>
          <w:rFonts w:ascii="Times New Roman" w:hAnsi="Times New Roman" w:cs="Times New Roman"/>
          <w:sz w:val="24"/>
          <w:szCs w:val="24"/>
        </w:rPr>
        <w:t>Opatija</w:t>
      </w:r>
      <w:r w:rsidR="00C40D40" w:rsidRPr="00BE5472">
        <w:rPr>
          <w:rFonts w:ascii="Times New Roman" w:hAnsi="Times New Roman" w:cs="Times New Roman"/>
          <w:sz w:val="24"/>
          <w:szCs w:val="24"/>
        </w:rPr>
        <w:t xml:space="preserve">, </w:t>
      </w:r>
      <w:r w:rsidR="00FC5B8A">
        <w:rPr>
          <w:rFonts w:ascii="Times New Roman" w:hAnsi="Times New Roman" w:cs="Times New Roman"/>
          <w:sz w:val="24"/>
          <w:szCs w:val="24"/>
        </w:rPr>
        <w:t>08</w:t>
      </w:r>
      <w:r w:rsidR="00C40D40" w:rsidRPr="00BE5472">
        <w:rPr>
          <w:rFonts w:ascii="Times New Roman" w:hAnsi="Times New Roman" w:cs="Times New Roman"/>
          <w:sz w:val="24"/>
          <w:szCs w:val="24"/>
        </w:rPr>
        <w:t xml:space="preserve">. </w:t>
      </w:r>
      <w:r w:rsidR="00FC5B8A">
        <w:rPr>
          <w:rFonts w:ascii="Times New Roman" w:hAnsi="Times New Roman" w:cs="Times New Roman"/>
          <w:sz w:val="24"/>
          <w:szCs w:val="24"/>
        </w:rPr>
        <w:t>10</w:t>
      </w:r>
      <w:r w:rsidR="00C40D40" w:rsidRPr="00BE5472">
        <w:rPr>
          <w:rFonts w:ascii="Times New Roman" w:hAnsi="Times New Roman" w:cs="Times New Roman"/>
          <w:sz w:val="24"/>
          <w:szCs w:val="24"/>
        </w:rPr>
        <w:t>. 2026.                                                                         ____________________________</w:t>
      </w:r>
    </w:p>
    <w:p w14:paraId="1B6ABEBA" w14:textId="6AFCAB39" w:rsidR="00C40D40" w:rsidRPr="00BE5472" w:rsidRDefault="00C40D40" w:rsidP="00C40D40">
      <w:pPr>
        <w:jc w:val="right"/>
        <w:rPr>
          <w:rFonts w:ascii="Times New Roman" w:hAnsi="Times New Roman" w:cs="Times New Roman"/>
          <w:sz w:val="24"/>
          <w:szCs w:val="24"/>
        </w:rPr>
      </w:pPr>
      <w:r w:rsidRPr="00BE5472">
        <w:rPr>
          <w:rFonts w:ascii="Times New Roman" w:hAnsi="Times New Roman" w:cs="Times New Roman"/>
          <w:sz w:val="24"/>
          <w:szCs w:val="24"/>
        </w:rPr>
        <w:t xml:space="preserve">vlastoručni potpis studenta </w:t>
      </w:r>
    </w:p>
    <w:p w14:paraId="7A419B25" w14:textId="41E9DAF2" w:rsidR="00C40D40" w:rsidRPr="00BE5472" w:rsidRDefault="00C40D40" w:rsidP="00C40D40">
      <w:pPr>
        <w:jc w:val="right"/>
        <w:rPr>
          <w:rFonts w:ascii="Times New Roman" w:hAnsi="Times New Roman" w:cs="Times New Roman"/>
          <w:sz w:val="24"/>
          <w:szCs w:val="24"/>
        </w:rPr>
      </w:pPr>
    </w:p>
    <w:p w14:paraId="43813D2C" w14:textId="501490DB" w:rsidR="00C40D40" w:rsidRPr="00BE5472" w:rsidRDefault="00C40D40">
      <w:pPr>
        <w:rPr>
          <w:rFonts w:ascii="Times New Roman" w:hAnsi="Times New Roman" w:cs="Times New Roman"/>
          <w:sz w:val="24"/>
          <w:szCs w:val="24"/>
        </w:rPr>
      </w:pPr>
      <w:r w:rsidRPr="00BE5472">
        <w:rPr>
          <w:rFonts w:ascii="Times New Roman" w:hAnsi="Times New Roman" w:cs="Times New Roman"/>
          <w:sz w:val="24"/>
          <w:szCs w:val="24"/>
        </w:rPr>
        <w:br w:type="page"/>
      </w:r>
    </w:p>
    <w:p w14:paraId="40061386" w14:textId="63F28A6F" w:rsidR="00C40D40" w:rsidRPr="00BE5472" w:rsidRDefault="00C40D40" w:rsidP="00C40D40">
      <w:pPr>
        <w:rPr>
          <w:rFonts w:ascii="Times New Roman" w:hAnsi="Times New Roman" w:cs="Times New Roman"/>
          <w:b/>
          <w:sz w:val="28"/>
          <w:szCs w:val="28"/>
        </w:rPr>
      </w:pPr>
      <w:r w:rsidRPr="00BE5472">
        <w:rPr>
          <w:rFonts w:ascii="Times New Roman" w:hAnsi="Times New Roman" w:cs="Times New Roman"/>
          <w:b/>
          <w:sz w:val="28"/>
          <w:szCs w:val="28"/>
        </w:rPr>
        <w:lastRenderedPageBreak/>
        <w:t>Informacije o mentoru</w:t>
      </w:r>
    </w:p>
    <w:p w14:paraId="299643CC" w14:textId="0D628248" w:rsidR="001070F7" w:rsidRPr="00BE5472" w:rsidRDefault="001070F7" w:rsidP="00FE526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Prof. dr. sc. Darko Prebežac redoviti je profesor u trajnom zvanju na Katedri za turizam Ekonomskog fakulteta Sveučilišta u Zagrebu, gdje je diplomirao, magistrirao i doktorirao. U razdoblju </w:t>
      </w:r>
      <w:r w:rsidR="003C2F5B" w:rsidRPr="00BE5472">
        <w:rPr>
          <w:rFonts w:ascii="Times New Roman" w:hAnsi="Times New Roman" w:cs="Times New Roman"/>
          <w:sz w:val="24"/>
          <w:szCs w:val="24"/>
        </w:rPr>
        <w:t xml:space="preserve">od 1985. do </w:t>
      </w:r>
      <w:r w:rsidRPr="00BE5472">
        <w:rPr>
          <w:rFonts w:ascii="Times New Roman" w:hAnsi="Times New Roman" w:cs="Times New Roman"/>
          <w:sz w:val="24"/>
          <w:szCs w:val="24"/>
        </w:rPr>
        <w:t xml:space="preserve">1997. radio je u poduzećima </w:t>
      </w:r>
      <w:r w:rsidRPr="00BE5472">
        <w:rPr>
          <w:rFonts w:ascii="Times New Roman" w:hAnsi="Times New Roman" w:cs="Times New Roman"/>
          <w:i/>
          <w:sz w:val="24"/>
          <w:szCs w:val="24"/>
        </w:rPr>
        <w:t>Swissair</w:t>
      </w:r>
      <w:r w:rsidRPr="00BE5472">
        <w:rPr>
          <w:rFonts w:ascii="Times New Roman" w:hAnsi="Times New Roman" w:cs="Times New Roman"/>
          <w:sz w:val="24"/>
          <w:szCs w:val="24"/>
        </w:rPr>
        <w:t xml:space="preserve"> u Zürichu, </w:t>
      </w:r>
      <w:r w:rsidRPr="00BE5472">
        <w:rPr>
          <w:rFonts w:ascii="Times New Roman" w:hAnsi="Times New Roman" w:cs="Times New Roman"/>
          <w:i/>
          <w:sz w:val="24"/>
          <w:szCs w:val="24"/>
        </w:rPr>
        <w:t>Adria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Airways</w:t>
      </w:r>
      <w:r w:rsidRPr="00BE5472">
        <w:rPr>
          <w:rFonts w:ascii="Times New Roman" w:hAnsi="Times New Roman" w:cs="Times New Roman"/>
          <w:sz w:val="24"/>
          <w:szCs w:val="24"/>
        </w:rPr>
        <w:t xml:space="preserve"> u Zagrebu i Ljubljani, </w:t>
      </w:r>
      <w:r w:rsidRPr="00BE5472">
        <w:rPr>
          <w:rFonts w:ascii="Times New Roman" w:hAnsi="Times New Roman" w:cs="Times New Roman"/>
          <w:i/>
          <w:sz w:val="24"/>
          <w:szCs w:val="24"/>
        </w:rPr>
        <w:t>Croatia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Airlines</w:t>
      </w:r>
      <w:r w:rsidRPr="00BE5472">
        <w:rPr>
          <w:rFonts w:ascii="Times New Roman" w:hAnsi="Times New Roman" w:cs="Times New Roman"/>
          <w:sz w:val="24"/>
          <w:szCs w:val="24"/>
        </w:rPr>
        <w:t xml:space="preserve"> u Zagrebu i Frankfurtu te </w:t>
      </w:r>
      <w:r w:rsidRPr="00BE5472">
        <w:rPr>
          <w:rFonts w:ascii="Times New Roman" w:hAnsi="Times New Roman" w:cs="Times New Roman"/>
          <w:i/>
          <w:sz w:val="24"/>
          <w:szCs w:val="24"/>
        </w:rPr>
        <w:t>Croatia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Reisen</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GmbH</w:t>
      </w:r>
      <w:r w:rsidRPr="00BE5472">
        <w:rPr>
          <w:rFonts w:ascii="Times New Roman" w:hAnsi="Times New Roman" w:cs="Times New Roman"/>
          <w:sz w:val="24"/>
          <w:szCs w:val="24"/>
        </w:rPr>
        <w:t xml:space="preserve"> u Frankfurtu. Na Ekonomskom fakultetu - Zagreb zaposlen je od 1997. godine, gdje je </w:t>
      </w:r>
      <w:r w:rsidR="003C2F5B" w:rsidRPr="00BE5472">
        <w:rPr>
          <w:rFonts w:ascii="Times New Roman" w:hAnsi="Times New Roman" w:cs="Times New Roman"/>
          <w:sz w:val="24"/>
          <w:szCs w:val="24"/>
        </w:rPr>
        <w:t xml:space="preserve">od 2002 do 2006. Te od 2014 do </w:t>
      </w:r>
      <w:r w:rsidRPr="00BE5472">
        <w:rPr>
          <w:rFonts w:ascii="Times New Roman" w:hAnsi="Times New Roman" w:cs="Times New Roman"/>
          <w:sz w:val="24"/>
          <w:szCs w:val="24"/>
        </w:rPr>
        <w:t>2016. bio pročelnik Katedre za turizam.</w:t>
      </w:r>
    </w:p>
    <w:p w14:paraId="04B3AF65" w14:textId="77777777" w:rsidR="001070F7" w:rsidRPr="00BE5472" w:rsidRDefault="001070F7" w:rsidP="00FE526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Koristio je i dvije stipendije za znanstveno usavršavanje u inozemstvu: </w:t>
      </w:r>
      <w:r w:rsidRPr="00BE5472">
        <w:rPr>
          <w:rFonts w:ascii="Times New Roman" w:hAnsi="Times New Roman" w:cs="Times New Roman"/>
          <w:i/>
          <w:sz w:val="24"/>
          <w:szCs w:val="24"/>
        </w:rPr>
        <w:t>Massachusetts Institute of Technology</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Department of Aeronautics and Astronautics</w:t>
      </w:r>
      <w:r w:rsidRPr="00BE5472">
        <w:rPr>
          <w:rFonts w:ascii="Times New Roman" w:hAnsi="Times New Roman" w:cs="Times New Roman"/>
          <w:sz w:val="24"/>
          <w:szCs w:val="24"/>
        </w:rPr>
        <w:t xml:space="preserve">, Cambridge, Massachusetts, SAD (Pre-doc) i </w:t>
      </w:r>
      <w:r w:rsidRPr="00BE5472">
        <w:rPr>
          <w:rFonts w:ascii="Times New Roman" w:hAnsi="Times New Roman" w:cs="Times New Roman"/>
          <w:i/>
          <w:sz w:val="24"/>
          <w:szCs w:val="24"/>
        </w:rPr>
        <w:t>International Faculty Development Program</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University of Navarra</w:t>
      </w:r>
      <w:r w:rsidRPr="00BE5472">
        <w:rPr>
          <w:rFonts w:ascii="Times New Roman" w:hAnsi="Times New Roman" w:cs="Times New Roman"/>
          <w:sz w:val="24"/>
          <w:szCs w:val="24"/>
        </w:rPr>
        <w:t>, IESE-</w:t>
      </w:r>
      <w:r w:rsidRPr="00BE5472">
        <w:rPr>
          <w:rFonts w:ascii="Times New Roman" w:hAnsi="Times New Roman" w:cs="Times New Roman"/>
          <w:i/>
          <w:sz w:val="24"/>
          <w:szCs w:val="24"/>
        </w:rPr>
        <w:t>International Graduate School of Management</w:t>
      </w:r>
      <w:r w:rsidRPr="00BE5472">
        <w:rPr>
          <w:rFonts w:ascii="Times New Roman" w:hAnsi="Times New Roman" w:cs="Times New Roman"/>
          <w:sz w:val="24"/>
          <w:szCs w:val="24"/>
        </w:rPr>
        <w:t>, Barcelona, Kraljevina Španjolska (Post-doc)).</w:t>
      </w:r>
    </w:p>
    <w:p w14:paraId="7C5C77B3" w14:textId="2F0CE2A6" w:rsidR="001070F7" w:rsidRPr="00BE5472" w:rsidRDefault="001070F7" w:rsidP="00FE526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Osima na matičnom fakultetu, predavao </w:t>
      </w:r>
      <w:r w:rsidR="003C2F5B" w:rsidRPr="00BE5472">
        <w:rPr>
          <w:rFonts w:ascii="Times New Roman" w:hAnsi="Times New Roman" w:cs="Times New Roman"/>
          <w:sz w:val="24"/>
          <w:szCs w:val="24"/>
        </w:rPr>
        <w:t>je i na Ekonomskim fakultetima s</w:t>
      </w:r>
      <w:r w:rsidRPr="00BE5472">
        <w:rPr>
          <w:rFonts w:ascii="Times New Roman" w:hAnsi="Times New Roman" w:cs="Times New Roman"/>
          <w:sz w:val="24"/>
          <w:szCs w:val="24"/>
        </w:rPr>
        <w:t xml:space="preserve">veučilišta u Puli, Rijeci, Splitu, i Dubrovniku. Kao gostujući profesor predavao je i na </w:t>
      </w:r>
      <w:r w:rsidR="00B34756" w:rsidRPr="00BE5472">
        <w:rPr>
          <w:rFonts w:ascii="Times New Roman" w:hAnsi="Times New Roman" w:cs="Times New Roman"/>
          <w:i/>
          <w:sz w:val="24"/>
          <w:szCs w:val="24"/>
        </w:rPr>
        <w:t>University</w:t>
      </w:r>
      <w:r w:rsidRPr="00BE5472">
        <w:rPr>
          <w:rFonts w:ascii="Times New Roman" w:hAnsi="Times New Roman" w:cs="Times New Roman"/>
          <w:i/>
          <w:sz w:val="24"/>
          <w:szCs w:val="24"/>
        </w:rPr>
        <w:t xml:space="preserve"> of Hawai'i at Manoa</w:t>
      </w:r>
      <w:r w:rsidRPr="00BE5472">
        <w:rPr>
          <w:rFonts w:ascii="Times New Roman" w:hAnsi="Times New Roman" w:cs="Times New Roman"/>
          <w:sz w:val="24"/>
          <w:szCs w:val="24"/>
        </w:rPr>
        <w:t>, Sc</w:t>
      </w:r>
      <w:r w:rsidRPr="00BE5472">
        <w:rPr>
          <w:rFonts w:ascii="Times New Roman" w:hAnsi="Times New Roman" w:cs="Times New Roman"/>
          <w:i/>
          <w:sz w:val="24"/>
          <w:szCs w:val="24"/>
        </w:rPr>
        <w:t>hool of Travel Industry Management</w:t>
      </w:r>
      <w:r w:rsidRPr="00BE5472">
        <w:rPr>
          <w:rFonts w:ascii="Times New Roman" w:hAnsi="Times New Roman" w:cs="Times New Roman"/>
          <w:sz w:val="24"/>
          <w:szCs w:val="24"/>
        </w:rPr>
        <w:t xml:space="preserve">, Honolulu, </w:t>
      </w:r>
      <w:r w:rsidRPr="00BE5472">
        <w:rPr>
          <w:rFonts w:ascii="Times New Roman" w:hAnsi="Times New Roman" w:cs="Times New Roman"/>
          <w:i/>
          <w:sz w:val="24"/>
          <w:szCs w:val="24"/>
        </w:rPr>
        <w:t>Rollins College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Graduate School of Business</w:t>
      </w:r>
      <w:r w:rsidRPr="00BE5472">
        <w:rPr>
          <w:rFonts w:ascii="Times New Roman" w:hAnsi="Times New Roman" w:cs="Times New Roman"/>
          <w:sz w:val="24"/>
          <w:szCs w:val="24"/>
        </w:rPr>
        <w:t xml:space="preserve">, Orlando, </w:t>
      </w:r>
      <w:r w:rsidRPr="00BE5472">
        <w:rPr>
          <w:rFonts w:ascii="Times New Roman" w:hAnsi="Times New Roman" w:cs="Times New Roman"/>
          <w:i/>
          <w:sz w:val="24"/>
          <w:szCs w:val="24"/>
        </w:rPr>
        <w:t>Université de Genéve</w:t>
      </w:r>
      <w:r w:rsidRPr="00BE5472">
        <w:rPr>
          <w:rFonts w:ascii="Times New Roman" w:hAnsi="Times New Roman" w:cs="Times New Roman"/>
          <w:sz w:val="24"/>
          <w:szCs w:val="24"/>
        </w:rPr>
        <w:t xml:space="preserve"> (UNIGE), </w:t>
      </w:r>
      <w:r w:rsidRPr="00BE5472">
        <w:rPr>
          <w:rFonts w:ascii="Times New Roman" w:hAnsi="Times New Roman" w:cs="Times New Roman"/>
          <w:i/>
          <w:sz w:val="24"/>
          <w:szCs w:val="24"/>
        </w:rPr>
        <w:t>Faculty of Economics and Social Sciences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Ekonomska fakulteta Univerze v Ljubljani</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University of Economics Prague</w:t>
      </w:r>
      <w:r w:rsidRPr="00BE5472">
        <w:rPr>
          <w:rFonts w:ascii="Times New Roman" w:hAnsi="Times New Roman" w:cs="Times New Roman"/>
          <w:sz w:val="24"/>
          <w:szCs w:val="24"/>
        </w:rPr>
        <w:t xml:space="preserve">, Ekonomski fakultet Univerziteta u Beogradu, te bio voditelj i predavač na ljetnoj školi </w:t>
      </w:r>
      <w:r w:rsidRPr="00BE5472">
        <w:rPr>
          <w:rFonts w:ascii="Times New Roman" w:hAnsi="Times New Roman" w:cs="Times New Roman"/>
          <w:i/>
          <w:sz w:val="24"/>
          <w:szCs w:val="24"/>
        </w:rPr>
        <w:t>Alpen - Adria Sommeruniversität, Wirtschaftsuniversität Wien</w:t>
      </w:r>
      <w:r w:rsidRPr="00BE5472">
        <w:rPr>
          <w:rFonts w:ascii="Times New Roman" w:hAnsi="Times New Roman" w:cs="Times New Roman"/>
          <w:sz w:val="24"/>
          <w:szCs w:val="24"/>
        </w:rPr>
        <w:t>.</w:t>
      </w:r>
    </w:p>
    <w:p w14:paraId="02690F35" w14:textId="69A61603" w:rsidR="001070F7" w:rsidRPr="00BE5472" w:rsidRDefault="001070F7" w:rsidP="00FE526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Pridružuje se 2007. godine grupi </w:t>
      </w:r>
      <w:r w:rsidR="00EB5B52" w:rsidRPr="00BE5472">
        <w:rPr>
          <w:rFonts w:ascii="Times New Roman" w:hAnsi="Times New Roman" w:cs="Times New Roman"/>
          <w:sz w:val="24"/>
          <w:szCs w:val="24"/>
        </w:rPr>
        <w:t>od 30-</w:t>
      </w:r>
      <w:r w:rsidRPr="00BE5472">
        <w:rPr>
          <w:rFonts w:ascii="Times New Roman" w:hAnsi="Times New Roman" w:cs="Times New Roman"/>
          <w:sz w:val="24"/>
          <w:szCs w:val="24"/>
        </w:rPr>
        <w:t xml:space="preserve">ak uglednih znanstvenika, koja u Beču osniva </w:t>
      </w:r>
      <w:r w:rsidRPr="00BE5472">
        <w:rPr>
          <w:rFonts w:ascii="Times New Roman" w:hAnsi="Times New Roman" w:cs="Times New Roman"/>
          <w:i/>
          <w:sz w:val="24"/>
          <w:szCs w:val="24"/>
        </w:rPr>
        <w:t>Tourism Education Futures Initiative</w:t>
      </w:r>
      <w:r w:rsidRPr="00BE5472">
        <w:rPr>
          <w:rFonts w:ascii="Times New Roman" w:hAnsi="Times New Roman" w:cs="Times New Roman"/>
          <w:sz w:val="24"/>
          <w:szCs w:val="24"/>
        </w:rPr>
        <w:t xml:space="preserve"> (TEFI). Glavni nalazi ove inicijative prezentirani su na TEFI 20</w:t>
      </w:r>
      <w:r w:rsidR="00EB5B52" w:rsidRPr="00BE5472">
        <w:rPr>
          <w:rFonts w:ascii="Times New Roman" w:hAnsi="Times New Roman" w:cs="Times New Roman"/>
          <w:sz w:val="24"/>
          <w:szCs w:val="24"/>
        </w:rPr>
        <w:t xml:space="preserve">11 </w:t>
      </w:r>
      <w:r w:rsidR="00EB5B52" w:rsidRPr="00BE5472">
        <w:rPr>
          <w:rFonts w:ascii="Times New Roman" w:hAnsi="Times New Roman" w:cs="Times New Roman"/>
          <w:i/>
          <w:sz w:val="24"/>
          <w:szCs w:val="24"/>
        </w:rPr>
        <w:t>World Congress</w:t>
      </w:r>
      <w:r w:rsidR="00EB5B52" w:rsidRPr="00BE5472">
        <w:rPr>
          <w:rFonts w:ascii="Times New Roman" w:hAnsi="Times New Roman" w:cs="Times New Roman"/>
          <w:sz w:val="24"/>
          <w:szCs w:val="24"/>
        </w:rPr>
        <w:t xml:space="preserve"> u Philadelphiji</w:t>
      </w:r>
      <w:r w:rsidRPr="00BE5472">
        <w:rPr>
          <w:rFonts w:ascii="Times New Roman" w:hAnsi="Times New Roman" w:cs="Times New Roman"/>
          <w:sz w:val="24"/>
          <w:szCs w:val="24"/>
        </w:rPr>
        <w:t xml:space="preserve">, međunarodnom časopisu </w:t>
      </w:r>
      <w:r w:rsidRPr="00BE5472">
        <w:rPr>
          <w:rFonts w:ascii="Times New Roman" w:hAnsi="Times New Roman" w:cs="Times New Roman"/>
          <w:i/>
          <w:sz w:val="24"/>
          <w:szCs w:val="24"/>
        </w:rPr>
        <w:t>Journal of Teaching in Travel &amp; Tourism</w:t>
      </w:r>
      <w:r w:rsidRPr="00BE5472">
        <w:rPr>
          <w:rFonts w:ascii="Times New Roman" w:hAnsi="Times New Roman" w:cs="Times New Roman"/>
          <w:sz w:val="24"/>
          <w:szCs w:val="24"/>
        </w:rPr>
        <w:t>, te knjizi „The Tourism Education Futures Initiative - Activating Change in Tourism Education“ (Routledge, Taylor &amp; Francis Group, 2013.), čiji je prvi urednik.</w:t>
      </w:r>
    </w:p>
    <w:p w14:paraId="59452BB7" w14:textId="65807C42" w:rsidR="000D0E0F" w:rsidRPr="00BE5472" w:rsidRDefault="001070F7" w:rsidP="000D0E0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Predsjednik je Savjeta za znanost Ekonomskog fakulteta - Zagreb, čija je misija savjetovanje uprave Fakulteta kako povećati znanstvenu produktivnost, popularizirati ekonomsku znanost i potaknuti internacionalizaciju znanstvenih istraživanja.</w:t>
      </w:r>
      <w:r w:rsidR="00C11248" w:rsidRPr="00BE5472">
        <w:rPr>
          <w:rFonts w:ascii="Times New Roman" w:hAnsi="Times New Roman" w:cs="Times New Roman"/>
          <w:sz w:val="24"/>
          <w:szCs w:val="24"/>
        </w:rPr>
        <w:t xml:space="preserve"> </w:t>
      </w:r>
      <w:r w:rsidR="00955DDC" w:rsidRPr="00BE5472">
        <w:rPr>
          <w:rFonts w:ascii="Times New Roman" w:hAnsi="Times New Roman" w:cs="Times New Roman"/>
          <w:sz w:val="24"/>
          <w:szCs w:val="24"/>
        </w:rPr>
        <w:t>Autor je brojnih radova, sudionik istraživačkih projekata i edukator menadžera. Član je vodećih strukovnih udruženja te dobitnik prestižnih priznanja, uključujući Državnu nagradu za znanost (2012.) i tri nagrade „Mijo Mirković“</w:t>
      </w:r>
      <w:r w:rsidR="009376DD" w:rsidRPr="00BE5472">
        <w:rPr>
          <w:rFonts w:ascii="Times New Roman" w:hAnsi="Times New Roman" w:cs="Times New Roman"/>
          <w:sz w:val="24"/>
          <w:szCs w:val="24"/>
        </w:rPr>
        <w:t xml:space="preserve"> Ekonomskog fakulteta</w:t>
      </w:r>
      <w:r w:rsidR="00EB5B52" w:rsidRPr="00BE5472">
        <w:rPr>
          <w:rFonts w:ascii="Times New Roman" w:hAnsi="Times New Roman" w:cs="Times New Roman"/>
          <w:sz w:val="24"/>
          <w:szCs w:val="24"/>
        </w:rPr>
        <w:t xml:space="preserve"> </w:t>
      </w:r>
      <w:r w:rsidR="009376DD" w:rsidRPr="00BE5472">
        <w:rPr>
          <w:rFonts w:ascii="Times New Roman" w:hAnsi="Times New Roman" w:cs="Times New Roman"/>
          <w:sz w:val="24"/>
          <w:szCs w:val="24"/>
        </w:rPr>
        <w:t>-</w:t>
      </w:r>
      <w:r w:rsidR="00EB5B52" w:rsidRPr="00BE5472">
        <w:rPr>
          <w:rFonts w:ascii="Times New Roman" w:hAnsi="Times New Roman" w:cs="Times New Roman"/>
          <w:sz w:val="24"/>
          <w:szCs w:val="24"/>
        </w:rPr>
        <w:t xml:space="preserve"> </w:t>
      </w:r>
      <w:r w:rsidR="009376DD" w:rsidRPr="00BE5472">
        <w:rPr>
          <w:rFonts w:ascii="Times New Roman" w:hAnsi="Times New Roman" w:cs="Times New Roman"/>
          <w:sz w:val="24"/>
          <w:szCs w:val="24"/>
        </w:rPr>
        <w:t>Zagreb</w:t>
      </w:r>
      <w:r w:rsidR="000D0E0F" w:rsidRPr="00BE5472">
        <w:rPr>
          <w:rFonts w:ascii="Times New Roman" w:hAnsi="Times New Roman" w:cs="Times New Roman"/>
          <w:sz w:val="24"/>
          <w:szCs w:val="24"/>
        </w:rPr>
        <w:t xml:space="preserve">. </w:t>
      </w:r>
      <w:r w:rsidR="00955DDC" w:rsidRPr="00BE5472">
        <w:rPr>
          <w:rFonts w:ascii="Times New Roman" w:hAnsi="Times New Roman" w:cs="Times New Roman"/>
          <w:sz w:val="24"/>
          <w:szCs w:val="24"/>
        </w:rPr>
        <w:t>Služi se engleskim, njemačkim i slovenskim jezikom</w:t>
      </w:r>
      <w:r w:rsidR="000D0E0F" w:rsidRPr="00BE5472">
        <w:rPr>
          <w:rFonts w:ascii="Times New Roman" w:hAnsi="Times New Roman" w:cs="Times New Roman"/>
          <w:sz w:val="24"/>
          <w:szCs w:val="24"/>
        </w:rPr>
        <w:t>.</w:t>
      </w:r>
    </w:p>
    <w:p w14:paraId="2E332E25" w14:textId="0B5B3253" w:rsidR="003D13C0" w:rsidRPr="00BE5472" w:rsidRDefault="003D13C0">
      <w:pPr>
        <w:rPr>
          <w:rFonts w:ascii="Times New Roman" w:hAnsi="Times New Roman" w:cs="Times New Roman"/>
          <w:sz w:val="24"/>
          <w:szCs w:val="24"/>
          <w:lang w:val="en-US"/>
        </w:rPr>
      </w:pPr>
    </w:p>
    <w:sdt>
      <w:sdtPr>
        <w:rPr>
          <w:rFonts w:ascii="Times New Roman" w:eastAsiaTheme="minorEastAsia" w:hAnsi="Times New Roman" w:cs="Times New Roman"/>
          <w:color w:val="auto"/>
          <w:sz w:val="22"/>
          <w:szCs w:val="22"/>
          <w:lang w:val="hr-HR"/>
        </w:rPr>
        <w:id w:val="-691148363"/>
        <w:docPartObj>
          <w:docPartGallery w:val="Table of Contents"/>
          <w:docPartUnique/>
        </w:docPartObj>
      </w:sdtPr>
      <w:sdtEndPr>
        <w:rPr>
          <w:b/>
          <w:bCs/>
        </w:rPr>
      </w:sdtEndPr>
      <w:sdtContent>
        <w:p w14:paraId="0B251602" w14:textId="5D99ABF9" w:rsidR="003D13C0" w:rsidRPr="00BE5472" w:rsidRDefault="003D13C0">
          <w:pPr>
            <w:pStyle w:val="TOCHeading"/>
            <w:rPr>
              <w:rFonts w:ascii="Times New Roman" w:hAnsi="Times New Roman" w:cs="Times New Roman"/>
            </w:rPr>
          </w:pPr>
          <w:r w:rsidRPr="00BE5472">
            <w:rPr>
              <w:rFonts w:ascii="Times New Roman" w:hAnsi="Times New Roman" w:cs="Times New Roman"/>
              <w:lang w:val="hr-HR"/>
            </w:rPr>
            <w:t>Sadržaj</w:t>
          </w:r>
        </w:p>
        <w:p w14:paraId="6AE67DB7" w14:textId="284C5271" w:rsidR="003D46C7" w:rsidRDefault="009A059E">
          <w:pPr>
            <w:pStyle w:val="TOC1"/>
            <w:tabs>
              <w:tab w:val="right" w:leader="dot" w:pos="9350"/>
            </w:tabs>
            <w:rPr>
              <w:rFonts w:eastAsiaTheme="minorEastAsia"/>
              <w:noProof/>
              <w:lang w:val="en-US"/>
            </w:rPr>
          </w:pPr>
          <w:r w:rsidRPr="00BE5472">
            <w:rPr>
              <w:rFonts w:ascii="Times New Roman" w:hAnsi="Times New Roman" w:cs="Times New Roman"/>
              <w:b/>
              <w:bCs/>
            </w:rPr>
            <w:fldChar w:fldCharType="begin"/>
          </w:r>
          <w:r w:rsidRPr="00BE5472">
            <w:rPr>
              <w:rFonts w:ascii="Times New Roman" w:hAnsi="Times New Roman" w:cs="Times New Roman"/>
              <w:b/>
              <w:bCs/>
            </w:rPr>
            <w:instrText xml:space="preserve"> TOC \o "1-4" \h \z \u </w:instrText>
          </w:r>
          <w:r w:rsidRPr="00BE5472">
            <w:rPr>
              <w:rFonts w:ascii="Times New Roman" w:hAnsi="Times New Roman" w:cs="Times New Roman"/>
              <w:b/>
              <w:bCs/>
            </w:rPr>
            <w:fldChar w:fldCharType="separate"/>
          </w:r>
          <w:hyperlink w:anchor="_Toc241865120" w:history="1">
            <w:r w:rsidR="003D46C7" w:rsidRPr="00722EA2">
              <w:rPr>
                <w:rStyle w:val="Hyperlink"/>
                <w:rFonts w:ascii="Times New Roman" w:hAnsi="Times New Roman" w:cs="Times New Roman"/>
                <w:noProof/>
              </w:rPr>
              <w:t>SAŽETAK</w:t>
            </w:r>
            <w:r w:rsidR="003D46C7">
              <w:rPr>
                <w:noProof/>
                <w:webHidden/>
              </w:rPr>
              <w:tab/>
            </w:r>
            <w:r w:rsidR="003D46C7">
              <w:rPr>
                <w:noProof/>
                <w:webHidden/>
              </w:rPr>
              <w:fldChar w:fldCharType="begin"/>
            </w:r>
            <w:r w:rsidR="003D46C7">
              <w:rPr>
                <w:noProof/>
                <w:webHidden/>
              </w:rPr>
              <w:instrText xml:space="preserve"> PAGEREF _Toc241865120 \h </w:instrText>
            </w:r>
            <w:r w:rsidR="003D46C7">
              <w:rPr>
                <w:noProof/>
                <w:webHidden/>
              </w:rPr>
            </w:r>
            <w:r w:rsidR="003D46C7">
              <w:rPr>
                <w:noProof/>
                <w:webHidden/>
              </w:rPr>
              <w:fldChar w:fldCharType="separate"/>
            </w:r>
            <w:r w:rsidR="003D46C7">
              <w:rPr>
                <w:noProof/>
                <w:webHidden/>
              </w:rPr>
              <w:t>VII</w:t>
            </w:r>
            <w:r w:rsidR="003D46C7">
              <w:rPr>
                <w:noProof/>
                <w:webHidden/>
              </w:rPr>
              <w:fldChar w:fldCharType="end"/>
            </w:r>
          </w:hyperlink>
        </w:p>
        <w:p w14:paraId="2771BFE1" w14:textId="77ABB8EE" w:rsidR="003D46C7" w:rsidRDefault="003D46C7">
          <w:pPr>
            <w:pStyle w:val="TOC1"/>
            <w:tabs>
              <w:tab w:val="right" w:leader="dot" w:pos="9350"/>
            </w:tabs>
            <w:rPr>
              <w:rFonts w:eastAsiaTheme="minorEastAsia"/>
              <w:noProof/>
              <w:lang w:val="en-US"/>
            </w:rPr>
          </w:pPr>
          <w:hyperlink w:anchor="_Toc241865121" w:history="1">
            <w:r w:rsidRPr="00722EA2">
              <w:rPr>
                <w:rStyle w:val="Hyperlink"/>
                <w:rFonts w:ascii="Times New Roman" w:hAnsi="Times New Roman" w:cs="Times New Roman"/>
                <w:noProof/>
              </w:rPr>
              <w:t>EXTENDED ABSTRACT</w:t>
            </w:r>
            <w:r>
              <w:rPr>
                <w:noProof/>
                <w:webHidden/>
              </w:rPr>
              <w:tab/>
            </w:r>
            <w:r>
              <w:rPr>
                <w:noProof/>
                <w:webHidden/>
              </w:rPr>
              <w:fldChar w:fldCharType="begin"/>
            </w:r>
            <w:r>
              <w:rPr>
                <w:noProof/>
                <w:webHidden/>
              </w:rPr>
              <w:instrText xml:space="preserve"> PAGEREF _Toc241865121 \h </w:instrText>
            </w:r>
            <w:r>
              <w:rPr>
                <w:noProof/>
                <w:webHidden/>
              </w:rPr>
            </w:r>
            <w:r>
              <w:rPr>
                <w:noProof/>
                <w:webHidden/>
              </w:rPr>
              <w:fldChar w:fldCharType="separate"/>
            </w:r>
            <w:r>
              <w:rPr>
                <w:noProof/>
                <w:webHidden/>
              </w:rPr>
              <w:t>VIII</w:t>
            </w:r>
            <w:r>
              <w:rPr>
                <w:noProof/>
                <w:webHidden/>
              </w:rPr>
              <w:fldChar w:fldCharType="end"/>
            </w:r>
          </w:hyperlink>
        </w:p>
        <w:p w14:paraId="51DAF1E1" w14:textId="6C265627" w:rsidR="003D46C7" w:rsidRDefault="003D46C7">
          <w:pPr>
            <w:pStyle w:val="TOC1"/>
            <w:tabs>
              <w:tab w:val="right" w:leader="dot" w:pos="9350"/>
            </w:tabs>
            <w:rPr>
              <w:rFonts w:eastAsiaTheme="minorEastAsia"/>
              <w:noProof/>
              <w:lang w:val="en-US"/>
            </w:rPr>
          </w:pPr>
          <w:hyperlink w:anchor="_Toc241865122" w:history="1">
            <w:r w:rsidRPr="00722EA2">
              <w:rPr>
                <w:rStyle w:val="Hyperlink"/>
                <w:rFonts w:ascii="Times New Roman" w:hAnsi="Times New Roman" w:cs="Times New Roman"/>
                <w:noProof/>
              </w:rPr>
              <w:t>1. UVOD</w:t>
            </w:r>
            <w:r>
              <w:rPr>
                <w:noProof/>
                <w:webHidden/>
              </w:rPr>
              <w:tab/>
            </w:r>
            <w:r>
              <w:rPr>
                <w:noProof/>
                <w:webHidden/>
              </w:rPr>
              <w:fldChar w:fldCharType="begin"/>
            </w:r>
            <w:r>
              <w:rPr>
                <w:noProof/>
                <w:webHidden/>
              </w:rPr>
              <w:instrText xml:space="preserve"> PAGEREF _Toc241865122 \h </w:instrText>
            </w:r>
            <w:r>
              <w:rPr>
                <w:noProof/>
                <w:webHidden/>
              </w:rPr>
            </w:r>
            <w:r>
              <w:rPr>
                <w:noProof/>
                <w:webHidden/>
              </w:rPr>
              <w:fldChar w:fldCharType="separate"/>
            </w:r>
            <w:r>
              <w:rPr>
                <w:noProof/>
                <w:webHidden/>
              </w:rPr>
              <w:t>1</w:t>
            </w:r>
            <w:r>
              <w:rPr>
                <w:noProof/>
                <w:webHidden/>
              </w:rPr>
              <w:fldChar w:fldCharType="end"/>
            </w:r>
          </w:hyperlink>
        </w:p>
        <w:p w14:paraId="577E2818" w14:textId="54BC1FB2" w:rsidR="003D46C7" w:rsidRDefault="003D46C7">
          <w:pPr>
            <w:pStyle w:val="TOC2"/>
            <w:rPr>
              <w:rFonts w:eastAsiaTheme="minorEastAsia"/>
              <w:lang w:val="en-US"/>
            </w:rPr>
          </w:pPr>
          <w:hyperlink w:anchor="_Toc241865123" w:history="1">
            <w:r w:rsidRPr="00722EA2">
              <w:rPr>
                <w:rStyle w:val="Hyperlink"/>
                <w:rFonts w:ascii="Times New Roman" w:hAnsi="Times New Roman" w:cs="Times New Roman"/>
              </w:rPr>
              <w:t>1.1. Definiranje problema i ciljeva istraživanja</w:t>
            </w:r>
            <w:r>
              <w:rPr>
                <w:webHidden/>
              </w:rPr>
              <w:tab/>
            </w:r>
            <w:r>
              <w:rPr>
                <w:webHidden/>
              </w:rPr>
              <w:fldChar w:fldCharType="begin"/>
            </w:r>
            <w:r>
              <w:rPr>
                <w:webHidden/>
              </w:rPr>
              <w:instrText xml:space="preserve"> PAGEREF _Toc241865123 \h </w:instrText>
            </w:r>
            <w:r>
              <w:rPr>
                <w:webHidden/>
              </w:rPr>
            </w:r>
            <w:r>
              <w:rPr>
                <w:webHidden/>
              </w:rPr>
              <w:fldChar w:fldCharType="separate"/>
            </w:r>
            <w:r>
              <w:rPr>
                <w:webHidden/>
              </w:rPr>
              <w:t>1</w:t>
            </w:r>
            <w:r>
              <w:rPr>
                <w:webHidden/>
              </w:rPr>
              <w:fldChar w:fldCharType="end"/>
            </w:r>
          </w:hyperlink>
        </w:p>
        <w:p w14:paraId="1DD4F504" w14:textId="629EB3C7" w:rsidR="003D46C7" w:rsidRDefault="003D46C7">
          <w:pPr>
            <w:pStyle w:val="TOC2"/>
            <w:rPr>
              <w:rFonts w:eastAsiaTheme="minorEastAsia"/>
              <w:lang w:val="en-US"/>
            </w:rPr>
          </w:pPr>
          <w:hyperlink w:anchor="_Toc241865124" w:history="1">
            <w:r w:rsidRPr="00722EA2">
              <w:rPr>
                <w:rStyle w:val="Hyperlink"/>
                <w:rFonts w:ascii="Times New Roman" w:hAnsi="Times New Roman" w:cs="Times New Roman"/>
              </w:rPr>
              <w:t>1.2. Ciljevi istraživanja i temeljna istraživačka pitanja</w:t>
            </w:r>
            <w:r>
              <w:rPr>
                <w:webHidden/>
              </w:rPr>
              <w:tab/>
            </w:r>
            <w:r>
              <w:rPr>
                <w:webHidden/>
              </w:rPr>
              <w:fldChar w:fldCharType="begin"/>
            </w:r>
            <w:r>
              <w:rPr>
                <w:webHidden/>
              </w:rPr>
              <w:instrText xml:space="preserve"> PAGEREF _Toc241865124 \h </w:instrText>
            </w:r>
            <w:r>
              <w:rPr>
                <w:webHidden/>
              </w:rPr>
            </w:r>
            <w:r>
              <w:rPr>
                <w:webHidden/>
              </w:rPr>
              <w:fldChar w:fldCharType="separate"/>
            </w:r>
            <w:r>
              <w:rPr>
                <w:webHidden/>
              </w:rPr>
              <w:t>6</w:t>
            </w:r>
            <w:r>
              <w:rPr>
                <w:webHidden/>
              </w:rPr>
              <w:fldChar w:fldCharType="end"/>
            </w:r>
          </w:hyperlink>
        </w:p>
        <w:p w14:paraId="0DC85B32" w14:textId="48AA7582" w:rsidR="003D46C7" w:rsidRDefault="003D46C7">
          <w:pPr>
            <w:pStyle w:val="TOC2"/>
            <w:rPr>
              <w:rFonts w:eastAsiaTheme="minorEastAsia"/>
              <w:lang w:val="en-US"/>
            </w:rPr>
          </w:pPr>
          <w:hyperlink w:anchor="_Toc241865125" w:history="1">
            <w:r w:rsidRPr="00722EA2">
              <w:rPr>
                <w:rStyle w:val="Hyperlink"/>
                <w:rFonts w:ascii="Times New Roman" w:hAnsi="Times New Roman" w:cs="Times New Roman"/>
              </w:rPr>
              <w:t>1.3. Hipoteze istraživanja</w:t>
            </w:r>
            <w:r>
              <w:rPr>
                <w:webHidden/>
              </w:rPr>
              <w:tab/>
            </w:r>
            <w:r>
              <w:rPr>
                <w:webHidden/>
              </w:rPr>
              <w:fldChar w:fldCharType="begin"/>
            </w:r>
            <w:r>
              <w:rPr>
                <w:webHidden/>
              </w:rPr>
              <w:instrText xml:space="preserve"> PAGEREF _Toc241865125 \h </w:instrText>
            </w:r>
            <w:r>
              <w:rPr>
                <w:webHidden/>
              </w:rPr>
            </w:r>
            <w:r>
              <w:rPr>
                <w:webHidden/>
              </w:rPr>
              <w:fldChar w:fldCharType="separate"/>
            </w:r>
            <w:r>
              <w:rPr>
                <w:webHidden/>
              </w:rPr>
              <w:t>10</w:t>
            </w:r>
            <w:r>
              <w:rPr>
                <w:webHidden/>
              </w:rPr>
              <w:fldChar w:fldCharType="end"/>
            </w:r>
          </w:hyperlink>
        </w:p>
        <w:p w14:paraId="5A5F3E3E" w14:textId="769E4F61" w:rsidR="003D46C7" w:rsidRDefault="003D46C7">
          <w:pPr>
            <w:pStyle w:val="TOC2"/>
            <w:rPr>
              <w:rFonts w:eastAsiaTheme="minorEastAsia"/>
              <w:lang w:val="en-US"/>
            </w:rPr>
          </w:pPr>
          <w:hyperlink w:anchor="_Toc241865126" w:history="1">
            <w:r w:rsidRPr="00722EA2">
              <w:rPr>
                <w:rStyle w:val="Hyperlink"/>
                <w:rFonts w:ascii="Times New Roman" w:hAnsi="Times New Roman" w:cs="Times New Roman"/>
              </w:rPr>
              <w:t>1.4. Izvori podataka i metode istraživanja</w:t>
            </w:r>
            <w:r>
              <w:rPr>
                <w:webHidden/>
              </w:rPr>
              <w:tab/>
            </w:r>
            <w:r>
              <w:rPr>
                <w:webHidden/>
              </w:rPr>
              <w:fldChar w:fldCharType="begin"/>
            </w:r>
            <w:r>
              <w:rPr>
                <w:webHidden/>
              </w:rPr>
              <w:instrText xml:space="preserve"> PAGEREF _Toc241865126 \h </w:instrText>
            </w:r>
            <w:r>
              <w:rPr>
                <w:webHidden/>
              </w:rPr>
            </w:r>
            <w:r>
              <w:rPr>
                <w:webHidden/>
              </w:rPr>
              <w:fldChar w:fldCharType="separate"/>
            </w:r>
            <w:r>
              <w:rPr>
                <w:webHidden/>
              </w:rPr>
              <w:t>12</w:t>
            </w:r>
            <w:r>
              <w:rPr>
                <w:webHidden/>
              </w:rPr>
              <w:fldChar w:fldCharType="end"/>
            </w:r>
          </w:hyperlink>
        </w:p>
        <w:p w14:paraId="12E3A964" w14:textId="4BDAC954" w:rsidR="003D46C7" w:rsidRDefault="003D46C7">
          <w:pPr>
            <w:pStyle w:val="TOC2"/>
            <w:rPr>
              <w:rFonts w:eastAsiaTheme="minorEastAsia"/>
              <w:lang w:val="en-US"/>
            </w:rPr>
          </w:pPr>
          <w:hyperlink w:anchor="_Toc241865127" w:history="1">
            <w:r w:rsidRPr="00722EA2">
              <w:rPr>
                <w:rStyle w:val="Hyperlink"/>
                <w:rFonts w:ascii="Times New Roman" w:hAnsi="Times New Roman" w:cs="Times New Roman"/>
              </w:rPr>
              <w:t>1.5. Struktura rada</w:t>
            </w:r>
            <w:r>
              <w:rPr>
                <w:webHidden/>
              </w:rPr>
              <w:tab/>
            </w:r>
            <w:r>
              <w:rPr>
                <w:webHidden/>
              </w:rPr>
              <w:fldChar w:fldCharType="begin"/>
            </w:r>
            <w:r>
              <w:rPr>
                <w:webHidden/>
              </w:rPr>
              <w:instrText xml:space="preserve"> PAGEREF _Toc241865127 \h </w:instrText>
            </w:r>
            <w:r>
              <w:rPr>
                <w:webHidden/>
              </w:rPr>
            </w:r>
            <w:r>
              <w:rPr>
                <w:webHidden/>
              </w:rPr>
              <w:fldChar w:fldCharType="separate"/>
            </w:r>
            <w:r>
              <w:rPr>
                <w:webHidden/>
              </w:rPr>
              <w:t>14</w:t>
            </w:r>
            <w:r>
              <w:rPr>
                <w:webHidden/>
              </w:rPr>
              <w:fldChar w:fldCharType="end"/>
            </w:r>
          </w:hyperlink>
        </w:p>
        <w:p w14:paraId="42E62523" w14:textId="2B44C7B3" w:rsidR="003D46C7" w:rsidRDefault="003D46C7">
          <w:pPr>
            <w:pStyle w:val="TOC2"/>
            <w:rPr>
              <w:rFonts w:eastAsiaTheme="minorEastAsia"/>
              <w:lang w:val="en-US"/>
            </w:rPr>
          </w:pPr>
          <w:hyperlink w:anchor="_Toc241865128" w:history="1">
            <w:r w:rsidRPr="00722EA2">
              <w:rPr>
                <w:rStyle w:val="Hyperlink"/>
                <w:rFonts w:ascii="Times New Roman" w:hAnsi="Times New Roman" w:cs="Times New Roman"/>
              </w:rPr>
              <w:t>1.6. Znanstveni doprinos</w:t>
            </w:r>
            <w:r>
              <w:rPr>
                <w:webHidden/>
              </w:rPr>
              <w:tab/>
            </w:r>
            <w:r>
              <w:rPr>
                <w:webHidden/>
              </w:rPr>
              <w:fldChar w:fldCharType="begin"/>
            </w:r>
            <w:r>
              <w:rPr>
                <w:webHidden/>
              </w:rPr>
              <w:instrText xml:space="preserve"> PAGEREF _Toc241865128 \h </w:instrText>
            </w:r>
            <w:r>
              <w:rPr>
                <w:webHidden/>
              </w:rPr>
            </w:r>
            <w:r>
              <w:rPr>
                <w:webHidden/>
              </w:rPr>
              <w:fldChar w:fldCharType="separate"/>
            </w:r>
            <w:r>
              <w:rPr>
                <w:webHidden/>
              </w:rPr>
              <w:t>15</w:t>
            </w:r>
            <w:r>
              <w:rPr>
                <w:webHidden/>
              </w:rPr>
              <w:fldChar w:fldCharType="end"/>
            </w:r>
          </w:hyperlink>
        </w:p>
        <w:p w14:paraId="122B9851" w14:textId="7E4618DC" w:rsidR="003D46C7" w:rsidRDefault="003D46C7">
          <w:pPr>
            <w:pStyle w:val="TOC1"/>
            <w:tabs>
              <w:tab w:val="right" w:leader="dot" w:pos="9350"/>
            </w:tabs>
            <w:rPr>
              <w:rFonts w:eastAsiaTheme="minorEastAsia"/>
              <w:noProof/>
              <w:lang w:val="en-US"/>
            </w:rPr>
          </w:pPr>
          <w:hyperlink w:anchor="_Toc241865129" w:history="1">
            <w:r w:rsidRPr="00722EA2">
              <w:rPr>
                <w:rStyle w:val="Hyperlink"/>
                <w:rFonts w:ascii="Times New Roman" w:hAnsi="Times New Roman" w:cs="Times New Roman"/>
                <w:noProof/>
              </w:rPr>
              <w:t>2. OBILJEŽJA HOTELSKE INDUSTRIJE</w:t>
            </w:r>
            <w:r>
              <w:rPr>
                <w:noProof/>
                <w:webHidden/>
              </w:rPr>
              <w:tab/>
            </w:r>
            <w:r>
              <w:rPr>
                <w:noProof/>
                <w:webHidden/>
              </w:rPr>
              <w:fldChar w:fldCharType="begin"/>
            </w:r>
            <w:r>
              <w:rPr>
                <w:noProof/>
                <w:webHidden/>
              </w:rPr>
              <w:instrText xml:space="preserve"> PAGEREF _Toc241865129 \h </w:instrText>
            </w:r>
            <w:r>
              <w:rPr>
                <w:noProof/>
                <w:webHidden/>
              </w:rPr>
            </w:r>
            <w:r>
              <w:rPr>
                <w:noProof/>
                <w:webHidden/>
              </w:rPr>
              <w:fldChar w:fldCharType="separate"/>
            </w:r>
            <w:r>
              <w:rPr>
                <w:noProof/>
                <w:webHidden/>
              </w:rPr>
              <w:t>17</w:t>
            </w:r>
            <w:r>
              <w:rPr>
                <w:noProof/>
                <w:webHidden/>
              </w:rPr>
              <w:fldChar w:fldCharType="end"/>
            </w:r>
          </w:hyperlink>
        </w:p>
        <w:p w14:paraId="2D7F24C8" w14:textId="1361410D" w:rsidR="003D46C7" w:rsidRDefault="003D46C7">
          <w:pPr>
            <w:pStyle w:val="TOC2"/>
            <w:rPr>
              <w:rFonts w:eastAsiaTheme="minorEastAsia"/>
              <w:lang w:val="en-US"/>
            </w:rPr>
          </w:pPr>
          <w:hyperlink w:anchor="_Toc241865130" w:history="1">
            <w:r w:rsidRPr="00722EA2">
              <w:rPr>
                <w:rStyle w:val="Hyperlink"/>
                <w:rFonts w:ascii="Times New Roman" w:hAnsi="Times New Roman" w:cs="Times New Roman"/>
              </w:rPr>
              <w:t>2.1. Povijesni razvoj hotelijerstva</w:t>
            </w:r>
            <w:r>
              <w:rPr>
                <w:webHidden/>
              </w:rPr>
              <w:tab/>
            </w:r>
            <w:r>
              <w:rPr>
                <w:webHidden/>
              </w:rPr>
              <w:fldChar w:fldCharType="begin"/>
            </w:r>
            <w:r>
              <w:rPr>
                <w:webHidden/>
              </w:rPr>
              <w:instrText xml:space="preserve"> PAGEREF _Toc241865130 \h </w:instrText>
            </w:r>
            <w:r>
              <w:rPr>
                <w:webHidden/>
              </w:rPr>
            </w:r>
            <w:r>
              <w:rPr>
                <w:webHidden/>
              </w:rPr>
              <w:fldChar w:fldCharType="separate"/>
            </w:r>
            <w:r>
              <w:rPr>
                <w:webHidden/>
              </w:rPr>
              <w:t>17</w:t>
            </w:r>
            <w:r>
              <w:rPr>
                <w:webHidden/>
              </w:rPr>
              <w:fldChar w:fldCharType="end"/>
            </w:r>
          </w:hyperlink>
        </w:p>
        <w:p w14:paraId="01B2DFD5" w14:textId="590AAB53" w:rsidR="003D46C7" w:rsidRDefault="003D46C7">
          <w:pPr>
            <w:pStyle w:val="TOC2"/>
            <w:rPr>
              <w:rFonts w:eastAsiaTheme="minorEastAsia"/>
              <w:lang w:val="en-US"/>
            </w:rPr>
          </w:pPr>
          <w:hyperlink w:anchor="_Toc241865131" w:history="1">
            <w:r w:rsidRPr="00722EA2">
              <w:rPr>
                <w:rStyle w:val="Hyperlink"/>
                <w:rFonts w:ascii="Times New Roman" w:hAnsi="Times New Roman" w:cs="Times New Roman"/>
              </w:rPr>
              <w:t>2.2. Hotelska industrija u svijetu</w:t>
            </w:r>
            <w:r>
              <w:rPr>
                <w:webHidden/>
              </w:rPr>
              <w:tab/>
            </w:r>
            <w:r>
              <w:rPr>
                <w:webHidden/>
              </w:rPr>
              <w:fldChar w:fldCharType="begin"/>
            </w:r>
            <w:r>
              <w:rPr>
                <w:webHidden/>
              </w:rPr>
              <w:instrText xml:space="preserve"> PAGEREF _Toc241865131 \h </w:instrText>
            </w:r>
            <w:r>
              <w:rPr>
                <w:webHidden/>
              </w:rPr>
            </w:r>
            <w:r>
              <w:rPr>
                <w:webHidden/>
              </w:rPr>
              <w:fldChar w:fldCharType="separate"/>
            </w:r>
            <w:r>
              <w:rPr>
                <w:webHidden/>
              </w:rPr>
              <w:t>31</w:t>
            </w:r>
            <w:r>
              <w:rPr>
                <w:webHidden/>
              </w:rPr>
              <w:fldChar w:fldCharType="end"/>
            </w:r>
          </w:hyperlink>
        </w:p>
        <w:p w14:paraId="46419352" w14:textId="25FC4147" w:rsidR="003D46C7" w:rsidRDefault="003D46C7">
          <w:pPr>
            <w:pStyle w:val="TOC2"/>
            <w:rPr>
              <w:rFonts w:eastAsiaTheme="minorEastAsia"/>
              <w:lang w:val="en-US"/>
            </w:rPr>
          </w:pPr>
          <w:hyperlink w:anchor="_Toc241865132" w:history="1">
            <w:r w:rsidRPr="00722EA2">
              <w:rPr>
                <w:rStyle w:val="Hyperlink"/>
                <w:rFonts w:ascii="Times New Roman" w:hAnsi="Times New Roman" w:cs="Times New Roman"/>
              </w:rPr>
              <w:t>2.3. Hotelska industrija u Hrvatskoj</w:t>
            </w:r>
            <w:r>
              <w:rPr>
                <w:webHidden/>
              </w:rPr>
              <w:tab/>
            </w:r>
            <w:r>
              <w:rPr>
                <w:webHidden/>
              </w:rPr>
              <w:fldChar w:fldCharType="begin"/>
            </w:r>
            <w:r>
              <w:rPr>
                <w:webHidden/>
              </w:rPr>
              <w:instrText xml:space="preserve"> PAGEREF _Toc241865132 \h </w:instrText>
            </w:r>
            <w:r>
              <w:rPr>
                <w:webHidden/>
              </w:rPr>
            </w:r>
            <w:r>
              <w:rPr>
                <w:webHidden/>
              </w:rPr>
              <w:fldChar w:fldCharType="separate"/>
            </w:r>
            <w:r>
              <w:rPr>
                <w:webHidden/>
              </w:rPr>
              <w:t>38</w:t>
            </w:r>
            <w:r>
              <w:rPr>
                <w:webHidden/>
              </w:rPr>
              <w:fldChar w:fldCharType="end"/>
            </w:r>
          </w:hyperlink>
        </w:p>
        <w:p w14:paraId="5CBD7952" w14:textId="22588843" w:rsidR="003D46C7" w:rsidRDefault="003D46C7">
          <w:pPr>
            <w:pStyle w:val="TOC2"/>
            <w:rPr>
              <w:rFonts w:eastAsiaTheme="minorEastAsia"/>
              <w:lang w:val="en-US"/>
            </w:rPr>
          </w:pPr>
          <w:hyperlink w:anchor="_Toc241865133" w:history="1">
            <w:r w:rsidRPr="00722EA2">
              <w:rPr>
                <w:rStyle w:val="Hyperlink"/>
                <w:rFonts w:ascii="Times New Roman" w:hAnsi="Times New Roman" w:cs="Times New Roman"/>
              </w:rPr>
              <w:t>2.4. Obilježja i specifičnosti poslovanja hotelskog sektora</w:t>
            </w:r>
            <w:r>
              <w:rPr>
                <w:webHidden/>
              </w:rPr>
              <w:tab/>
            </w:r>
            <w:r>
              <w:rPr>
                <w:webHidden/>
              </w:rPr>
              <w:fldChar w:fldCharType="begin"/>
            </w:r>
            <w:r>
              <w:rPr>
                <w:webHidden/>
              </w:rPr>
              <w:instrText xml:space="preserve"> PAGEREF _Toc241865133 \h </w:instrText>
            </w:r>
            <w:r>
              <w:rPr>
                <w:webHidden/>
              </w:rPr>
            </w:r>
            <w:r>
              <w:rPr>
                <w:webHidden/>
              </w:rPr>
              <w:fldChar w:fldCharType="separate"/>
            </w:r>
            <w:r>
              <w:rPr>
                <w:webHidden/>
              </w:rPr>
              <w:t>46</w:t>
            </w:r>
            <w:r>
              <w:rPr>
                <w:webHidden/>
              </w:rPr>
              <w:fldChar w:fldCharType="end"/>
            </w:r>
          </w:hyperlink>
        </w:p>
        <w:p w14:paraId="6BE42909" w14:textId="1011C3B5" w:rsidR="003D46C7" w:rsidRDefault="003D46C7">
          <w:pPr>
            <w:pStyle w:val="TOC2"/>
            <w:rPr>
              <w:rFonts w:eastAsiaTheme="minorEastAsia"/>
              <w:lang w:val="en-US"/>
            </w:rPr>
          </w:pPr>
          <w:hyperlink w:anchor="_Toc241865134" w:history="1">
            <w:r w:rsidRPr="00722EA2">
              <w:rPr>
                <w:rStyle w:val="Hyperlink"/>
                <w:rFonts w:ascii="Times New Roman" w:hAnsi="Times New Roman" w:cs="Times New Roman"/>
              </w:rPr>
              <w:t>2.5. Suvremeni koncepti hotelskog menadžmenta</w:t>
            </w:r>
            <w:r>
              <w:rPr>
                <w:webHidden/>
              </w:rPr>
              <w:tab/>
            </w:r>
            <w:r>
              <w:rPr>
                <w:webHidden/>
              </w:rPr>
              <w:fldChar w:fldCharType="begin"/>
            </w:r>
            <w:r>
              <w:rPr>
                <w:webHidden/>
              </w:rPr>
              <w:instrText xml:space="preserve"> PAGEREF _Toc241865134 \h </w:instrText>
            </w:r>
            <w:r>
              <w:rPr>
                <w:webHidden/>
              </w:rPr>
            </w:r>
            <w:r>
              <w:rPr>
                <w:webHidden/>
              </w:rPr>
              <w:fldChar w:fldCharType="separate"/>
            </w:r>
            <w:r>
              <w:rPr>
                <w:webHidden/>
              </w:rPr>
              <w:t>51</w:t>
            </w:r>
            <w:r>
              <w:rPr>
                <w:webHidden/>
              </w:rPr>
              <w:fldChar w:fldCharType="end"/>
            </w:r>
          </w:hyperlink>
        </w:p>
        <w:p w14:paraId="2B072DD7" w14:textId="675AF52B" w:rsidR="003D46C7" w:rsidRDefault="003D46C7">
          <w:pPr>
            <w:pStyle w:val="TOC2"/>
            <w:rPr>
              <w:rFonts w:eastAsiaTheme="minorEastAsia"/>
              <w:lang w:val="en-US"/>
            </w:rPr>
          </w:pPr>
          <w:hyperlink w:anchor="_Toc241865135" w:history="1">
            <w:r w:rsidRPr="00722EA2">
              <w:rPr>
                <w:rStyle w:val="Hyperlink"/>
                <w:rFonts w:ascii="Times New Roman" w:hAnsi="Times New Roman" w:cs="Times New Roman"/>
              </w:rPr>
              <w:t>2.6. Budući trendovi u hotelijerstvu</w:t>
            </w:r>
            <w:r>
              <w:rPr>
                <w:webHidden/>
              </w:rPr>
              <w:tab/>
            </w:r>
            <w:r>
              <w:rPr>
                <w:webHidden/>
              </w:rPr>
              <w:fldChar w:fldCharType="begin"/>
            </w:r>
            <w:r>
              <w:rPr>
                <w:webHidden/>
              </w:rPr>
              <w:instrText xml:space="preserve"> PAGEREF _Toc241865135 \h </w:instrText>
            </w:r>
            <w:r>
              <w:rPr>
                <w:webHidden/>
              </w:rPr>
            </w:r>
            <w:r>
              <w:rPr>
                <w:webHidden/>
              </w:rPr>
              <w:fldChar w:fldCharType="separate"/>
            </w:r>
            <w:r>
              <w:rPr>
                <w:webHidden/>
              </w:rPr>
              <w:t>54</w:t>
            </w:r>
            <w:r>
              <w:rPr>
                <w:webHidden/>
              </w:rPr>
              <w:fldChar w:fldCharType="end"/>
            </w:r>
          </w:hyperlink>
        </w:p>
        <w:p w14:paraId="4D76566A" w14:textId="202139C4" w:rsidR="003D46C7" w:rsidRDefault="003D46C7">
          <w:pPr>
            <w:pStyle w:val="TOC1"/>
            <w:tabs>
              <w:tab w:val="right" w:leader="dot" w:pos="9350"/>
            </w:tabs>
            <w:rPr>
              <w:rFonts w:eastAsiaTheme="minorEastAsia"/>
              <w:noProof/>
              <w:lang w:val="en-US"/>
            </w:rPr>
          </w:pPr>
          <w:hyperlink w:anchor="_Toc241865136" w:history="1">
            <w:r w:rsidRPr="00722EA2">
              <w:rPr>
                <w:rStyle w:val="Hyperlink"/>
                <w:rFonts w:ascii="Times New Roman" w:hAnsi="Times New Roman" w:cs="Times New Roman"/>
                <w:noProof/>
              </w:rPr>
              <w:t>3. RAZVOJNE STRATEGIJE HOTELSKIH PODUZEĆA</w:t>
            </w:r>
            <w:r>
              <w:rPr>
                <w:noProof/>
                <w:webHidden/>
              </w:rPr>
              <w:tab/>
            </w:r>
            <w:r>
              <w:rPr>
                <w:noProof/>
                <w:webHidden/>
              </w:rPr>
              <w:fldChar w:fldCharType="begin"/>
            </w:r>
            <w:r>
              <w:rPr>
                <w:noProof/>
                <w:webHidden/>
              </w:rPr>
              <w:instrText xml:space="preserve"> PAGEREF _Toc241865136 \h </w:instrText>
            </w:r>
            <w:r>
              <w:rPr>
                <w:noProof/>
                <w:webHidden/>
              </w:rPr>
            </w:r>
            <w:r>
              <w:rPr>
                <w:noProof/>
                <w:webHidden/>
              </w:rPr>
              <w:fldChar w:fldCharType="separate"/>
            </w:r>
            <w:r>
              <w:rPr>
                <w:noProof/>
                <w:webHidden/>
              </w:rPr>
              <w:t>64</w:t>
            </w:r>
            <w:r>
              <w:rPr>
                <w:noProof/>
                <w:webHidden/>
              </w:rPr>
              <w:fldChar w:fldCharType="end"/>
            </w:r>
          </w:hyperlink>
        </w:p>
        <w:p w14:paraId="4FDDFB05" w14:textId="015E717D" w:rsidR="003D46C7" w:rsidRDefault="003D46C7">
          <w:pPr>
            <w:pStyle w:val="TOC2"/>
            <w:rPr>
              <w:rFonts w:eastAsiaTheme="minorEastAsia"/>
              <w:lang w:val="en-US"/>
            </w:rPr>
          </w:pPr>
          <w:hyperlink w:anchor="_Toc241865137" w:history="1">
            <w:r w:rsidRPr="00722EA2">
              <w:rPr>
                <w:rStyle w:val="Hyperlink"/>
                <w:rFonts w:ascii="Times New Roman" w:hAnsi="Times New Roman" w:cs="Times New Roman"/>
              </w:rPr>
              <w:t>3.1. Teorijski aspekti razvoja i rasta poduzeća</w:t>
            </w:r>
            <w:r>
              <w:rPr>
                <w:webHidden/>
              </w:rPr>
              <w:tab/>
            </w:r>
            <w:r>
              <w:rPr>
                <w:webHidden/>
              </w:rPr>
              <w:fldChar w:fldCharType="begin"/>
            </w:r>
            <w:r>
              <w:rPr>
                <w:webHidden/>
              </w:rPr>
              <w:instrText xml:space="preserve"> PAGEREF _Toc241865137 \h </w:instrText>
            </w:r>
            <w:r>
              <w:rPr>
                <w:webHidden/>
              </w:rPr>
            </w:r>
            <w:r>
              <w:rPr>
                <w:webHidden/>
              </w:rPr>
              <w:fldChar w:fldCharType="separate"/>
            </w:r>
            <w:r>
              <w:rPr>
                <w:webHidden/>
              </w:rPr>
              <w:t>64</w:t>
            </w:r>
            <w:r>
              <w:rPr>
                <w:webHidden/>
              </w:rPr>
              <w:fldChar w:fldCharType="end"/>
            </w:r>
          </w:hyperlink>
        </w:p>
        <w:p w14:paraId="11F3D8D8" w14:textId="4B4817E3" w:rsidR="003D46C7" w:rsidRDefault="003D46C7">
          <w:pPr>
            <w:pStyle w:val="TOC3"/>
            <w:tabs>
              <w:tab w:val="right" w:leader="dot" w:pos="9350"/>
            </w:tabs>
            <w:rPr>
              <w:rFonts w:eastAsiaTheme="minorEastAsia"/>
              <w:noProof/>
              <w:lang w:val="en-US"/>
            </w:rPr>
          </w:pPr>
          <w:hyperlink w:anchor="_Toc241865138" w:history="1">
            <w:r w:rsidRPr="00722EA2">
              <w:rPr>
                <w:rStyle w:val="Hyperlink"/>
                <w:rFonts w:ascii="Times New Roman" w:hAnsi="Times New Roman" w:cs="Times New Roman"/>
                <w:noProof/>
              </w:rPr>
              <w:t>3.1.1. Životni ciklus poduzeća</w:t>
            </w:r>
            <w:r>
              <w:rPr>
                <w:noProof/>
                <w:webHidden/>
              </w:rPr>
              <w:tab/>
            </w:r>
            <w:r>
              <w:rPr>
                <w:noProof/>
                <w:webHidden/>
              </w:rPr>
              <w:fldChar w:fldCharType="begin"/>
            </w:r>
            <w:r>
              <w:rPr>
                <w:noProof/>
                <w:webHidden/>
              </w:rPr>
              <w:instrText xml:space="preserve"> PAGEREF _Toc241865138 \h </w:instrText>
            </w:r>
            <w:r>
              <w:rPr>
                <w:noProof/>
                <w:webHidden/>
              </w:rPr>
            </w:r>
            <w:r>
              <w:rPr>
                <w:noProof/>
                <w:webHidden/>
              </w:rPr>
              <w:fldChar w:fldCharType="separate"/>
            </w:r>
            <w:r>
              <w:rPr>
                <w:noProof/>
                <w:webHidden/>
              </w:rPr>
              <w:t>66</w:t>
            </w:r>
            <w:r>
              <w:rPr>
                <w:noProof/>
                <w:webHidden/>
              </w:rPr>
              <w:fldChar w:fldCharType="end"/>
            </w:r>
          </w:hyperlink>
        </w:p>
        <w:p w14:paraId="52D28AC5" w14:textId="14F5811D" w:rsidR="003D46C7" w:rsidRDefault="003D46C7">
          <w:pPr>
            <w:pStyle w:val="TOC3"/>
            <w:tabs>
              <w:tab w:val="right" w:leader="dot" w:pos="9350"/>
            </w:tabs>
            <w:rPr>
              <w:rFonts w:eastAsiaTheme="minorEastAsia"/>
              <w:noProof/>
              <w:lang w:val="en-US"/>
            </w:rPr>
          </w:pPr>
          <w:hyperlink w:anchor="_Toc241865139" w:history="1">
            <w:r w:rsidRPr="00722EA2">
              <w:rPr>
                <w:rStyle w:val="Hyperlink"/>
                <w:rFonts w:ascii="Times New Roman" w:hAnsi="Times New Roman" w:cs="Times New Roman"/>
                <w:noProof/>
              </w:rPr>
              <w:t>3.1.2. Modeli rasta poduzeća</w:t>
            </w:r>
            <w:r>
              <w:rPr>
                <w:noProof/>
                <w:webHidden/>
              </w:rPr>
              <w:tab/>
            </w:r>
            <w:r>
              <w:rPr>
                <w:noProof/>
                <w:webHidden/>
              </w:rPr>
              <w:fldChar w:fldCharType="begin"/>
            </w:r>
            <w:r>
              <w:rPr>
                <w:noProof/>
                <w:webHidden/>
              </w:rPr>
              <w:instrText xml:space="preserve"> PAGEREF _Toc241865139 \h </w:instrText>
            </w:r>
            <w:r>
              <w:rPr>
                <w:noProof/>
                <w:webHidden/>
              </w:rPr>
            </w:r>
            <w:r>
              <w:rPr>
                <w:noProof/>
                <w:webHidden/>
              </w:rPr>
              <w:fldChar w:fldCharType="separate"/>
            </w:r>
            <w:r>
              <w:rPr>
                <w:noProof/>
                <w:webHidden/>
              </w:rPr>
              <w:t>69</w:t>
            </w:r>
            <w:r>
              <w:rPr>
                <w:noProof/>
                <w:webHidden/>
              </w:rPr>
              <w:fldChar w:fldCharType="end"/>
            </w:r>
          </w:hyperlink>
        </w:p>
        <w:p w14:paraId="72227929" w14:textId="3E8AD39E" w:rsidR="003D46C7" w:rsidRDefault="003D46C7">
          <w:pPr>
            <w:pStyle w:val="TOC2"/>
            <w:rPr>
              <w:rFonts w:eastAsiaTheme="minorEastAsia"/>
              <w:lang w:val="en-US"/>
            </w:rPr>
          </w:pPr>
          <w:hyperlink w:anchor="_Toc241865140" w:history="1">
            <w:r w:rsidRPr="00722EA2">
              <w:rPr>
                <w:rStyle w:val="Hyperlink"/>
                <w:rFonts w:ascii="Times New Roman" w:hAnsi="Times New Roman" w:cs="Times New Roman"/>
              </w:rPr>
              <w:t>3.2. Razvojne strategije poduzeća</w:t>
            </w:r>
            <w:r>
              <w:rPr>
                <w:webHidden/>
              </w:rPr>
              <w:tab/>
            </w:r>
            <w:r>
              <w:rPr>
                <w:webHidden/>
              </w:rPr>
              <w:fldChar w:fldCharType="begin"/>
            </w:r>
            <w:r>
              <w:rPr>
                <w:webHidden/>
              </w:rPr>
              <w:instrText xml:space="preserve"> PAGEREF _Toc241865140 \h </w:instrText>
            </w:r>
            <w:r>
              <w:rPr>
                <w:webHidden/>
              </w:rPr>
            </w:r>
            <w:r>
              <w:rPr>
                <w:webHidden/>
              </w:rPr>
              <w:fldChar w:fldCharType="separate"/>
            </w:r>
            <w:r>
              <w:rPr>
                <w:webHidden/>
              </w:rPr>
              <w:t>73</w:t>
            </w:r>
            <w:r>
              <w:rPr>
                <w:webHidden/>
              </w:rPr>
              <w:fldChar w:fldCharType="end"/>
            </w:r>
          </w:hyperlink>
        </w:p>
        <w:p w14:paraId="2F8F12AE" w14:textId="352FD23E" w:rsidR="003D46C7" w:rsidRDefault="003D46C7">
          <w:pPr>
            <w:pStyle w:val="TOC3"/>
            <w:tabs>
              <w:tab w:val="right" w:leader="dot" w:pos="9350"/>
            </w:tabs>
            <w:rPr>
              <w:rFonts w:eastAsiaTheme="minorEastAsia"/>
              <w:noProof/>
              <w:lang w:val="en-US"/>
            </w:rPr>
          </w:pPr>
          <w:hyperlink w:anchor="_Toc241865141" w:history="1">
            <w:r w:rsidRPr="00722EA2">
              <w:rPr>
                <w:rStyle w:val="Hyperlink"/>
                <w:rFonts w:ascii="Times New Roman" w:hAnsi="Times New Roman" w:cs="Times New Roman"/>
                <w:noProof/>
              </w:rPr>
              <w:t>3.2.1.  Proces strateškog planiranja</w:t>
            </w:r>
            <w:r>
              <w:rPr>
                <w:noProof/>
                <w:webHidden/>
              </w:rPr>
              <w:tab/>
            </w:r>
            <w:r>
              <w:rPr>
                <w:noProof/>
                <w:webHidden/>
              </w:rPr>
              <w:fldChar w:fldCharType="begin"/>
            </w:r>
            <w:r>
              <w:rPr>
                <w:noProof/>
                <w:webHidden/>
              </w:rPr>
              <w:instrText xml:space="preserve"> PAGEREF _Toc241865141 \h </w:instrText>
            </w:r>
            <w:r>
              <w:rPr>
                <w:noProof/>
                <w:webHidden/>
              </w:rPr>
            </w:r>
            <w:r>
              <w:rPr>
                <w:noProof/>
                <w:webHidden/>
              </w:rPr>
              <w:fldChar w:fldCharType="separate"/>
            </w:r>
            <w:r>
              <w:rPr>
                <w:noProof/>
                <w:webHidden/>
              </w:rPr>
              <w:t>74</w:t>
            </w:r>
            <w:r>
              <w:rPr>
                <w:noProof/>
                <w:webHidden/>
              </w:rPr>
              <w:fldChar w:fldCharType="end"/>
            </w:r>
          </w:hyperlink>
        </w:p>
        <w:p w14:paraId="1ECC6F8F" w14:textId="5A3C657B" w:rsidR="003D46C7" w:rsidRDefault="003D46C7">
          <w:pPr>
            <w:pStyle w:val="TOC3"/>
            <w:tabs>
              <w:tab w:val="right" w:leader="dot" w:pos="9350"/>
            </w:tabs>
            <w:rPr>
              <w:rFonts w:eastAsiaTheme="minorEastAsia"/>
              <w:noProof/>
              <w:lang w:val="en-US"/>
            </w:rPr>
          </w:pPr>
          <w:hyperlink w:anchor="_Toc241865142" w:history="1">
            <w:r w:rsidRPr="00722EA2">
              <w:rPr>
                <w:rStyle w:val="Hyperlink"/>
                <w:rFonts w:ascii="Times New Roman" w:hAnsi="Times New Roman" w:cs="Times New Roman"/>
                <w:noProof/>
              </w:rPr>
              <w:t>3.2.2. Strategije i pravci razvoja</w:t>
            </w:r>
            <w:r>
              <w:rPr>
                <w:noProof/>
                <w:webHidden/>
              </w:rPr>
              <w:tab/>
            </w:r>
            <w:r>
              <w:rPr>
                <w:noProof/>
                <w:webHidden/>
              </w:rPr>
              <w:fldChar w:fldCharType="begin"/>
            </w:r>
            <w:r>
              <w:rPr>
                <w:noProof/>
                <w:webHidden/>
              </w:rPr>
              <w:instrText xml:space="preserve"> PAGEREF _Toc241865142 \h </w:instrText>
            </w:r>
            <w:r>
              <w:rPr>
                <w:noProof/>
                <w:webHidden/>
              </w:rPr>
            </w:r>
            <w:r>
              <w:rPr>
                <w:noProof/>
                <w:webHidden/>
              </w:rPr>
              <w:fldChar w:fldCharType="separate"/>
            </w:r>
            <w:r>
              <w:rPr>
                <w:noProof/>
                <w:webHidden/>
              </w:rPr>
              <w:t>86</w:t>
            </w:r>
            <w:r>
              <w:rPr>
                <w:noProof/>
                <w:webHidden/>
              </w:rPr>
              <w:fldChar w:fldCharType="end"/>
            </w:r>
          </w:hyperlink>
        </w:p>
        <w:p w14:paraId="23E08C54" w14:textId="1D6DA64F" w:rsidR="003D46C7" w:rsidRDefault="003D46C7">
          <w:pPr>
            <w:pStyle w:val="TOC2"/>
            <w:rPr>
              <w:rFonts w:eastAsiaTheme="minorEastAsia"/>
              <w:lang w:val="en-US"/>
            </w:rPr>
          </w:pPr>
          <w:hyperlink w:anchor="_Toc241865143" w:history="1">
            <w:r w:rsidRPr="00722EA2">
              <w:rPr>
                <w:rStyle w:val="Hyperlink"/>
                <w:rFonts w:ascii="Times New Roman" w:hAnsi="Times New Roman" w:cs="Times New Roman"/>
              </w:rPr>
              <w:t>3.3. Načini implementacije razvojnih strategija</w:t>
            </w:r>
            <w:r>
              <w:rPr>
                <w:webHidden/>
              </w:rPr>
              <w:tab/>
            </w:r>
            <w:r>
              <w:rPr>
                <w:webHidden/>
              </w:rPr>
              <w:fldChar w:fldCharType="begin"/>
            </w:r>
            <w:r>
              <w:rPr>
                <w:webHidden/>
              </w:rPr>
              <w:instrText xml:space="preserve"> PAGEREF _Toc241865143 \h </w:instrText>
            </w:r>
            <w:r>
              <w:rPr>
                <w:webHidden/>
              </w:rPr>
            </w:r>
            <w:r>
              <w:rPr>
                <w:webHidden/>
              </w:rPr>
              <w:fldChar w:fldCharType="separate"/>
            </w:r>
            <w:r>
              <w:rPr>
                <w:webHidden/>
              </w:rPr>
              <w:t>95</w:t>
            </w:r>
            <w:r>
              <w:rPr>
                <w:webHidden/>
              </w:rPr>
              <w:fldChar w:fldCharType="end"/>
            </w:r>
          </w:hyperlink>
        </w:p>
        <w:p w14:paraId="78744203" w14:textId="41A0B4E5" w:rsidR="003D46C7" w:rsidRDefault="003D46C7">
          <w:pPr>
            <w:pStyle w:val="TOC3"/>
            <w:tabs>
              <w:tab w:val="right" w:leader="dot" w:pos="9350"/>
            </w:tabs>
            <w:rPr>
              <w:rFonts w:eastAsiaTheme="minorEastAsia"/>
              <w:noProof/>
              <w:lang w:val="en-US"/>
            </w:rPr>
          </w:pPr>
          <w:hyperlink w:anchor="_Toc241865144" w:history="1">
            <w:r w:rsidRPr="00722EA2">
              <w:rPr>
                <w:rStyle w:val="Hyperlink"/>
                <w:rFonts w:ascii="Times New Roman" w:hAnsi="Times New Roman" w:cs="Times New Roman"/>
                <w:noProof/>
              </w:rPr>
              <w:t>3.3.1. Unutarnji (organski) rast poduzeća</w:t>
            </w:r>
            <w:r>
              <w:rPr>
                <w:noProof/>
                <w:webHidden/>
              </w:rPr>
              <w:tab/>
            </w:r>
            <w:r>
              <w:rPr>
                <w:noProof/>
                <w:webHidden/>
              </w:rPr>
              <w:fldChar w:fldCharType="begin"/>
            </w:r>
            <w:r>
              <w:rPr>
                <w:noProof/>
                <w:webHidden/>
              </w:rPr>
              <w:instrText xml:space="preserve"> PAGEREF _Toc241865144 \h </w:instrText>
            </w:r>
            <w:r>
              <w:rPr>
                <w:noProof/>
                <w:webHidden/>
              </w:rPr>
            </w:r>
            <w:r>
              <w:rPr>
                <w:noProof/>
                <w:webHidden/>
              </w:rPr>
              <w:fldChar w:fldCharType="separate"/>
            </w:r>
            <w:r>
              <w:rPr>
                <w:noProof/>
                <w:webHidden/>
              </w:rPr>
              <w:t>98</w:t>
            </w:r>
            <w:r>
              <w:rPr>
                <w:noProof/>
                <w:webHidden/>
              </w:rPr>
              <w:fldChar w:fldCharType="end"/>
            </w:r>
          </w:hyperlink>
        </w:p>
        <w:p w14:paraId="1F156294" w14:textId="095E0BBE" w:rsidR="003D46C7" w:rsidRDefault="003D46C7">
          <w:pPr>
            <w:pStyle w:val="TOC3"/>
            <w:tabs>
              <w:tab w:val="right" w:leader="dot" w:pos="9350"/>
            </w:tabs>
            <w:rPr>
              <w:rFonts w:eastAsiaTheme="minorEastAsia"/>
              <w:noProof/>
              <w:lang w:val="en-US"/>
            </w:rPr>
          </w:pPr>
          <w:hyperlink w:anchor="_Toc241865145" w:history="1">
            <w:r w:rsidRPr="00722EA2">
              <w:rPr>
                <w:rStyle w:val="Hyperlink"/>
                <w:rFonts w:ascii="Times New Roman" w:hAnsi="Times New Roman" w:cs="Times New Roman"/>
                <w:noProof/>
              </w:rPr>
              <w:t>3.3.2. Vanjski (neorganski rast) poduzeća</w:t>
            </w:r>
            <w:r>
              <w:rPr>
                <w:noProof/>
                <w:webHidden/>
              </w:rPr>
              <w:tab/>
            </w:r>
            <w:r>
              <w:rPr>
                <w:noProof/>
                <w:webHidden/>
              </w:rPr>
              <w:fldChar w:fldCharType="begin"/>
            </w:r>
            <w:r>
              <w:rPr>
                <w:noProof/>
                <w:webHidden/>
              </w:rPr>
              <w:instrText xml:space="preserve"> PAGEREF _Toc241865145 \h </w:instrText>
            </w:r>
            <w:r>
              <w:rPr>
                <w:noProof/>
                <w:webHidden/>
              </w:rPr>
            </w:r>
            <w:r>
              <w:rPr>
                <w:noProof/>
                <w:webHidden/>
              </w:rPr>
              <w:fldChar w:fldCharType="separate"/>
            </w:r>
            <w:r>
              <w:rPr>
                <w:noProof/>
                <w:webHidden/>
              </w:rPr>
              <w:t>101</w:t>
            </w:r>
            <w:r>
              <w:rPr>
                <w:noProof/>
                <w:webHidden/>
              </w:rPr>
              <w:fldChar w:fldCharType="end"/>
            </w:r>
          </w:hyperlink>
        </w:p>
        <w:p w14:paraId="12739A6A" w14:textId="053A730E" w:rsidR="003D46C7" w:rsidRDefault="003D46C7">
          <w:pPr>
            <w:pStyle w:val="TOC3"/>
            <w:tabs>
              <w:tab w:val="right" w:leader="dot" w:pos="9350"/>
            </w:tabs>
            <w:rPr>
              <w:rFonts w:eastAsiaTheme="minorEastAsia"/>
              <w:noProof/>
              <w:lang w:val="en-US"/>
            </w:rPr>
          </w:pPr>
          <w:hyperlink w:anchor="_Toc241865146" w:history="1">
            <w:r w:rsidRPr="00722EA2">
              <w:rPr>
                <w:rStyle w:val="Hyperlink"/>
                <w:rFonts w:ascii="Times New Roman" w:hAnsi="Times New Roman" w:cs="Times New Roman"/>
                <w:noProof/>
              </w:rPr>
              <w:t>3.3.3. Strateška povezivanja poduzeća</w:t>
            </w:r>
            <w:r>
              <w:rPr>
                <w:noProof/>
                <w:webHidden/>
              </w:rPr>
              <w:tab/>
            </w:r>
            <w:r>
              <w:rPr>
                <w:noProof/>
                <w:webHidden/>
              </w:rPr>
              <w:fldChar w:fldCharType="begin"/>
            </w:r>
            <w:r>
              <w:rPr>
                <w:noProof/>
                <w:webHidden/>
              </w:rPr>
              <w:instrText xml:space="preserve"> PAGEREF _Toc241865146 \h </w:instrText>
            </w:r>
            <w:r>
              <w:rPr>
                <w:noProof/>
                <w:webHidden/>
              </w:rPr>
            </w:r>
            <w:r>
              <w:rPr>
                <w:noProof/>
                <w:webHidden/>
              </w:rPr>
              <w:fldChar w:fldCharType="separate"/>
            </w:r>
            <w:r>
              <w:rPr>
                <w:noProof/>
                <w:webHidden/>
              </w:rPr>
              <w:t>107</w:t>
            </w:r>
            <w:r>
              <w:rPr>
                <w:noProof/>
                <w:webHidden/>
              </w:rPr>
              <w:fldChar w:fldCharType="end"/>
            </w:r>
          </w:hyperlink>
        </w:p>
        <w:p w14:paraId="77F79565" w14:textId="6B07A74D" w:rsidR="003D46C7" w:rsidRDefault="003D46C7">
          <w:pPr>
            <w:pStyle w:val="TOC2"/>
            <w:rPr>
              <w:rFonts w:eastAsiaTheme="minorEastAsia"/>
              <w:lang w:val="en-US"/>
            </w:rPr>
          </w:pPr>
          <w:hyperlink w:anchor="_Toc241865147" w:history="1">
            <w:r w:rsidRPr="00722EA2">
              <w:rPr>
                <w:rStyle w:val="Hyperlink"/>
                <w:rFonts w:ascii="Times New Roman" w:hAnsi="Times New Roman" w:cs="Times New Roman"/>
              </w:rPr>
              <w:t>3.4. Strategija spajanja i preuzimanja u hotelskom sektoru</w:t>
            </w:r>
            <w:r>
              <w:rPr>
                <w:webHidden/>
              </w:rPr>
              <w:tab/>
            </w:r>
            <w:r>
              <w:rPr>
                <w:webHidden/>
              </w:rPr>
              <w:fldChar w:fldCharType="begin"/>
            </w:r>
            <w:r>
              <w:rPr>
                <w:webHidden/>
              </w:rPr>
              <w:instrText xml:space="preserve"> PAGEREF _Toc241865147 \h </w:instrText>
            </w:r>
            <w:r>
              <w:rPr>
                <w:webHidden/>
              </w:rPr>
            </w:r>
            <w:r>
              <w:rPr>
                <w:webHidden/>
              </w:rPr>
              <w:fldChar w:fldCharType="separate"/>
            </w:r>
            <w:r>
              <w:rPr>
                <w:webHidden/>
              </w:rPr>
              <w:t>115</w:t>
            </w:r>
            <w:r>
              <w:rPr>
                <w:webHidden/>
              </w:rPr>
              <w:fldChar w:fldCharType="end"/>
            </w:r>
          </w:hyperlink>
        </w:p>
        <w:p w14:paraId="702B2911" w14:textId="0B4DBDB2" w:rsidR="003D46C7" w:rsidRDefault="003D46C7">
          <w:pPr>
            <w:pStyle w:val="TOC3"/>
            <w:tabs>
              <w:tab w:val="right" w:leader="dot" w:pos="9350"/>
            </w:tabs>
            <w:rPr>
              <w:rFonts w:eastAsiaTheme="minorEastAsia"/>
              <w:noProof/>
              <w:lang w:val="en-US"/>
            </w:rPr>
          </w:pPr>
          <w:hyperlink w:anchor="_Toc241865148" w:history="1">
            <w:r w:rsidRPr="00722EA2">
              <w:rPr>
                <w:rStyle w:val="Hyperlink"/>
                <w:rFonts w:ascii="Times New Roman" w:hAnsi="Times New Roman" w:cs="Times New Roman"/>
                <w:noProof/>
              </w:rPr>
              <w:t>3.4.1. Pokretači spajanja i preuzimanja i sinergijski učinci</w:t>
            </w:r>
            <w:r>
              <w:rPr>
                <w:noProof/>
                <w:webHidden/>
              </w:rPr>
              <w:tab/>
            </w:r>
            <w:r>
              <w:rPr>
                <w:noProof/>
                <w:webHidden/>
              </w:rPr>
              <w:fldChar w:fldCharType="begin"/>
            </w:r>
            <w:r>
              <w:rPr>
                <w:noProof/>
                <w:webHidden/>
              </w:rPr>
              <w:instrText xml:space="preserve"> PAGEREF _Toc241865148 \h </w:instrText>
            </w:r>
            <w:r>
              <w:rPr>
                <w:noProof/>
                <w:webHidden/>
              </w:rPr>
            </w:r>
            <w:r>
              <w:rPr>
                <w:noProof/>
                <w:webHidden/>
              </w:rPr>
              <w:fldChar w:fldCharType="separate"/>
            </w:r>
            <w:r>
              <w:rPr>
                <w:noProof/>
                <w:webHidden/>
              </w:rPr>
              <w:t>116</w:t>
            </w:r>
            <w:r>
              <w:rPr>
                <w:noProof/>
                <w:webHidden/>
              </w:rPr>
              <w:fldChar w:fldCharType="end"/>
            </w:r>
          </w:hyperlink>
        </w:p>
        <w:p w14:paraId="42D3683D" w14:textId="18DB6DB6" w:rsidR="003D46C7" w:rsidRDefault="003D46C7">
          <w:pPr>
            <w:pStyle w:val="TOC3"/>
            <w:tabs>
              <w:tab w:val="right" w:leader="dot" w:pos="9350"/>
            </w:tabs>
            <w:rPr>
              <w:rFonts w:eastAsiaTheme="minorEastAsia"/>
              <w:noProof/>
              <w:lang w:val="en-US"/>
            </w:rPr>
          </w:pPr>
          <w:hyperlink w:anchor="_Toc241865149" w:history="1">
            <w:r w:rsidRPr="00722EA2">
              <w:rPr>
                <w:rStyle w:val="Hyperlink"/>
                <w:rFonts w:ascii="Times New Roman" w:hAnsi="Times New Roman" w:cs="Times New Roman"/>
                <w:noProof/>
              </w:rPr>
              <w:t>3.4.2. Valovi spajanja i preuzimanja u hotelskom sektoru</w:t>
            </w:r>
            <w:r>
              <w:rPr>
                <w:noProof/>
                <w:webHidden/>
              </w:rPr>
              <w:tab/>
            </w:r>
            <w:r>
              <w:rPr>
                <w:noProof/>
                <w:webHidden/>
              </w:rPr>
              <w:fldChar w:fldCharType="begin"/>
            </w:r>
            <w:r>
              <w:rPr>
                <w:noProof/>
                <w:webHidden/>
              </w:rPr>
              <w:instrText xml:space="preserve"> PAGEREF _Toc241865149 \h </w:instrText>
            </w:r>
            <w:r>
              <w:rPr>
                <w:noProof/>
                <w:webHidden/>
              </w:rPr>
            </w:r>
            <w:r>
              <w:rPr>
                <w:noProof/>
                <w:webHidden/>
              </w:rPr>
              <w:fldChar w:fldCharType="separate"/>
            </w:r>
            <w:r>
              <w:rPr>
                <w:noProof/>
                <w:webHidden/>
              </w:rPr>
              <w:t>122</w:t>
            </w:r>
            <w:r>
              <w:rPr>
                <w:noProof/>
                <w:webHidden/>
              </w:rPr>
              <w:fldChar w:fldCharType="end"/>
            </w:r>
          </w:hyperlink>
        </w:p>
        <w:p w14:paraId="4352B7C3" w14:textId="70B8091D" w:rsidR="003D46C7" w:rsidRDefault="003D46C7">
          <w:pPr>
            <w:pStyle w:val="TOC3"/>
            <w:tabs>
              <w:tab w:val="right" w:leader="dot" w:pos="9350"/>
            </w:tabs>
            <w:rPr>
              <w:rFonts w:eastAsiaTheme="minorEastAsia"/>
              <w:noProof/>
              <w:lang w:val="en-US"/>
            </w:rPr>
          </w:pPr>
          <w:hyperlink w:anchor="_Toc241865150" w:history="1">
            <w:r w:rsidRPr="00722EA2">
              <w:rPr>
                <w:rStyle w:val="Hyperlink"/>
                <w:rFonts w:ascii="Times New Roman" w:hAnsi="Times New Roman" w:cs="Times New Roman"/>
                <w:noProof/>
              </w:rPr>
              <w:t>3.4.3. Uspješnost spajanja i preuzimanja u hotelskom sektoru</w:t>
            </w:r>
            <w:r>
              <w:rPr>
                <w:noProof/>
                <w:webHidden/>
              </w:rPr>
              <w:tab/>
            </w:r>
            <w:r>
              <w:rPr>
                <w:noProof/>
                <w:webHidden/>
              </w:rPr>
              <w:fldChar w:fldCharType="begin"/>
            </w:r>
            <w:r>
              <w:rPr>
                <w:noProof/>
                <w:webHidden/>
              </w:rPr>
              <w:instrText xml:space="preserve"> PAGEREF _Toc241865150 \h </w:instrText>
            </w:r>
            <w:r>
              <w:rPr>
                <w:noProof/>
                <w:webHidden/>
              </w:rPr>
            </w:r>
            <w:r>
              <w:rPr>
                <w:noProof/>
                <w:webHidden/>
              </w:rPr>
              <w:fldChar w:fldCharType="separate"/>
            </w:r>
            <w:r>
              <w:rPr>
                <w:noProof/>
                <w:webHidden/>
              </w:rPr>
              <w:t>144</w:t>
            </w:r>
            <w:r>
              <w:rPr>
                <w:noProof/>
                <w:webHidden/>
              </w:rPr>
              <w:fldChar w:fldCharType="end"/>
            </w:r>
          </w:hyperlink>
        </w:p>
        <w:p w14:paraId="5760983E" w14:textId="1DB5567C" w:rsidR="003D46C7" w:rsidRDefault="003D46C7">
          <w:pPr>
            <w:pStyle w:val="TOC2"/>
            <w:rPr>
              <w:rFonts w:eastAsiaTheme="minorEastAsia"/>
              <w:lang w:val="en-US"/>
            </w:rPr>
          </w:pPr>
          <w:hyperlink w:anchor="_Toc241865151" w:history="1">
            <w:r w:rsidRPr="00722EA2">
              <w:rPr>
                <w:rStyle w:val="Hyperlink"/>
                <w:rFonts w:ascii="Times New Roman" w:hAnsi="Times New Roman" w:cs="Times New Roman"/>
              </w:rPr>
              <w:t>3.5. Faze i čimbenici procesa spajanja i preuzimanja</w:t>
            </w:r>
            <w:r>
              <w:rPr>
                <w:webHidden/>
              </w:rPr>
              <w:tab/>
            </w:r>
            <w:r>
              <w:rPr>
                <w:webHidden/>
              </w:rPr>
              <w:fldChar w:fldCharType="begin"/>
            </w:r>
            <w:r>
              <w:rPr>
                <w:webHidden/>
              </w:rPr>
              <w:instrText xml:space="preserve"> PAGEREF _Toc241865151 \h </w:instrText>
            </w:r>
            <w:r>
              <w:rPr>
                <w:webHidden/>
              </w:rPr>
            </w:r>
            <w:r>
              <w:rPr>
                <w:webHidden/>
              </w:rPr>
              <w:fldChar w:fldCharType="separate"/>
            </w:r>
            <w:r>
              <w:rPr>
                <w:webHidden/>
              </w:rPr>
              <w:t>149</w:t>
            </w:r>
            <w:r>
              <w:rPr>
                <w:webHidden/>
              </w:rPr>
              <w:fldChar w:fldCharType="end"/>
            </w:r>
          </w:hyperlink>
        </w:p>
        <w:p w14:paraId="2FBD6BA6" w14:textId="13DEA6EC" w:rsidR="003D46C7" w:rsidRDefault="003D46C7">
          <w:pPr>
            <w:pStyle w:val="TOC2"/>
            <w:rPr>
              <w:rFonts w:eastAsiaTheme="minorEastAsia"/>
              <w:lang w:val="en-US"/>
            </w:rPr>
          </w:pPr>
          <w:hyperlink w:anchor="_Toc241865152" w:history="1">
            <w:r w:rsidRPr="00722EA2">
              <w:rPr>
                <w:rStyle w:val="Hyperlink"/>
                <w:rFonts w:ascii="Times New Roman" w:hAnsi="Times New Roman" w:cs="Times New Roman"/>
              </w:rPr>
              <w:t>3.6. Integracijski izazovi procesa spajanja i preuzimanja</w:t>
            </w:r>
            <w:r>
              <w:rPr>
                <w:webHidden/>
              </w:rPr>
              <w:tab/>
            </w:r>
            <w:r>
              <w:rPr>
                <w:webHidden/>
              </w:rPr>
              <w:fldChar w:fldCharType="begin"/>
            </w:r>
            <w:r>
              <w:rPr>
                <w:webHidden/>
              </w:rPr>
              <w:instrText xml:space="preserve"> PAGEREF _Toc241865152 \h </w:instrText>
            </w:r>
            <w:r>
              <w:rPr>
                <w:webHidden/>
              </w:rPr>
            </w:r>
            <w:r>
              <w:rPr>
                <w:webHidden/>
              </w:rPr>
              <w:fldChar w:fldCharType="separate"/>
            </w:r>
            <w:r>
              <w:rPr>
                <w:webHidden/>
              </w:rPr>
              <w:t>162</w:t>
            </w:r>
            <w:r>
              <w:rPr>
                <w:webHidden/>
              </w:rPr>
              <w:fldChar w:fldCharType="end"/>
            </w:r>
          </w:hyperlink>
        </w:p>
        <w:p w14:paraId="10D79314" w14:textId="51AE97EF" w:rsidR="003D46C7" w:rsidRDefault="003D46C7">
          <w:pPr>
            <w:pStyle w:val="TOC1"/>
            <w:tabs>
              <w:tab w:val="left" w:pos="440"/>
              <w:tab w:val="right" w:leader="dot" w:pos="9350"/>
            </w:tabs>
            <w:rPr>
              <w:rFonts w:eastAsiaTheme="minorEastAsia"/>
              <w:noProof/>
              <w:lang w:val="en-US"/>
            </w:rPr>
          </w:pPr>
          <w:hyperlink w:anchor="_Toc241865153" w:history="1">
            <w:r w:rsidRPr="00722EA2">
              <w:rPr>
                <w:rStyle w:val="Hyperlink"/>
                <w:rFonts w:ascii="Times New Roman" w:hAnsi="Times New Roman" w:cs="Times New Roman"/>
                <w:noProof/>
              </w:rPr>
              <w:t>4.</w:t>
            </w:r>
            <w:r>
              <w:rPr>
                <w:rFonts w:eastAsiaTheme="minorEastAsia"/>
                <w:noProof/>
                <w:lang w:val="en-US"/>
              </w:rPr>
              <w:tab/>
            </w:r>
            <w:r w:rsidRPr="00722EA2">
              <w:rPr>
                <w:rStyle w:val="Hyperlink"/>
                <w:rFonts w:ascii="Times New Roman" w:hAnsi="Times New Roman" w:cs="Times New Roman"/>
                <w:noProof/>
              </w:rPr>
              <w:t>KONCEPTUALIZACIJA EMPIRIJSKOG ISTRAŽIVANJA</w:t>
            </w:r>
            <w:r>
              <w:rPr>
                <w:noProof/>
                <w:webHidden/>
              </w:rPr>
              <w:tab/>
            </w:r>
            <w:r>
              <w:rPr>
                <w:noProof/>
                <w:webHidden/>
              </w:rPr>
              <w:fldChar w:fldCharType="begin"/>
            </w:r>
            <w:r>
              <w:rPr>
                <w:noProof/>
                <w:webHidden/>
              </w:rPr>
              <w:instrText xml:space="preserve"> PAGEREF _Toc241865153 \h </w:instrText>
            </w:r>
            <w:r>
              <w:rPr>
                <w:noProof/>
                <w:webHidden/>
              </w:rPr>
            </w:r>
            <w:r>
              <w:rPr>
                <w:noProof/>
                <w:webHidden/>
              </w:rPr>
              <w:fldChar w:fldCharType="separate"/>
            </w:r>
            <w:r>
              <w:rPr>
                <w:noProof/>
                <w:webHidden/>
              </w:rPr>
              <w:t>180</w:t>
            </w:r>
            <w:r>
              <w:rPr>
                <w:noProof/>
                <w:webHidden/>
              </w:rPr>
              <w:fldChar w:fldCharType="end"/>
            </w:r>
          </w:hyperlink>
        </w:p>
        <w:p w14:paraId="39321C97" w14:textId="02A17B40" w:rsidR="003D46C7" w:rsidRDefault="003D46C7">
          <w:pPr>
            <w:pStyle w:val="TOC2"/>
            <w:rPr>
              <w:rFonts w:eastAsiaTheme="minorEastAsia"/>
              <w:lang w:val="en-US"/>
            </w:rPr>
          </w:pPr>
          <w:hyperlink w:anchor="_Toc241865154" w:history="1">
            <w:r w:rsidRPr="00722EA2">
              <w:rPr>
                <w:rStyle w:val="Hyperlink"/>
                <w:rFonts w:ascii="Times New Roman" w:hAnsi="Times New Roman" w:cs="Times New Roman"/>
              </w:rPr>
              <w:t>4.1.</w:t>
            </w:r>
            <w:r>
              <w:rPr>
                <w:rFonts w:eastAsiaTheme="minorEastAsia"/>
                <w:lang w:val="en-US"/>
              </w:rPr>
              <w:tab/>
            </w:r>
            <w:r w:rsidRPr="00722EA2">
              <w:rPr>
                <w:rStyle w:val="Hyperlink"/>
                <w:rFonts w:ascii="Times New Roman" w:hAnsi="Times New Roman" w:cs="Times New Roman"/>
              </w:rPr>
              <w:t>Konceptualni pristup istraživačkom procesu</w:t>
            </w:r>
            <w:r>
              <w:rPr>
                <w:webHidden/>
              </w:rPr>
              <w:tab/>
            </w:r>
            <w:r>
              <w:rPr>
                <w:webHidden/>
              </w:rPr>
              <w:fldChar w:fldCharType="begin"/>
            </w:r>
            <w:r>
              <w:rPr>
                <w:webHidden/>
              </w:rPr>
              <w:instrText xml:space="preserve"> PAGEREF _Toc241865154 \h </w:instrText>
            </w:r>
            <w:r>
              <w:rPr>
                <w:webHidden/>
              </w:rPr>
            </w:r>
            <w:r>
              <w:rPr>
                <w:webHidden/>
              </w:rPr>
              <w:fldChar w:fldCharType="separate"/>
            </w:r>
            <w:r>
              <w:rPr>
                <w:webHidden/>
              </w:rPr>
              <w:t>181</w:t>
            </w:r>
            <w:r>
              <w:rPr>
                <w:webHidden/>
              </w:rPr>
              <w:fldChar w:fldCharType="end"/>
            </w:r>
          </w:hyperlink>
        </w:p>
        <w:p w14:paraId="527F9AC8" w14:textId="35F496F2" w:rsidR="003D46C7" w:rsidRDefault="003D46C7">
          <w:pPr>
            <w:pStyle w:val="TOC2"/>
            <w:rPr>
              <w:rFonts w:eastAsiaTheme="minorEastAsia"/>
              <w:lang w:val="en-US"/>
            </w:rPr>
          </w:pPr>
          <w:hyperlink w:anchor="_Toc241865155" w:history="1">
            <w:r w:rsidRPr="00722EA2">
              <w:rPr>
                <w:rStyle w:val="Hyperlink"/>
                <w:rFonts w:ascii="Times New Roman" w:hAnsi="Times New Roman" w:cs="Times New Roman"/>
              </w:rPr>
              <w:t>4.2.</w:t>
            </w:r>
            <w:r>
              <w:rPr>
                <w:rFonts w:eastAsiaTheme="minorEastAsia"/>
                <w:lang w:val="en-US"/>
              </w:rPr>
              <w:tab/>
            </w:r>
            <w:r w:rsidRPr="00722EA2">
              <w:rPr>
                <w:rStyle w:val="Hyperlink"/>
                <w:rFonts w:ascii="Times New Roman" w:hAnsi="Times New Roman" w:cs="Times New Roman"/>
              </w:rPr>
              <w:t>Operacionalizacija izviđajnih (kvalitativnih) istraživanja</w:t>
            </w:r>
            <w:r>
              <w:rPr>
                <w:webHidden/>
              </w:rPr>
              <w:tab/>
            </w:r>
            <w:r>
              <w:rPr>
                <w:webHidden/>
              </w:rPr>
              <w:fldChar w:fldCharType="begin"/>
            </w:r>
            <w:r>
              <w:rPr>
                <w:webHidden/>
              </w:rPr>
              <w:instrText xml:space="preserve"> PAGEREF _Toc241865155 \h </w:instrText>
            </w:r>
            <w:r>
              <w:rPr>
                <w:webHidden/>
              </w:rPr>
            </w:r>
            <w:r>
              <w:rPr>
                <w:webHidden/>
              </w:rPr>
              <w:fldChar w:fldCharType="separate"/>
            </w:r>
            <w:r>
              <w:rPr>
                <w:webHidden/>
              </w:rPr>
              <w:t>181</w:t>
            </w:r>
            <w:r>
              <w:rPr>
                <w:webHidden/>
              </w:rPr>
              <w:fldChar w:fldCharType="end"/>
            </w:r>
          </w:hyperlink>
        </w:p>
        <w:p w14:paraId="0461C0E7" w14:textId="6462E811" w:rsidR="003D46C7" w:rsidRDefault="003D46C7">
          <w:pPr>
            <w:pStyle w:val="TOC2"/>
            <w:rPr>
              <w:rFonts w:eastAsiaTheme="minorEastAsia"/>
              <w:lang w:val="en-US"/>
            </w:rPr>
          </w:pPr>
          <w:hyperlink w:anchor="_Toc241865156" w:history="1">
            <w:r w:rsidRPr="00722EA2">
              <w:rPr>
                <w:rStyle w:val="Hyperlink"/>
                <w:rFonts w:ascii="Times New Roman" w:hAnsi="Times New Roman" w:cs="Times New Roman"/>
              </w:rPr>
              <w:t>4.3.</w:t>
            </w:r>
            <w:r>
              <w:rPr>
                <w:rFonts w:eastAsiaTheme="minorEastAsia"/>
                <w:lang w:val="en-US"/>
              </w:rPr>
              <w:tab/>
            </w:r>
            <w:r w:rsidRPr="00722EA2">
              <w:rPr>
                <w:rStyle w:val="Hyperlink"/>
                <w:rFonts w:ascii="Times New Roman" w:hAnsi="Times New Roman" w:cs="Times New Roman"/>
              </w:rPr>
              <w:t>Operacionalizacija opisnih (kvantitativnih) istraživanja</w:t>
            </w:r>
            <w:r>
              <w:rPr>
                <w:webHidden/>
              </w:rPr>
              <w:tab/>
            </w:r>
            <w:r>
              <w:rPr>
                <w:webHidden/>
              </w:rPr>
              <w:fldChar w:fldCharType="begin"/>
            </w:r>
            <w:r>
              <w:rPr>
                <w:webHidden/>
              </w:rPr>
              <w:instrText xml:space="preserve"> PAGEREF _Toc241865156 \h </w:instrText>
            </w:r>
            <w:r>
              <w:rPr>
                <w:webHidden/>
              </w:rPr>
            </w:r>
            <w:r>
              <w:rPr>
                <w:webHidden/>
              </w:rPr>
              <w:fldChar w:fldCharType="separate"/>
            </w:r>
            <w:r>
              <w:rPr>
                <w:webHidden/>
              </w:rPr>
              <w:t>192</w:t>
            </w:r>
            <w:r>
              <w:rPr>
                <w:webHidden/>
              </w:rPr>
              <w:fldChar w:fldCharType="end"/>
            </w:r>
          </w:hyperlink>
        </w:p>
        <w:p w14:paraId="35321404" w14:textId="30C52255" w:rsidR="003D46C7" w:rsidRDefault="003D46C7">
          <w:pPr>
            <w:pStyle w:val="TOC2"/>
            <w:rPr>
              <w:rFonts w:eastAsiaTheme="minorEastAsia"/>
              <w:lang w:val="en-US"/>
            </w:rPr>
          </w:pPr>
          <w:hyperlink w:anchor="_Toc241865157" w:history="1">
            <w:r w:rsidRPr="00722EA2">
              <w:rPr>
                <w:rStyle w:val="Hyperlink"/>
                <w:rFonts w:ascii="Times New Roman" w:hAnsi="Times New Roman" w:cs="Times New Roman"/>
              </w:rPr>
              <w:t>4.4.</w:t>
            </w:r>
            <w:r>
              <w:rPr>
                <w:rFonts w:eastAsiaTheme="minorEastAsia"/>
                <w:lang w:val="en-US"/>
              </w:rPr>
              <w:tab/>
            </w:r>
            <w:r w:rsidRPr="00722EA2">
              <w:rPr>
                <w:rStyle w:val="Hyperlink"/>
                <w:rFonts w:ascii="Times New Roman" w:hAnsi="Times New Roman" w:cs="Times New Roman"/>
              </w:rPr>
              <w:t>Istraživačke hipoteze i njihova metodološka operacionalizacija</w:t>
            </w:r>
            <w:r>
              <w:rPr>
                <w:webHidden/>
              </w:rPr>
              <w:tab/>
            </w:r>
            <w:r>
              <w:rPr>
                <w:webHidden/>
              </w:rPr>
              <w:fldChar w:fldCharType="begin"/>
            </w:r>
            <w:r>
              <w:rPr>
                <w:webHidden/>
              </w:rPr>
              <w:instrText xml:space="preserve"> PAGEREF _Toc241865157 \h </w:instrText>
            </w:r>
            <w:r>
              <w:rPr>
                <w:webHidden/>
              </w:rPr>
            </w:r>
            <w:r>
              <w:rPr>
                <w:webHidden/>
              </w:rPr>
              <w:fldChar w:fldCharType="separate"/>
            </w:r>
            <w:r>
              <w:rPr>
                <w:webHidden/>
              </w:rPr>
              <w:t>201</w:t>
            </w:r>
            <w:r>
              <w:rPr>
                <w:webHidden/>
              </w:rPr>
              <w:fldChar w:fldCharType="end"/>
            </w:r>
          </w:hyperlink>
        </w:p>
        <w:p w14:paraId="5D36BCD6" w14:textId="6C452AB6" w:rsidR="003D46C7" w:rsidRDefault="003D46C7">
          <w:pPr>
            <w:pStyle w:val="TOC1"/>
            <w:tabs>
              <w:tab w:val="left" w:pos="440"/>
              <w:tab w:val="right" w:leader="dot" w:pos="9350"/>
            </w:tabs>
            <w:rPr>
              <w:rFonts w:eastAsiaTheme="minorEastAsia"/>
              <w:noProof/>
              <w:lang w:val="en-US"/>
            </w:rPr>
          </w:pPr>
          <w:hyperlink w:anchor="_Toc241865158" w:history="1">
            <w:r w:rsidRPr="00722EA2">
              <w:rPr>
                <w:rStyle w:val="Hyperlink"/>
                <w:rFonts w:ascii="Times New Roman" w:hAnsi="Times New Roman" w:cs="Times New Roman"/>
                <w:noProof/>
              </w:rPr>
              <w:t>5.</w:t>
            </w:r>
            <w:r>
              <w:rPr>
                <w:rFonts w:eastAsiaTheme="minorEastAsia"/>
                <w:noProof/>
                <w:lang w:val="en-US"/>
              </w:rPr>
              <w:tab/>
            </w:r>
            <w:r w:rsidRPr="00722EA2">
              <w:rPr>
                <w:rStyle w:val="Hyperlink"/>
                <w:rFonts w:ascii="Times New Roman" w:hAnsi="Times New Roman" w:cs="Times New Roman"/>
                <w:noProof/>
              </w:rPr>
              <w:t>REZULTATI EMPIRIJSKOG ISTRAŽIVANJA</w:t>
            </w:r>
            <w:r>
              <w:rPr>
                <w:noProof/>
                <w:webHidden/>
              </w:rPr>
              <w:tab/>
            </w:r>
            <w:r>
              <w:rPr>
                <w:noProof/>
                <w:webHidden/>
              </w:rPr>
              <w:fldChar w:fldCharType="begin"/>
            </w:r>
            <w:r>
              <w:rPr>
                <w:noProof/>
                <w:webHidden/>
              </w:rPr>
              <w:instrText xml:space="preserve"> PAGEREF _Toc241865158 \h </w:instrText>
            </w:r>
            <w:r>
              <w:rPr>
                <w:noProof/>
                <w:webHidden/>
              </w:rPr>
            </w:r>
            <w:r>
              <w:rPr>
                <w:noProof/>
                <w:webHidden/>
              </w:rPr>
              <w:fldChar w:fldCharType="separate"/>
            </w:r>
            <w:r>
              <w:rPr>
                <w:noProof/>
                <w:webHidden/>
              </w:rPr>
              <w:t>203</w:t>
            </w:r>
            <w:r>
              <w:rPr>
                <w:noProof/>
                <w:webHidden/>
              </w:rPr>
              <w:fldChar w:fldCharType="end"/>
            </w:r>
          </w:hyperlink>
        </w:p>
        <w:p w14:paraId="17F7405A" w14:textId="75E1509F" w:rsidR="003D46C7" w:rsidRDefault="003D46C7">
          <w:pPr>
            <w:pStyle w:val="TOC2"/>
            <w:rPr>
              <w:rFonts w:eastAsiaTheme="minorEastAsia"/>
              <w:lang w:val="en-US"/>
            </w:rPr>
          </w:pPr>
          <w:hyperlink w:anchor="_Toc241865159" w:history="1">
            <w:r w:rsidRPr="00722EA2">
              <w:rPr>
                <w:rStyle w:val="Hyperlink"/>
                <w:rFonts w:ascii="Times New Roman" w:hAnsi="Times New Roman" w:cs="Times New Roman"/>
              </w:rPr>
              <w:t>5.1.</w:t>
            </w:r>
            <w:r>
              <w:rPr>
                <w:rFonts w:eastAsiaTheme="minorEastAsia"/>
                <w:lang w:val="en-US"/>
              </w:rPr>
              <w:tab/>
            </w:r>
            <w:r w:rsidRPr="00722EA2">
              <w:rPr>
                <w:rStyle w:val="Hyperlink"/>
                <w:rFonts w:ascii="Times New Roman" w:hAnsi="Times New Roman" w:cs="Times New Roman"/>
              </w:rPr>
              <w:t>Rezultati izviđajnih (kvalitativnih) istraživanja</w:t>
            </w:r>
            <w:r>
              <w:rPr>
                <w:webHidden/>
              </w:rPr>
              <w:tab/>
            </w:r>
            <w:r>
              <w:rPr>
                <w:webHidden/>
              </w:rPr>
              <w:fldChar w:fldCharType="begin"/>
            </w:r>
            <w:r>
              <w:rPr>
                <w:webHidden/>
              </w:rPr>
              <w:instrText xml:space="preserve"> PAGEREF _Toc241865159 \h </w:instrText>
            </w:r>
            <w:r>
              <w:rPr>
                <w:webHidden/>
              </w:rPr>
            </w:r>
            <w:r>
              <w:rPr>
                <w:webHidden/>
              </w:rPr>
              <w:fldChar w:fldCharType="separate"/>
            </w:r>
            <w:r>
              <w:rPr>
                <w:webHidden/>
              </w:rPr>
              <w:t>203</w:t>
            </w:r>
            <w:r>
              <w:rPr>
                <w:webHidden/>
              </w:rPr>
              <w:fldChar w:fldCharType="end"/>
            </w:r>
          </w:hyperlink>
        </w:p>
        <w:p w14:paraId="036C71AC" w14:textId="63B4B0F1" w:rsidR="003D46C7" w:rsidRDefault="003D46C7">
          <w:pPr>
            <w:pStyle w:val="TOC3"/>
            <w:tabs>
              <w:tab w:val="left" w:pos="1320"/>
              <w:tab w:val="right" w:leader="dot" w:pos="9350"/>
            </w:tabs>
            <w:rPr>
              <w:rFonts w:eastAsiaTheme="minorEastAsia"/>
              <w:noProof/>
              <w:lang w:val="en-US"/>
            </w:rPr>
          </w:pPr>
          <w:hyperlink w:anchor="_Toc241865160" w:history="1">
            <w:r w:rsidRPr="00722EA2">
              <w:rPr>
                <w:rStyle w:val="Hyperlink"/>
                <w:rFonts w:ascii="Times New Roman" w:hAnsi="Times New Roman" w:cs="Times New Roman"/>
                <w:noProof/>
                <w:lang w:val="it-IT"/>
              </w:rPr>
              <w:t>5.1.1.</w:t>
            </w:r>
            <w:r>
              <w:rPr>
                <w:rFonts w:eastAsiaTheme="minorEastAsia"/>
                <w:noProof/>
                <w:lang w:val="en-US"/>
              </w:rPr>
              <w:tab/>
            </w:r>
            <w:r w:rsidRPr="00722EA2">
              <w:rPr>
                <w:rStyle w:val="Hyperlink"/>
                <w:rFonts w:ascii="Times New Roman" w:hAnsi="Times New Roman" w:cs="Times New Roman"/>
                <w:noProof/>
                <w:lang w:val="it-IT"/>
              </w:rPr>
              <w:t>Strateška logika i ekonomska opravdanost M&amp;A procesa</w:t>
            </w:r>
            <w:r>
              <w:rPr>
                <w:noProof/>
                <w:webHidden/>
              </w:rPr>
              <w:tab/>
            </w:r>
            <w:r>
              <w:rPr>
                <w:noProof/>
                <w:webHidden/>
              </w:rPr>
              <w:fldChar w:fldCharType="begin"/>
            </w:r>
            <w:r>
              <w:rPr>
                <w:noProof/>
                <w:webHidden/>
              </w:rPr>
              <w:instrText xml:space="preserve"> PAGEREF _Toc241865160 \h </w:instrText>
            </w:r>
            <w:r>
              <w:rPr>
                <w:noProof/>
                <w:webHidden/>
              </w:rPr>
            </w:r>
            <w:r>
              <w:rPr>
                <w:noProof/>
                <w:webHidden/>
              </w:rPr>
              <w:fldChar w:fldCharType="separate"/>
            </w:r>
            <w:r>
              <w:rPr>
                <w:noProof/>
                <w:webHidden/>
              </w:rPr>
              <w:t>204</w:t>
            </w:r>
            <w:r>
              <w:rPr>
                <w:noProof/>
                <w:webHidden/>
              </w:rPr>
              <w:fldChar w:fldCharType="end"/>
            </w:r>
          </w:hyperlink>
        </w:p>
        <w:p w14:paraId="72519711" w14:textId="491837FF" w:rsidR="003D46C7" w:rsidRDefault="003D46C7">
          <w:pPr>
            <w:pStyle w:val="TOC3"/>
            <w:tabs>
              <w:tab w:val="right" w:leader="dot" w:pos="9350"/>
            </w:tabs>
            <w:rPr>
              <w:rFonts w:eastAsiaTheme="minorEastAsia"/>
              <w:noProof/>
              <w:lang w:val="en-US"/>
            </w:rPr>
          </w:pPr>
          <w:hyperlink w:anchor="_Toc241865161" w:history="1">
            <w:r w:rsidRPr="00722EA2">
              <w:rPr>
                <w:rStyle w:val="Hyperlink"/>
                <w:rFonts w:ascii="Times New Roman" w:hAnsi="Times New Roman" w:cs="Times New Roman"/>
                <w:noProof/>
                <w:lang w:val="it-IT"/>
              </w:rPr>
              <w:t>5.1.2. Operativna i organizacijska integracija nakon akvizicije</w:t>
            </w:r>
            <w:r>
              <w:rPr>
                <w:noProof/>
                <w:webHidden/>
              </w:rPr>
              <w:tab/>
            </w:r>
            <w:r>
              <w:rPr>
                <w:noProof/>
                <w:webHidden/>
              </w:rPr>
              <w:fldChar w:fldCharType="begin"/>
            </w:r>
            <w:r>
              <w:rPr>
                <w:noProof/>
                <w:webHidden/>
              </w:rPr>
              <w:instrText xml:space="preserve"> PAGEREF _Toc241865161 \h </w:instrText>
            </w:r>
            <w:r>
              <w:rPr>
                <w:noProof/>
                <w:webHidden/>
              </w:rPr>
            </w:r>
            <w:r>
              <w:rPr>
                <w:noProof/>
                <w:webHidden/>
              </w:rPr>
              <w:fldChar w:fldCharType="separate"/>
            </w:r>
            <w:r>
              <w:rPr>
                <w:noProof/>
                <w:webHidden/>
              </w:rPr>
              <w:t>209</w:t>
            </w:r>
            <w:r>
              <w:rPr>
                <w:noProof/>
                <w:webHidden/>
              </w:rPr>
              <w:fldChar w:fldCharType="end"/>
            </w:r>
          </w:hyperlink>
        </w:p>
        <w:p w14:paraId="3F1D613C" w14:textId="7243F7E5" w:rsidR="003D46C7" w:rsidRDefault="003D46C7">
          <w:pPr>
            <w:pStyle w:val="TOC4"/>
            <w:tabs>
              <w:tab w:val="right" w:leader="dot" w:pos="9350"/>
            </w:tabs>
            <w:rPr>
              <w:rFonts w:eastAsiaTheme="minorEastAsia"/>
              <w:noProof/>
              <w:lang w:val="en-US"/>
            </w:rPr>
          </w:pPr>
          <w:hyperlink w:anchor="_Toc241865162" w:history="1">
            <w:r w:rsidRPr="00722EA2">
              <w:rPr>
                <w:rStyle w:val="Hyperlink"/>
                <w:rFonts w:ascii="Times New Roman" w:hAnsi="Times New Roman" w:cs="Times New Roman"/>
                <w:noProof/>
                <w:lang w:val="it-IT"/>
              </w:rPr>
              <w:t>5.1.2.1. Postakvizicijska organizacijska integracija</w:t>
            </w:r>
            <w:r>
              <w:rPr>
                <w:noProof/>
                <w:webHidden/>
              </w:rPr>
              <w:tab/>
            </w:r>
            <w:r>
              <w:rPr>
                <w:noProof/>
                <w:webHidden/>
              </w:rPr>
              <w:fldChar w:fldCharType="begin"/>
            </w:r>
            <w:r>
              <w:rPr>
                <w:noProof/>
                <w:webHidden/>
              </w:rPr>
              <w:instrText xml:space="preserve"> PAGEREF _Toc241865162 \h </w:instrText>
            </w:r>
            <w:r>
              <w:rPr>
                <w:noProof/>
                <w:webHidden/>
              </w:rPr>
            </w:r>
            <w:r>
              <w:rPr>
                <w:noProof/>
                <w:webHidden/>
              </w:rPr>
              <w:fldChar w:fldCharType="separate"/>
            </w:r>
            <w:r>
              <w:rPr>
                <w:noProof/>
                <w:webHidden/>
              </w:rPr>
              <w:t>210</w:t>
            </w:r>
            <w:r>
              <w:rPr>
                <w:noProof/>
                <w:webHidden/>
              </w:rPr>
              <w:fldChar w:fldCharType="end"/>
            </w:r>
          </w:hyperlink>
        </w:p>
        <w:p w14:paraId="65281096" w14:textId="01EB0BAD" w:rsidR="003D46C7" w:rsidRDefault="003D46C7">
          <w:pPr>
            <w:pStyle w:val="TOC3"/>
            <w:tabs>
              <w:tab w:val="right" w:leader="dot" w:pos="9350"/>
            </w:tabs>
            <w:rPr>
              <w:rFonts w:eastAsiaTheme="minorEastAsia"/>
              <w:noProof/>
              <w:lang w:val="en-US"/>
            </w:rPr>
          </w:pPr>
          <w:hyperlink w:anchor="_Toc241865163" w:history="1">
            <w:r w:rsidRPr="00722EA2">
              <w:rPr>
                <w:rStyle w:val="Hyperlink"/>
                <w:rFonts w:ascii="Times New Roman" w:hAnsi="Times New Roman" w:cs="Times New Roman"/>
                <w:noProof/>
                <w:lang w:val="it-IT"/>
              </w:rPr>
              <w:t>5.1.3. Ljudski, kulturni i komunikacijski izazovi M&amp;A procesa</w:t>
            </w:r>
            <w:r>
              <w:rPr>
                <w:noProof/>
                <w:webHidden/>
              </w:rPr>
              <w:tab/>
            </w:r>
            <w:r>
              <w:rPr>
                <w:noProof/>
                <w:webHidden/>
              </w:rPr>
              <w:fldChar w:fldCharType="begin"/>
            </w:r>
            <w:r>
              <w:rPr>
                <w:noProof/>
                <w:webHidden/>
              </w:rPr>
              <w:instrText xml:space="preserve"> PAGEREF _Toc241865163 \h </w:instrText>
            </w:r>
            <w:r>
              <w:rPr>
                <w:noProof/>
                <w:webHidden/>
              </w:rPr>
            </w:r>
            <w:r>
              <w:rPr>
                <w:noProof/>
                <w:webHidden/>
              </w:rPr>
              <w:fldChar w:fldCharType="separate"/>
            </w:r>
            <w:r>
              <w:rPr>
                <w:noProof/>
                <w:webHidden/>
              </w:rPr>
              <w:t>213</w:t>
            </w:r>
            <w:r>
              <w:rPr>
                <w:noProof/>
                <w:webHidden/>
              </w:rPr>
              <w:fldChar w:fldCharType="end"/>
            </w:r>
          </w:hyperlink>
        </w:p>
        <w:p w14:paraId="4D1149DF" w14:textId="5F8BDF8E" w:rsidR="003D46C7" w:rsidRDefault="003D46C7">
          <w:pPr>
            <w:pStyle w:val="TOC4"/>
            <w:tabs>
              <w:tab w:val="right" w:leader="dot" w:pos="9350"/>
            </w:tabs>
            <w:rPr>
              <w:rFonts w:eastAsiaTheme="minorEastAsia"/>
              <w:noProof/>
              <w:lang w:val="en-US"/>
            </w:rPr>
          </w:pPr>
          <w:hyperlink w:anchor="_Toc241865164" w:history="1">
            <w:r w:rsidRPr="00722EA2">
              <w:rPr>
                <w:rStyle w:val="Hyperlink"/>
                <w:rFonts w:ascii="Times New Roman" w:hAnsi="Times New Roman" w:cs="Times New Roman"/>
                <w:noProof/>
                <w:lang w:val="it-IT"/>
              </w:rPr>
              <w:t>5.1.3.1. Ljudski i kulturni aspekti integracije</w:t>
            </w:r>
            <w:r>
              <w:rPr>
                <w:noProof/>
                <w:webHidden/>
              </w:rPr>
              <w:tab/>
            </w:r>
            <w:r>
              <w:rPr>
                <w:noProof/>
                <w:webHidden/>
              </w:rPr>
              <w:fldChar w:fldCharType="begin"/>
            </w:r>
            <w:r>
              <w:rPr>
                <w:noProof/>
                <w:webHidden/>
              </w:rPr>
              <w:instrText xml:space="preserve"> PAGEREF _Toc241865164 \h </w:instrText>
            </w:r>
            <w:r>
              <w:rPr>
                <w:noProof/>
                <w:webHidden/>
              </w:rPr>
            </w:r>
            <w:r>
              <w:rPr>
                <w:noProof/>
                <w:webHidden/>
              </w:rPr>
              <w:fldChar w:fldCharType="separate"/>
            </w:r>
            <w:r>
              <w:rPr>
                <w:noProof/>
                <w:webHidden/>
              </w:rPr>
              <w:t>214</w:t>
            </w:r>
            <w:r>
              <w:rPr>
                <w:noProof/>
                <w:webHidden/>
              </w:rPr>
              <w:fldChar w:fldCharType="end"/>
            </w:r>
          </w:hyperlink>
        </w:p>
        <w:p w14:paraId="2B4BC1C3" w14:textId="44B68238" w:rsidR="003D46C7" w:rsidRDefault="003D46C7">
          <w:pPr>
            <w:pStyle w:val="TOC4"/>
            <w:tabs>
              <w:tab w:val="right" w:leader="dot" w:pos="9350"/>
            </w:tabs>
            <w:rPr>
              <w:rFonts w:eastAsiaTheme="minorEastAsia"/>
              <w:noProof/>
              <w:lang w:val="en-US"/>
            </w:rPr>
          </w:pPr>
          <w:hyperlink w:anchor="_Toc241865165" w:history="1">
            <w:r w:rsidRPr="00722EA2">
              <w:rPr>
                <w:rStyle w:val="Hyperlink"/>
                <w:rFonts w:ascii="Times New Roman" w:hAnsi="Times New Roman" w:cs="Times New Roman"/>
                <w:noProof/>
                <w:lang w:val="it-IT"/>
              </w:rPr>
              <w:t>5.1.3.2. Upravljanje promjenama i komunikacija</w:t>
            </w:r>
            <w:r>
              <w:rPr>
                <w:noProof/>
                <w:webHidden/>
              </w:rPr>
              <w:tab/>
            </w:r>
            <w:r>
              <w:rPr>
                <w:noProof/>
                <w:webHidden/>
              </w:rPr>
              <w:fldChar w:fldCharType="begin"/>
            </w:r>
            <w:r>
              <w:rPr>
                <w:noProof/>
                <w:webHidden/>
              </w:rPr>
              <w:instrText xml:space="preserve"> PAGEREF _Toc241865165 \h </w:instrText>
            </w:r>
            <w:r>
              <w:rPr>
                <w:noProof/>
                <w:webHidden/>
              </w:rPr>
            </w:r>
            <w:r>
              <w:rPr>
                <w:noProof/>
                <w:webHidden/>
              </w:rPr>
              <w:fldChar w:fldCharType="separate"/>
            </w:r>
            <w:r>
              <w:rPr>
                <w:noProof/>
                <w:webHidden/>
              </w:rPr>
              <w:t>216</w:t>
            </w:r>
            <w:r>
              <w:rPr>
                <w:noProof/>
                <w:webHidden/>
              </w:rPr>
              <w:fldChar w:fldCharType="end"/>
            </w:r>
          </w:hyperlink>
        </w:p>
        <w:p w14:paraId="14550FD6" w14:textId="64AA45DD" w:rsidR="003D46C7" w:rsidRDefault="003D46C7">
          <w:pPr>
            <w:pStyle w:val="TOC3"/>
            <w:tabs>
              <w:tab w:val="right" w:leader="dot" w:pos="9350"/>
            </w:tabs>
            <w:rPr>
              <w:rFonts w:eastAsiaTheme="minorEastAsia"/>
              <w:noProof/>
              <w:lang w:val="en-US"/>
            </w:rPr>
          </w:pPr>
          <w:hyperlink w:anchor="_Toc241865166" w:history="1">
            <w:r w:rsidRPr="00722EA2">
              <w:rPr>
                <w:rStyle w:val="Hyperlink"/>
                <w:rFonts w:ascii="Times New Roman" w:hAnsi="Times New Roman" w:cs="Times New Roman"/>
                <w:noProof/>
                <w:lang w:val="it-IT"/>
              </w:rPr>
              <w:t>5.1.4. Iskustveno učenje i dugoročna evaluacija procesa spajanja i preuzimanja</w:t>
            </w:r>
            <w:r>
              <w:rPr>
                <w:noProof/>
                <w:webHidden/>
              </w:rPr>
              <w:tab/>
            </w:r>
            <w:r>
              <w:rPr>
                <w:noProof/>
                <w:webHidden/>
              </w:rPr>
              <w:fldChar w:fldCharType="begin"/>
            </w:r>
            <w:r>
              <w:rPr>
                <w:noProof/>
                <w:webHidden/>
              </w:rPr>
              <w:instrText xml:space="preserve"> PAGEREF _Toc241865166 \h </w:instrText>
            </w:r>
            <w:r>
              <w:rPr>
                <w:noProof/>
                <w:webHidden/>
              </w:rPr>
            </w:r>
            <w:r>
              <w:rPr>
                <w:noProof/>
                <w:webHidden/>
              </w:rPr>
              <w:fldChar w:fldCharType="separate"/>
            </w:r>
            <w:r>
              <w:rPr>
                <w:noProof/>
                <w:webHidden/>
              </w:rPr>
              <w:t>217</w:t>
            </w:r>
            <w:r>
              <w:rPr>
                <w:noProof/>
                <w:webHidden/>
              </w:rPr>
              <w:fldChar w:fldCharType="end"/>
            </w:r>
          </w:hyperlink>
        </w:p>
        <w:p w14:paraId="1E4D4ED9" w14:textId="15A621BD" w:rsidR="003D46C7" w:rsidRDefault="003D46C7">
          <w:pPr>
            <w:pStyle w:val="TOC4"/>
            <w:tabs>
              <w:tab w:val="right" w:leader="dot" w:pos="9350"/>
            </w:tabs>
            <w:rPr>
              <w:rFonts w:eastAsiaTheme="minorEastAsia"/>
              <w:noProof/>
              <w:lang w:val="en-US"/>
            </w:rPr>
          </w:pPr>
          <w:hyperlink w:anchor="_Toc241865167" w:history="1">
            <w:r w:rsidRPr="00722EA2">
              <w:rPr>
                <w:rStyle w:val="Hyperlink"/>
                <w:rFonts w:ascii="Times New Roman" w:hAnsi="Times New Roman" w:cs="Times New Roman"/>
                <w:noProof/>
                <w:lang w:val="it-IT"/>
              </w:rPr>
              <w:t>5.1.4.1. Retrospektivna evaluacija i organizacijsko učenje</w:t>
            </w:r>
            <w:r>
              <w:rPr>
                <w:noProof/>
                <w:webHidden/>
              </w:rPr>
              <w:tab/>
            </w:r>
            <w:r>
              <w:rPr>
                <w:noProof/>
                <w:webHidden/>
              </w:rPr>
              <w:fldChar w:fldCharType="begin"/>
            </w:r>
            <w:r>
              <w:rPr>
                <w:noProof/>
                <w:webHidden/>
              </w:rPr>
              <w:instrText xml:space="preserve"> PAGEREF _Toc241865167 \h </w:instrText>
            </w:r>
            <w:r>
              <w:rPr>
                <w:noProof/>
                <w:webHidden/>
              </w:rPr>
            </w:r>
            <w:r>
              <w:rPr>
                <w:noProof/>
                <w:webHidden/>
              </w:rPr>
              <w:fldChar w:fldCharType="separate"/>
            </w:r>
            <w:r>
              <w:rPr>
                <w:noProof/>
                <w:webHidden/>
              </w:rPr>
              <w:t>218</w:t>
            </w:r>
            <w:r>
              <w:rPr>
                <w:noProof/>
                <w:webHidden/>
              </w:rPr>
              <w:fldChar w:fldCharType="end"/>
            </w:r>
          </w:hyperlink>
        </w:p>
        <w:p w14:paraId="16D6A6F6" w14:textId="3FA1E011" w:rsidR="003D46C7" w:rsidRDefault="003D46C7">
          <w:pPr>
            <w:pStyle w:val="TOC2"/>
            <w:rPr>
              <w:rFonts w:eastAsiaTheme="minorEastAsia"/>
              <w:lang w:val="en-US"/>
            </w:rPr>
          </w:pPr>
          <w:hyperlink w:anchor="_Toc241865168" w:history="1">
            <w:r w:rsidRPr="00722EA2">
              <w:rPr>
                <w:rStyle w:val="Hyperlink"/>
                <w:rFonts w:ascii="Times New Roman" w:hAnsi="Times New Roman" w:cs="Times New Roman"/>
              </w:rPr>
              <w:t>5.2.</w:t>
            </w:r>
            <w:r>
              <w:rPr>
                <w:rFonts w:eastAsiaTheme="minorEastAsia"/>
                <w:lang w:val="en-US"/>
              </w:rPr>
              <w:tab/>
            </w:r>
            <w:r w:rsidRPr="00722EA2">
              <w:rPr>
                <w:rStyle w:val="Hyperlink"/>
                <w:rFonts w:ascii="Times New Roman" w:hAnsi="Times New Roman" w:cs="Times New Roman"/>
              </w:rPr>
              <w:t>Rezultati opisnih (kvantitativnih) istraživanja</w:t>
            </w:r>
            <w:r>
              <w:rPr>
                <w:webHidden/>
              </w:rPr>
              <w:tab/>
            </w:r>
            <w:r>
              <w:rPr>
                <w:webHidden/>
              </w:rPr>
              <w:fldChar w:fldCharType="begin"/>
            </w:r>
            <w:r>
              <w:rPr>
                <w:webHidden/>
              </w:rPr>
              <w:instrText xml:space="preserve"> PAGEREF _Toc241865168 \h </w:instrText>
            </w:r>
            <w:r>
              <w:rPr>
                <w:webHidden/>
              </w:rPr>
            </w:r>
            <w:r>
              <w:rPr>
                <w:webHidden/>
              </w:rPr>
              <w:fldChar w:fldCharType="separate"/>
            </w:r>
            <w:r>
              <w:rPr>
                <w:webHidden/>
              </w:rPr>
              <w:t>219</w:t>
            </w:r>
            <w:r>
              <w:rPr>
                <w:webHidden/>
              </w:rPr>
              <w:fldChar w:fldCharType="end"/>
            </w:r>
          </w:hyperlink>
        </w:p>
        <w:p w14:paraId="43CFF3D3" w14:textId="67D97BDB" w:rsidR="003D46C7" w:rsidRDefault="003D46C7">
          <w:pPr>
            <w:pStyle w:val="TOC3"/>
            <w:tabs>
              <w:tab w:val="right" w:leader="dot" w:pos="9350"/>
            </w:tabs>
            <w:rPr>
              <w:rFonts w:eastAsiaTheme="minorEastAsia"/>
              <w:noProof/>
              <w:lang w:val="en-US"/>
            </w:rPr>
          </w:pPr>
          <w:hyperlink w:anchor="_Toc241865169" w:history="1">
            <w:r w:rsidRPr="00722EA2">
              <w:rPr>
                <w:rStyle w:val="Hyperlink"/>
                <w:rFonts w:ascii="Times New Roman" w:hAnsi="Times New Roman" w:cs="Times New Roman"/>
                <w:noProof/>
              </w:rPr>
              <w:t>5.2.1. Ključni motivi i čimbenici uspjeha procesa spajanja i preuzimanja – prikaz empirijskih rezultata</w:t>
            </w:r>
            <w:r>
              <w:rPr>
                <w:noProof/>
                <w:webHidden/>
              </w:rPr>
              <w:tab/>
            </w:r>
            <w:r>
              <w:rPr>
                <w:noProof/>
                <w:webHidden/>
              </w:rPr>
              <w:fldChar w:fldCharType="begin"/>
            </w:r>
            <w:r>
              <w:rPr>
                <w:noProof/>
                <w:webHidden/>
              </w:rPr>
              <w:instrText xml:space="preserve"> PAGEREF _Toc241865169 \h </w:instrText>
            </w:r>
            <w:r>
              <w:rPr>
                <w:noProof/>
                <w:webHidden/>
              </w:rPr>
            </w:r>
            <w:r>
              <w:rPr>
                <w:noProof/>
                <w:webHidden/>
              </w:rPr>
              <w:fldChar w:fldCharType="separate"/>
            </w:r>
            <w:r>
              <w:rPr>
                <w:noProof/>
                <w:webHidden/>
              </w:rPr>
              <w:t>220</w:t>
            </w:r>
            <w:r>
              <w:rPr>
                <w:noProof/>
                <w:webHidden/>
              </w:rPr>
              <w:fldChar w:fldCharType="end"/>
            </w:r>
          </w:hyperlink>
        </w:p>
        <w:p w14:paraId="1BC9B1EF" w14:textId="009663C9" w:rsidR="003D46C7" w:rsidRDefault="003D46C7">
          <w:pPr>
            <w:pStyle w:val="TOC4"/>
            <w:tabs>
              <w:tab w:val="right" w:leader="dot" w:pos="9350"/>
            </w:tabs>
            <w:rPr>
              <w:rFonts w:eastAsiaTheme="minorEastAsia"/>
              <w:noProof/>
              <w:lang w:val="en-US"/>
            </w:rPr>
          </w:pPr>
          <w:hyperlink w:anchor="_Toc241865170" w:history="1">
            <w:r w:rsidRPr="00722EA2">
              <w:rPr>
                <w:rStyle w:val="Hyperlink"/>
                <w:rFonts w:ascii="Times New Roman" w:hAnsi="Times New Roman" w:cs="Times New Roman"/>
                <w:noProof/>
              </w:rPr>
              <w:t>5.2.1.1. Rezultati prvog ciklusa Delphi postupka</w:t>
            </w:r>
            <w:r>
              <w:rPr>
                <w:noProof/>
                <w:webHidden/>
              </w:rPr>
              <w:tab/>
            </w:r>
            <w:r>
              <w:rPr>
                <w:noProof/>
                <w:webHidden/>
              </w:rPr>
              <w:fldChar w:fldCharType="begin"/>
            </w:r>
            <w:r>
              <w:rPr>
                <w:noProof/>
                <w:webHidden/>
              </w:rPr>
              <w:instrText xml:space="preserve"> PAGEREF _Toc241865170 \h </w:instrText>
            </w:r>
            <w:r>
              <w:rPr>
                <w:noProof/>
                <w:webHidden/>
              </w:rPr>
            </w:r>
            <w:r>
              <w:rPr>
                <w:noProof/>
                <w:webHidden/>
              </w:rPr>
              <w:fldChar w:fldCharType="separate"/>
            </w:r>
            <w:r>
              <w:rPr>
                <w:noProof/>
                <w:webHidden/>
              </w:rPr>
              <w:t>220</w:t>
            </w:r>
            <w:r>
              <w:rPr>
                <w:noProof/>
                <w:webHidden/>
              </w:rPr>
              <w:fldChar w:fldCharType="end"/>
            </w:r>
          </w:hyperlink>
        </w:p>
        <w:p w14:paraId="23BBCDDB" w14:textId="0D4672DA" w:rsidR="003D46C7" w:rsidRDefault="003D46C7">
          <w:pPr>
            <w:pStyle w:val="TOC4"/>
            <w:tabs>
              <w:tab w:val="right" w:leader="dot" w:pos="9350"/>
            </w:tabs>
            <w:rPr>
              <w:rFonts w:eastAsiaTheme="minorEastAsia"/>
              <w:noProof/>
              <w:lang w:val="en-US"/>
            </w:rPr>
          </w:pPr>
          <w:hyperlink w:anchor="_Toc241865171" w:history="1">
            <w:r w:rsidRPr="00722EA2">
              <w:rPr>
                <w:rStyle w:val="Hyperlink"/>
                <w:rFonts w:ascii="Times New Roman" w:hAnsi="Times New Roman" w:cs="Times New Roman"/>
                <w:bCs/>
                <w:noProof/>
              </w:rPr>
              <w:t>5.2.1.2. Rezultati drugog ciklusa Delphi postupka</w:t>
            </w:r>
            <w:r>
              <w:rPr>
                <w:noProof/>
                <w:webHidden/>
              </w:rPr>
              <w:tab/>
            </w:r>
            <w:r>
              <w:rPr>
                <w:noProof/>
                <w:webHidden/>
              </w:rPr>
              <w:fldChar w:fldCharType="begin"/>
            </w:r>
            <w:r>
              <w:rPr>
                <w:noProof/>
                <w:webHidden/>
              </w:rPr>
              <w:instrText xml:space="preserve"> PAGEREF _Toc241865171 \h </w:instrText>
            </w:r>
            <w:r>
              <w:rPr>
                <w:noProof/>
                <w:webHidden/>
              </w:rPr>
            </w:r>
            <w:r>
              <w:rPr>
                <w:noProof/>
                <w:webHidden/>
              </w:rPr>
              <w:fldChar w:fldCharType="separate"/>
            </w:r>
            <w:r>
              <w:rPr>
                <w:noProof/>
                <w:webHidden/>
              </w:rPr>
              <w:t>236</w:t>
            </w:r>
            <w:r>
              <w:rPr>
                <w:noProof/>
                <w:webHidden/>
              </w:rPr>
              <w:fldChar w:fldCharType="end"/>
            </w:r>
          </w:hyperlink>
        </w:p>
        <w:p w14:paraId="76D50E97" w14:textId="139F3BC4" w:rsidR="003D46C7" w:rsidRDefault="003D46C7">
          <w:pPr>
            <w:pStyle w:val="TOC3"/>
            <w:tabs>
              <w:tab w:val="right" w:leader="dot" w:pos="9350"/>
            </w:tabs>
            <w:rPr>
              <w:rFonts w:eastAsiaTheme="minorEastAsia"/>
              <w:noProof/>
              <w:lang w:val="en-US"/>
            </w:rPr>
          </w:pPr>
          <w:hyperlink w:anchor="_Toc241865172" w:history="1">
            <w:r w:rsidRPr="00722EA2">
              <w:rPr>
                <w:rStyle w:val="Hyperlink"/>
                <w:rFonts w:ascii="Times New Roman" w:hAnsi="Times New Roman" w:cs="Times New Roman"/>
                <w:noProof/>
              </w:rPr>
              <w:t>5.2.2. Rezultati empirijskog istraživanja čimbenika procesa spajanja i preuzimanja u hrvatskom hotelijerstvu provedenog s menadžerima hotelskih poduzeća</w:t>
            </w:r>
            <w:r>
              <w:rPr>
                <w:noProof/>
                <w:webHidden/>
              </w:rPr>
              <w:tab/>
            </w:r>
            <w:r>
              <w:rPr>
                <w:noProof/>
                <w:webHidden/>
              </w:rPr>
              <w:fldChar w:fldCharType="begin"/>
            </w:r>
            <w:r>
              <w:rPr>
                <w:noProof/>
                <w:webHidden/>
              </w:rPr>
              <w:instrText xml:space="preserve"> PAGEREF _Toc241865172 \h </w:instrText>
            </w:r>
            <w:r>
              <w:rPr>
                <w:noProof/>
                <w:webHidden/>
              </w:rPr>
            </w:r>
            <w:r>
              <w:rPr>
                <w:noProof/>
                <w:webHidden/>
              </w:rPr>
              <w:fldChar w:fldCharType="separate"/>
            </w:r>
            <w:r>
              <w:rPr>
                <w:noProof/>
                <w:webHidden/>
              </w:rPr>
              <w:t>257</w:t>
            </w:r>
            <w:r>
              <w:rPr>
                <w:noProof/>
                <w:webHidden/>
              </w:rPr>
              <w:fldChar w:fldCharType="end"/>
            </w:r>
          </w:hyperlink>
        </w:p>
        <w:p w14:paraId="669DB45C" w14:textId="51C092B2" w:rsidR="003D46C7" w:rsidRDefault="003D46C7">
          <w:pPr>
            <w:pStyle w:val="TOC3"/>
            <w:tabs>
              <w:tab w:val="right" w:leader="dot" w:pos="9350"/>
            </w:tabs>
            <w:rPr>
              <w:rFonts w:eastAsiaTheme="minorEastAsia"/>
              <w:noProof/>
              <w:lang w:val="en-US"/>
            </w:rPr>
          </w:pPr>
          <w:hyperlink w:anchor="_Toc241865173" w:history="1">
            <w:r w:rsidRPr="00722EA2">
              <w:rPr>
                <w:rStyle w:val="Hyperlink"/>
                <w:rFonts w:ascii="Times New Roman" w:hAnsi="Times New Roman" w:cs="Times New Roman"/>
                <w:noProof/>
              </w:rPr>
              <w:t>5.2.3. Usporedba ekspertne i menadžerske procjene ključnih motiva i čimbenika uspjeha procesa spajanja i preuzimanja</w:t>
            </w:r>
            <w:r>
              <w:rPr>
                <w:noProof/>
                <w:webHidden/>
              </w:rPr>
              <w:tab/>
            </w:r>
            <w:r>
              <w:rPr>
                <w:noProof/>
                <w:webHidden/>
              </w:rPr>
              <w:fldChar w:fldCharType="begin"/>
            </w:r>
            <w:r>
              <w:rPr>
                <w:noProof/>
                <w:webHidden/>
              </w:rPr>
              <w:instrText xml:space="preserve"> PAGEREF _Toc241865173 \h </w:instrText>
            </w:r>
            <w:r>
              <w:rPr>
                <w:noProof/>
                <w:webHidden/>
              </w:rPr>
            </w:r>
            <w:r>
              <w:rPr>
                <w:noProof/>
                <w:webHidden/>
              </w:rPr>
              <w:fldChar w:fldCharType="separate"/>
            </w:r>
            <w:r>
              <w:rPr>
                <w:noProof/>
                <w:webHidden/>
              </w:rPr>
              <w:t>272</w:t>
            </w:r>
            <w:r>
              <w:rPr>
                <w:noProof/>
                <w:webHidden/>
              </w:rPr>
              <w:fldChar w:fldCharType="end"/>
            </w:r>
          </w:hyperlink>
        </w:p>
        <w:p w14:paraId="4B1D10DA" w14:textId="19F795F4" w:rsidR="003D46C7" w:rsidRDefault="003D46C7">
          <w:pPr>
            <w:pStyle w:val="TOC3"/>
            <w:tabs>
              <w:tab w:val="right" w:leader="dot" w:pos="9350"/>
            </w:tabs>
            <w:rPr>
              <w:rFonts w:eastAsiaTheme="minorEastAsia"/>
              <w:noProof/>
              <w:lang w:val="en-US"/>
            </w:rPr>
          </w:pPr>
          <w:hyperlink w:anchor="_Toc241865174" w:history="1">
            <w:r w:rsidRPr="00722EA2">
              <w:rPr>
                <w:rStyle w:val="Hyperlink"/>
                <w:rFonts w:ascii="Times New Roman" w:hAnsi="Times New Roman" w:cs="Times New Roman"/>
                <w:noProof/>
              </w:rPr>
              <w:t>5.2.4. Usporedna analiza pokazatelja uspješnosti prije i nakon akvizicije</w:t>
            </w:r>
            <w:r>
              <w:rPr>
                <w:noProof/>
                <w:webHidden/>
              </w:rPr>
              <w:tab/>
            </w:r>
            <w:r>
              <w:rPr>
                <w:noProof/>
                <w:webHidden/>
              </w:rPr>
              <w:fldChar w:fldCharType="begin"/>
            </w:r>
            <w:r>
              <w:rPr>
                <w:noProof/>
                <w:webHidden/>
              </w:rPr>
              <w:instrText xml:space="preserve"> PAGEREF _Toc241865174 \h </w:instrText>
            </w:r>
            <w:r>
              <w:rPr>
                <w:noProof/>
                <w:webHidden/>
              </w:rPr>
            </w:r>
            <w:r>
              <w:rPr>
                <w:noProof/>
                <w:webHidden/>
              </w:rPr>
              <w:fldChar w:fldCharType="separate"/>
            </w:r>
            <w:r>
              <w:rPr>
                <w:noProof/>
                <w:webHidden/>
              </w:rPr>
              <w:t>277</w:t>
            </w:r>
            <w:r>
              <w:rPr>
                <w:noProof/>
                <w:webHidden/>
              </w:rPr>
              <w:fldChar w:fldCharType="end"/>
            </w:r>
          </w:hyperlink>
        </w:p>
        <w:p w14:paraId="351C5675" w14:textId="7B7F3F34" w:rsidR="003D46C7" w:rsidRDefault="003D46C7">
          <w:pPr>
            <w:pStyle w:val="TOC3"/>
            <w:tabs>
              <w:tab w:val="right" w:leader="dot" w:pos="9350"/>
            </w:tabs>
            <w:rPr>
              <w:rFonts w:eastAsiaTheme="minorEastAsia"/>
              <w:noProof/>
              <w:lang w:val="en-US"/>
            </w:rPr>
          </w:pPr>
          <w:hyperlink w:anchor="_Toc241865175" w:history="1">
            <w:r w:rsidRPr="00722EA2">
              <w:rPr>
                <w:rStyle w:val="Hyperlink"/>
                <w:rFonts w:ascii="Times New Roman" w:hAnsi="Times New Roman" w:cs="Times New Roman"/>
                <w:noProof/>
              </w:rPr>
              <w:t>5.2.5. Usporedna analiza pokazatelja uspješnosti poduzeća koja su prošla i koja nisu prošla proces akvizicije</w:t>
            </w:r>
            <w:r>
              <w:rPr>
                <w:noProof/>
                <w:webHidden/>
              </w:rPr>
              <w:tab/>
            </w:r>
            <w:r>
              <w:rPr>
                <w:noProof/>
                <w:webHidden/>
              </w:rPr>
              <w:fldChar w:fldCharType="begin"/>
            </w:r>
            <w:r>
              <w:rPr>
                <w:noProof/>
                <w:webHidden/>
              </w:rPr>
              <w:instrText xml:space="preserve"> PAGEREF _Toc241865175 \h </w:instrText>
            </w:r>
            <w:r>
              <w:rPr>
                <w:noProof/>
                <w:webHidden/>
              </w:rPr>
            </w:r>
            <w:r>
              <w:rPr>
                <w:noProof/>
                <w:webHidden/>
              </w:rPr>
              <w:fldChar w:fldCharType="separate"/>
            </w:r>
            <w:r>
              <w:rPr>
                <w:noProof/>
                <w:webHidden/>
              </w:rPr>
              <w:t>291</w:t>
            </w:r>
            <w:r>
              <w:rPr>
                <w:noProof/>
                <w:webHidden/>
              </w:rPr>
              <w:fldChar w:fldCharType="end"/>
            </w:r>
          </w:hyperlink>
        </w:p>
        <w:p w14:paraId="1B2DA97D" w14:textId="621E8769" w:rsidR="003D46C7" w:rsidRDefault="003D46C7">
          <w:pPr>
            <w:pStyle w:val="TOC2"/>
            <w:rPr>
              <w:rFonts w:eastAsiaTheme="minorEastAsia"/>
              <w:lang w:val="en-US"/>
            </w:rPr>
          </w:pPr>
          <w:hyperlink w:anchor="_Toc241865176" w:history="1">
            <w:r w:rsidRPr="00722EA2">
              <w:rPr>
                <w:rStyle w:val="Hyperlink"/>
                <w:rFonts w:ascii="Times New Roman" w:hAnsi="Times New Roman" w:cs="Times New Roman"/>
                <w:lang w:val="it-IT"/>
              </w:rPr>
              <w:t>5.3. Rasprava i kritički osvrt na rezultate istraživanja</w:t>
            </w:r>
            <w:r>
              <w:rPr>
                <w:webHidden/>
              </w:rPr>
              <w:tab/>
            </w:r>
            <w:r>
              <w:rPr>
                <w:webHidden/>
              </w:rPr>
              <w:fldChar w:fldCharType="begin"/>
            </w:r>
            <w:r>
              <w:rPr>
                <w:webHidden/>
              </w:rPr>
              <w:instrText xml:space="preserve"> PAGEREF _Toc241865176 \h </w:instrText>
            </w:r>
            <w:r>
              <w:rPr>
                <w:webHidden/>
              </w:rPr>
            </w:r>
            <w:r>
              <w:rPr>
                <w:webHidden/>
              </w:rPr>
              <w:fldChar w:fldCharType="separate"/>
            </w:r>
            <w:r>
              <w:rPr>
                <w:webHidden/>
              </w:rPr>
              <w:t>304</w:t>
            </w:r>
            <w:r>
              <w:rPr>
                <w:webHidden/>
              </w:rPr>
              <w:fldChar w:fldCharType="end"/>
            </w:r>
          </w:hyperlink>
        </w:p>
        <w:p w14:paraId="41CBD1DD" w14:textId="71F8F54A" w:rsidR="003D46C7" w:rsidRDefault="003D46C7">
          <w:pPr>
            <w:pStyle w:val="TOC3"/>
            <w:tabs>
              <w:tab w:val="right" w:leader="dot" w:pos="9350"/>
            </w:tabs>
            <w:rPr>
              <w:rFonts w:eastAsiaTheme="minorEastAsia"/>
              <w:noProof/>
              <w:lang w:val="en-US"/>
            </w:rPr>
          </w:pPr>
          <w:hyperlink w:anchor="_Toc241865177" w:history="1">
            <w:r w:rsidRPr="00722EA2">
              <w:rPr>
                <w:rStyle w:val="Hyperlink"/>
                <w:rFonts w:ascii="Times New Roman" w:hAnsi="Times New Roman" w:cs="Times New Roman"/>
                <w:noProof/>
                <w:lang w:val="it-IT"/>
              </w:rPr>
              <w:t>5.3.1. Rasprava o ključnim motivima i čimbenicima uspjeha procesa spajanja i preuzimanja u hotelijerstvu</w:t>
            </w:r>
            <w:r>
              <w:rPr>
                <w:noProof/>
                <w:webHidden/>
              </w:rPr>
              <w:tab/>
            </w:r>
            <w:r>
              <w:rPr>
                <w:noProof/>
                <w:webHidden/>
              </w:rPr>
              <w:fldChar w:fldCharType="begin"/>
            </w:r>
            <w:r>
              <w:rPr>
                <w:noProof/>
                <w:webHidden/>
              </w:rPr>
              <w:instrText xml:space="preserve"> PAGEREF _Toc241865177 \h </w:instrText>
            </w:r>
            <w:r>
              <w:rPr>
                <w:noProof/>
                <w:webHidden/>
              </w:rPr>
            </w:r>
            <w:r>
              <w:rPr>
                <w:noProof/>
                <w:webHidden/>
              </w:rPr>
              <w:fldChar w:fldCharType="separate"/>
            </w:r>
            <w:r>
              <w:rPr>
                <w:noProof/>
                <w:webHidden/>
              </w:rPr>
              <w:t>304</w:t>
            </w:r>
            <w:r>
              <w:rPr>
                <w:noProof/>
                <w:webHidden/>
              </w:rPr>
              <w:fldChar w:fldCharType="end"/>
            </w:r>
          </w:hyperlink>
        </w:p>
        <w:p w14:paraId="433EE0A1" w14:textId="7D9DDED3" w:rsidR="003D46C7" w:rsidRDefault="003D46C7">
          <w:pPr>
            <w:pStyle w:val="TOC4"/>
            <w:tabs>
              <w:tab w:val="right" w:leader="dot" w:pos="9350"/>
            </w:tabs>
            <w:rPr>
              <w:rFonts w:eastAsiaTheme="minorEastAsia"/>
              <w:noProof/>
              <w:lang w:val="en-US"/>
            </w:rPr>
          </w:pPr>
          <w:hyperlink w:anchor="_Toc241865178" w:history="1">
            <w:r w:rsidRPr="00722EA2">
              <w:rPr>
                <w:rStyle w:val="Hyperlink"/>
                <w:rFonts w:ascii="Times New Roman" w:hAnsi="Times New Roman" w:cs="Times New Roman"/>
                <w:noProof/>
                <w:lang w:val="it-IT"/>
              </w:rPr>
              <w:t>5.3.1.1. Rasprava o motivima pokretanja procesa spajanja i preuzimanja</w:t>
            </w:r>
            <w:r>
              <w:rPr>
                <w:noProof/>
                <w:webHidden/>
              </w:rPr>
              <w:tab/>
            </w:r>
            <w:r>
              <w:rPr>
                <w:noProof/>
                <w:webHidden/>
              </w:rPr>
              <w:fldChar w:fldCharType="begin"/>
            </w:r>
            <w:r>
              <w:rPr>
                <w:noProof/>
                <w:webHidden/>
              </w:rPr>
              <w:instrText xml:space="preserve"> PAGEREF _Toc241865178 \h </w:instrText>
            </w:r>
            <w:r>
              <w:rPr>
                <w:noProof/>
                <w:webHidden/>
              </w:rPr>
            </w:r>
            <w:r>
              <w:rPr>
                <w:noProof/>
                <w:webHidden/>
              </w:rPr>
              <w:fldChar w:fldCharType="separate"/>
            </w:r>
            <w:r>
              <w:rPr>
                <w:noProof/>
                <w:webHidden/>
              </w:rPr>
              <w:t>305</w:t>
            </w:r>
            <w:r>
              <w:rPr>
                <w:noProof/>
                <w:webHidden/>
              </w:rPr>
              <w:fldChar w:fldCharType="end"/>
            </w:r>
          </w:hyperlink>
        </w:p>
        <w:p w14:paraId="5E3C560E" w14:textId="5B3D507D" w:rsidR="003D46C7" w:rsidRDefault="003D46C7">
          <w:pPr>
            <w:pStyle w:val="TOC4"/>
            <w:tabs>
              <w:tab w:val="right" w:leader="dot" w:pos="9350"/>
            </w:tabs>
            <w:rPr>
              <w:rFonts w:eastAsiaTheme="minorEastAsia"/>
              <w:noProof/>
              <w:lang w:val="en-US"/>
            </w:rPr>
          </w:pPr>
          <w:hyperlink w:anchor="_Toc241865179" w:history="1">
            <w:r w:rsidRPr="00722EA2">
              <w:rPr>
                <w:rStyle w:val="Hyperlink"/>
                <w:rFonts w:ascii="Times New Roman" w:hAnsi="Times New Roman" w:cs="Times New Roman"/>
                <w:noProof/>
                <w:lang w:val="it-IT"/>
              </w:rPr>
              <w:t>5.3.1.2. Rasprava o ključnim čimbenicima uspjeha u fazi prije preuzimanja</w:t>
            </w:r>
            <w:r>
              <w:rPr>
                <w:noProof/>
                <w:webHidden/>
              </w:rPr>
              <w:tab/>
            </w:r>
            <w:r>
              <w:rPr>
                <w:noProof/>
                <w:webHidden/>
              </w:rPr>
              <w:fldChar w:fldCharType="begin"/>
            </w:r>
            <w:r>
              <w:rPr>
                <w:noProof/>
                <w:webHidden/>
              </w:rPr>
              <w:instrText xml:space="preserve"> PAGEREF _Toc241865179 \h </w:instrText>
            </w:r>
            <w:r>
              <w:rPr>
                <w:noProof/>
                <w:webHidden/>
              </w:rPr>
            </w:r>
            <w:r>
              <w:rPr>
                <w:noProof/>
                <w:webHidden/>
              </w:rPr>
              <w:fldChar w:fldCharType="separate"/>
            </w:r>
            <w:r>
              <w:rPr>
                <w:noProof/>
                <w:webHidden/>
              </w:rPr>
              <w:t>308</w:t>
            </w:r>
            <w:r>
              <w:rPr>
                <w:noProof/>
                <w:webHidden/>
              </w:rPr>
              <w:fldChar w:fldCharType="end"/>
            </w:r>
          </w:hyperlink>
        </w:p>
        <w:p w14:paraId="4BBE418F" w14:textId="29CE9EB6" w:rsidR="003D46C7" w:rsidRDefault="003D46C7">
          <w:pPr>
            <w:pStyle w:val="TOC4"/>
            <w:tabs>
              <w:tab w:val="right" w:leader="dot" w:pos="9350"/>
            </w:tabs>
            <w:rPr>
              <w:rFonts w:eastAsiaTheme="minorEastAsia"/>
              <w:noProof/>
              <w:lang w:val="en-US"/>
            </w:rPr>
          </w:pPr>
          <w:hyperlink w:anchor="_Toc241865180" w:history="1">
            <w:r w:rsidRPr="00722EA2">
              <w:rPr>
                <w:rStyle w:val="Hyperlink"/>
                <w:rFonts w:ascii="Times New Roman" w:hAnsi="Times New Roman" w:cs="Times New Roman"/>
                <w:noProof/>
                <w:lang w:val="it-IT"/>
              </w:rPr>
              <w:t>5.3.1.3. Rasprava o ključnim čimbenicima uspjeha u fazi integracije</w:t>
            </w:r>
            <w:r>
              <w:rPr>
                <w:noProof/>
                <w:webHidden/>
              </w:rPr>
              <w:tab/>
            </w:r>
            <w:r>
              <w:rPr>
                <w:noProof/>
                <w:webHidden/>
              </w:rPr>
              <w:fldChar w:fldCharType="begin"/>
            </w:r>
            <w:r>
              <w:rPr>
                <w:noProof/>
                <w:webHidden/>
              </w:rPr>
              <w:instrText xml:space="preserve"> PAGEREF _Toc241865180 \h </w:instrText>
            </w:r>
            <w:r>
              <w:rPr>
                <w:noProof/>
                <w:webHidden/>
              </w:rPr>
            </w:r>
            <w:r>
              <w:rPr>
                <w:noProof/>
                <w:webHidden/>
              </w:rPr>
              <w:fldChar w:fldCharType="separate"/>
            </w:r>
            <w:r>
              <w:rPr>
                <w:noProof/>
                <w:webHidden/>
              </w:rPr>
              <w:t>310</w:t>
            </w:r>
            <w:r>
              <w:rPr>
                <w:noProof/>
                <w:webHidden/>
              </w:rPr>
              <w:fldChar w:fldCharType="end"/>
            </w:r>
          </w:hyperlink>
        </w:p>
        <w:p w14:paraId="5CE5E90F" w14:textId="6E9C61D5" w:rsidR="003D46C7" w:rsidRDefault="003D46C7">
          <w:pPr>
            <w:pStyle w:val="TOC4"/>
            <w:tabs>
              <w:tab w:val="right" w:leader="dot" w:pos="9350"/>
            </w:tabs>
            <w:rPr>
              <w:rFonts w:eastAsiaTheme="minorEastAsia"/>
              <w:noProof/>
              <w:lang w:val="en-US"/>
            </w:rPr>
          </w:pPr>
          <w:hyperlink w:anchor="_Toc241865181" w:history="1">
            <w:r w:rsidRPr="00722EA2">
              <w:rPr>
                <w:rStyle w:val="Hyperlink"/>
                <w:rFonts w:ascii="Times New Roman" w:hAnsi="Times New Roman" w:cs="Times New Roman"/>
                <w:noProof/>
                <w:lang w:val="it-IT"/>
              </w:rPr>
              <w:t>5.3.1.4. Rasprava o čimbenicima uspješnosti nakon spajanja i preuzimanja</w:t>
            </w:r>
            <w:r>
              <w:rPr>
                <w:noProof/>
                <w:webHidden/>
              </w:rPr>
              <w:tab/>
            </w:r>
            <w:r>
              <w:rPr>
                <w:noProof/>
                <w:webHidden/>
              </w:rPr>
              <w:fldChar w:fldCharType="begin"/>
            </w:r>
            <w:r>
              <w:rPr>
                <w:noProof/>
                <w:webHidden/>
              </w:rPr>
              <w:instrText xml:space="preserve"> PAGEREF _Toc241865181 \h </w:instrText>
            </w:r>
            <w:r>
              <w:rPr>
                <w:noProof/>
                <w:webHidden/>
              </w:rPr>
            </w:r>
            <w:r>
              <w:rPr>
                <w:noProof/>
                <w:webHidden/>
              </w:rPr>
              <w:fldChar w:fldCharType="separate"/>
            </w:r>
            <w:r>
              <w:rPr>
                <w:noProof/>
                <w:webHidden/>
              </w:rPr>
              <w:t>313</w:t>
            </w:r>
            <w:r>
              <w:rPr>
                <w:noProof/>
                <w:webHidden/>
              </w:rPr>
              <w:fldChar w:fldCharType="end"/>
            </w:r>
          </w:hyperlink>
        </w:p>
        <w:p w14:paraId="7B2AC3AE" w14:textId="6E0F1730" w:rsidR="003D46C7" w:rsidRDefault="003D46C7">
          <w:pPr>
            <w:pStyle w:val="TOC4"/>
            <w:tabs>
              <w:tab w:val="right" w:leader="dot" w:pos="9350"/>
            </w:tabs>
            <w:rPr>
              <w:rFonts w:eastAsiaTheme="minorEastAsia"/>
              <w:noProof/>
              <w:lang w:val="en-US"/>
            </w:rPr>
          </w:pPr>
          <w:hyperlink w:anchor="_Toc241865182" w:history="1">
            <w:r w:rsidRPr="00722EA2">
              <w:rPr>
                <w:rStyle w:val="Hyperlink"/>
                <w:rFonts w:ascii="Times New Roman" w:hAnsi="Times New Roman" w:cs="Times New Roman"/>
                <w:noProof/>
                <w:lang w:val="it-IT"/>
              </w:rPr>
              <w:t>5.3.1.5. Sinteza i osvrt</w:t>
            </w:r>
            <w:r>
              <w:rPr>
                <w:noProof/>
                <w:webHidden/>
              </w:rPr>
              <w:tab/>
            </w:r>
            <w:r>
              <w:rPr>
                <w:noProof/>
                <w:webHidden/>
              </w:rPr>
              <w:fldChar w:fldCharType="begin"/>
            </w:r>
            <w:r>
              <w:rPr>
                <w:noProof/>
                <w:webHidden/>
              </w:rPr>
              <w:instrText xml:space="preserve"> PAGEREF _Toc241865182 \h </w:instrText>
            </w:r>
            <w:r>
              <w:rPr>
                <w:noProof/>
                <w:webHidden/>
              </w:rPr>
            </w:r>
            <w:r>
              <w:rPr>
                <w:noProof/>
                <w:webHidden/>
              </w:rPr>
              <w:fldChar w:fldCharType="separate"/>
            </w:r>
            <w:r>
              <w:rPr>
                <w:noProof/>
                <w:webHidden/>
              </w:rPr>
              <w:t>316</w:t>
            </w:r>
            <w:r>
              <w:rPr>
                <w:noProof/>
                <w:webHidden/>
              </w:rPr>
              <w:fldChar w:fldCharType="end"/>
            </w:r>
          </w:hyperlink>
        </w:p>
        <w:p w14:paraId="32A1E53F" w14:textId="2A2F65A1" w:rsidR="003D46C7" w:rsidRDefault="003D46C7">
          <w:pPr>
            <w:pStyle w:val="TOC3"/>
            <w:tabs>
              <w:tab w:val="left" w:pos="1320"/>
              <w:tab w:val="right" w:leader="dot" w:pos="9350"/>
            </w:tabs>
            <w:rPr>
              <w:rFonts w:eastAsiaTheme="minorEastAsia"/>
              <w:noProof/>
              <w:lang w:val="en-US"/>
            </w:rPr>
          </w:pPr>
          <w:hyperlink w:anchor="_Toc241865183" w:history="1">
            <w:r w:rsidRPr="00722EA2">
              <w:rPr>
                <w:rStyle w:val="Hyperlink"/>
                <w:rFonts w:ascii="Times New Roman" w:hAnsi="Times New Roman" w:cs="Times New Roman"/>
                <w:noProof/>
              </w:rPr>
              <w:t>5.3.2.</w:t>
            </w:r>
            <w:r>
              <w:rPr>
                <w:rFonts w:eastAsiaTheme="minorEastAsia"/>
                <w:noProof/>
                <w:lang w:val="en-US"/>
              </w:rPr>
              <w:tab/>
            </w:r>
            <w:r w:rsidRPr="00722EA2">
              <w:rPr>
                <w:rStyle w:val="Hyperlink"/>
                <w:rFonts w:ascii="Times New Roman" w:hAnsi="Times New Roman" w:cs="Times New Roman"/>
                <w:noProof/>
              </w:rPr>
              <w:t>Rasprava o uspješnosti hotelskih poduzeća u kontekstu procesa spajanja i preuzimanja – financijski i tržišni pokazatelji</w:t>
            </w:r>
            <w:r>
              <w:rPr>
                <w:noProof/>
                <w:webHidden/>
              </w:rPr>
              <w:tab/>
            </w:r>
            <w:r>
              <w:rPr>
                <w:noProof/>
                <w:webHidden/>
              </w:rPr>
              <w:fldChar w:fldCharType="begin"/>
            </w:r>
            <w:r>
              <w:rPr>
                <w:noProof/>
                <w:webHidden/>
              </w:rPr>
              <w:instrText xml:space="preserve"> PAGEREF _Toc241865183 \h </w:instrText>
            </w:r>
            <w:r>
              <w:rPr>
                <w:noProof/>
                <w:webHidden/>
              </w:rPr>
            </w:r>
            <w:r>
              <w:rPr>
                <w:noProof/>
                <w:webHidden/>
              </w:rPr>
              <w:fldChar w:fldCharType="separate"/>
            </w:r>
            <w:r>
              <w:rPr>
                <w:noProof/>
                <w:webHidden/>
              </w:rPr>
              <w:t>321</w:t>
            </w:r>
            <w:r>
              <w:rPr>
                <w:noProof/>
                <w:webHidden/>
              </w:rPr>
              <w:fldChar w:fldCharType="end"/>
            </w:r>
          </w:hyperlink>
        </w:p>
        <w:p w14:paraId="07E45F42" w14:textId="7D825FF5" w:rsidR="003D46C7" w:rsidRDefault="003D46C7">
          <w:pPr>
            <w:pStyle w:val="TOC4"/>
            <w:tabs>
              <w:tab w:val="right" w:leader="dot" w:pos="9350"/>
            </w:tabs>
            <w:rPr>
              <w:rFonts w:eastAsiaTheme="minorEastAsia"/>
              <w:noProof/>
              <w:lang w:val="en-US"/>
            </w:rPr>
          </w:pPr>
          <w:hyperlink w:anchor="_Toc241865184" w:history="1">
            <w:r w:rsidRPr="00722EA2">
              <w:rPr>
                <w:rStyle w:val="Hyperlink"/>
                <w:rFonts w:ascii="Times New Roman" w:hAnsi="Times New Roman" w:cs="Times New Roman"/>
                <w:noProof/>
              </w:rPr>
              <w:t>5.3.2.1. Rasprava o usporedbi pokazatelja uspješnosti (KPI) poduzeća preuzimatelja nakon završetka procesa u usporedbi s istim pokazateljima u razdoblju prije provedenog procesa (H3)</w:t>
            </w:r>
            <w:r>
              <w:rPr>
                <w:noProof/>
                <w:webHidden/>
              </w:rPr>
              <w:tab/>
            </w:r>
            <w:r>
              <w:rPr>
                <w:noProof/>
                <w:webHidden/>
              </w:rPr>
              <w:fldChar w:fldCharType="begin"/>
            </w:r>
            <w:r>
              <w:rPr>
                <w:noProof/>
                <w:webHidden/>
              </w:rPr>
              <w:instrText xml:space="preserve"> PAGEREF _Toc241865184 \h </w:instrText>
            </w:r>
            <w:r>
              <w:rPr>
                <w:noProof/>
                <w:webHidden/>
              </w:rPr>
            </w:r>
            <w:r>
              <w:rPr>
                <w:noProof/>
                <w:webHidden/>
              </w:rPr>
              <w:fldChar w:fldCharType="separate"/>
            </w:r>
            <w:r>
              <w:rPr>
                <w:noProof/>
                <w:webHidden/>
              </w:rPr>
              <w:t>322</w:t>
            </w:r>
            <w:r>
              <w:rPr>
                <w:noProof/>
                <w:webHidden/>
              </w:rPr>
              <w:fldChar w:fldCharType="end"/>
            </w:r>
          </w:hyperlink>
        </w:p>
        <w:p w14:paraId="5F271162" w14:textId="02F95EBF" w:rsidR="003D46C7" w:rsidRDefault="003D46C7">
          <w:pPr>
            <w:pStyle w:val="TOC4"/>
            <w:tabs>
              <w:tab w:val="right" w:leader="dot" w:pos="9350"/>
            </w:tabs>
            <w:rPr>
              <w:rFonts w:eastAsiaTheme="minorEastAsia"/>
              <w:noProof/>
              <w:lang w:val="en-US"/>
            </w:rPr>
          </w:pPr>
          <w:hyperlink w:anchor="_Toc241865185" w:history="1">
            <w:r w:rsidRPr="00722EA2">
              <w:rPr>
                <w:rStyle w:val="Hyperlink"/>
                <w:rFonts w:ascii="Times New Roman" w:hAnsi="Times New Roman" w:cs="Times New Roman"/>
                <w:noProof/>
              </w:rPr>
              <w:t>5.3.2.2. Rasprava o usporedba pokazatelja uspješnosti poduzeća koja su prošla i koja nisu prošla proces spajanja i preuzimanja (H4)</w:t>
            </w:r>
            <w:r>
              <w:rPr>
                <w:noProof/>
                <w:webHidden/>
              </w:rPr>
              <w:tab/>
            </w:r>
            <w:r>
              <w:rPr>
                <w:noProof/>
                <w:webHidden/>
              </w:rPr>
              <w:fldChar w:fldCharType="begin"/>
            </w:r>
            <w:r>
              <w:rPr>
                <w:noProof/>
                <w:webHidden/>
              </w:rPr>
              <w:instrText xml:space="preserve"> PAGEREF _Toc241865185 \h </w:instrText>
            </w:r>
            <w:r>
              <w:rPr>
                <w:noProof/>
                <w:webHidden/>
              </w:rPr>
            </w:r>
            <w:r>
              <w:rPr>
                <w:noProof/>
                <w:webHidden/>
              </w:rPr>
              <w:fldChar w:fldCharType="separate"/>
            </w:r>
            <w:r>
              <w:rPr>
                <w:noProof/>
                <w:webHidden/>
              </w:rPr>
              <w:t>325</w:t>
            </w:r>
            <w:r>
              <w:rPr>
                <w:noProof/>
                <w:webHidden/>
              </w:rPr>
              <w:fldChar w:fldCharType="end"/>
            </w:r>
          </w:hyperlink>
        </w:p>
        <w:p w14:paraId="78D2D575" w14:textId="59598528" w:rsidR="003D46C7" w:rsidRDefault="003D46C7">
          <w:pPr>
            <w:pStyle w:val="TOC4"/>
            <w:tabs>
              <w:tab w:val="right" w:leader="dot" w:pos="9350"/>
            </w:tabs>
            <w:rPr>
              <w:rFonts w:eastAsiaTheme="minorEastAsia"/>
              <w:noProof/>
              <w:lang w:val="en-US"/>
            </w:rPr>
          </w:pPr>
          <w:hyperlink w:anchor="_Toc241865186" w:history="1">
            <w:r w:rsidRPr="00722EA2">
              <w:rPr>
                <w:rStyle w:val="Hyperlink"/>
                <w:rFonts w:ascii="Times New Roman" w:hAnsi="Times New Roman" w:cs="Times New Roman"/>
                <w:noProof/>
                <w:lang w:val="it-IT"/>
              </w:rPr>
              <w:t>5.3.2.3. Sintezni osvrt na financijsku i tržišnu uspješnost poduzeća u kontekstu procesa spajanja i preuzimanja</w:t>
            </w:r>
            <w:r>
              <w:rPr>
                <w:noProof/>
                <w:webHidden/>
              </w:rPr>
              <w:tab/>
            </w:r>
            <w:r>
              <w:rPr>
                <w:noProof/>
                <w:webHidden/>
              </w:rPr>
              <w:fldChar w:fldCharType="begin"/>
            </w:r>
            <w:r>
              <w:rPr>
                <w:noProof/>
                <w:webHidden/>
              </w:rPr>
              <w:instrText xml:space="preserve"> PAGEREF _Toc241865186 \h </w:instrText>
            </w:r>
            <w:r>
              <w:rPr>
                <w:noProof/>
                <w:webHidden/>
              </w:rPr>
            </w:r>
            <w:r>
              <w:rPr>
                <w:noProof/>
                <w:webHidden/>
              </w:rPr>
              <w:fldChar w:fldCharType="separate"/>
            </w:r>
            <w:r>
              <w:rPr>
                <w:noProof/>
                <w:webHidden/>
              </w:rPr>
              <w:t>327</w:t>
            </w:r>
            <w:r>
              <w:rPr>
                <w:noProof/>
                <w:webHidden/>
              </w:rPr>
              <w:fldChar w:fldCharType="end"/>
            </w:r>
          </w:hyperlink>
        </w:p>
        <w:p w14:paraId="4B53E92E" w14:textId="5E0300FB" w:rsidR="003D46C7" w:rsidRDefault="003D46C7">
          <w:pPr>
            <w:pStyle w:val="TOC2"/>
            <w:rPr>
              <w:rFonts w:eastAsiaTheme="minorEastAsia"/>
              <w:lang w:val="en-US"/>
            </w:rPr>
          </w:pPr>
          <w:hyperlink w:anchor="_Toc241865187" w:history="1">
            <w:r w:rsidRPr="00722EA2">
              <w:rPr>
                <w:rStyle w:val="Hyperlink"/>
                <w:rFonts w:ascii="Times New Roman" w:hAnsi="Times New Roman" w:cs="Times New Roman"/>
              </w:rPr>
              <w:t>5.4.</w:t>
            </w:r>
            <w:r>
              <w:rPr>
                <w:rFonts w:eastAsiaTheme="minorEastAsia"/>
                <w:lang w:val="en-US"/>
              </w:rPr>
              <w:tab/>
            </w:r>
            <w:r w:rsidRPr="00722EA2">
              <w:rPr>
                <w:rStyle w:val="Hyperlink"/>
                <w:rFonts w:ascii="Times New Roman" w:hAnsi="Times New Roman" w:cs="Times New Roman"/>
              </w:rPr>
              <w:t>Doprinos istraživanja</w:t>
            </w:r>
            <w:r>
              <w:rPr>
                <w:webHidden/>
              </w:rPr>
              <w:tab/>
            </w:r>
            <w:r>
              <w:rPr>
                <w:webHidden/>
              </w:rPr>
              <w:fldChar w:fldCharType="begin"/>
            </w:r>
            <w:r>
              <w:rPr>
                <w:webHidden/>
              </w:rPr>
              <w:instrText xml:space="preserve"> PAGEREF _Toc241865187 \h </w:instrText>
            </w:r>
            <w:r>
              <w:rPr>
                <w:webHidden/>
              </w:rPr>
            </w:r>
            <w:r>
              <w:rPr>
                <w:webHidden/>
              </w:rPr>
              <w:fldChar w:fldCharType="separate"/>
            </w:r>
            <w:r>
              <w:rPr>
                <w:webHidden/>
              </w:rPr>
              <w:t>330</w:t>
            </w:r>
            <w:r>
              <w:rPr>
                <w:webHidden/>
              </w:rPr>
              <w:fldChar w:fldCharType="end"/>
            </w:r>
          </w:hyperlink>
        </w:p>
        <w:p w14:paraId="6D257754" w14:textId="067D5BFC" w:rsidR="003D46C7" w:rsidRDefault="003D46C7">
          <w:pPr>
            <w:pStyle w:val="TOC2"/>
            <w:rPr>
              <w:rFonts w:eastAsiaTheme="minorEastAsia"/>
              <w:lang w:val="en-US"/>
            </w:rPr>
          </w:pPr>
          <w:hyperlink w:anchor="_Toc241865188" w:history="1">
            <w:r w:rsidRPr="00722EA2">
              <w:rPr>
                <w:rStyle w:val="Hyperlink"/>
                <w:rFonts w:ascii="Times New Roman" w:hAnsi="Times New Roman" w:cs="Times New Roman"/>
              </w:rPr>
              <w:t>5.5. Smjernice za buduća istraživanja</w:t>
            </w:r>
            <w:r>
              <w:rPr>
                <w:webHidden/>
              </w:rPr>
              <w:tab/>
            </w:r>
            <w:r>
              <w:rPr>
                <w:webHidden/>
              </w:rPr>
              <w:fldChar w:fldCharType="begin"/>
            </w:r>
            <w:r>
              <w:rPr>
                <w:webHidden/>
              </w:rPr>
              <w:instrText xml:space="preserve"> PAGEREF _Toc241865188 \h </w:instrText>
            </w:r>
            <w:r>
              <w:rPr>
                <w:webHidden/>
              </w:rPr>
            </w:r>
            <w:r>
              <w:rPr>
                <w:webHidden/>
              </w:rPr>
              <w:fldChar w:fldCharType="separate"/>
            </w:r>
            <w:r>
              <w:rPr>
                <w:webHidden/>
              </w:rPr>
              <w:t>334</w:t>
            </w:r>
            <w:r>
              <w:rPr>
                <w:webHidden/>
              </w:rPr>
              <w:fldChar w:fldCharType="end"/>
            </w:r>
          </w:hyperlink>
        </w:p>
        <w:p w14:paraId="515FC7C0" w14:textId="3CB3B5EB" w:rsidR="003D46C7" w:rsidRDefault="003D46C7">
          <w:pPr>
            <w:pStyle w:val="TOC2"/>
            <w:rPr>
              <w:rFonts w:eastAsiaTheme="minorEastAsia"/>
              <w:lang w:val="en-US"/>
            </w:rPr>
          </w:pPr>
          <w:hyperlink w:anchor="_Toc241865189" w:history="1">
            <w:r w:rsidRPr="00722EA2">
              <w:rPr>
                <w:rStyle w:val="Hyperlink"/>
                <w:rFonts w:ascii="Times New Roman" w:hAnsi="Times New Roman" w:cs="Times New Roman"/>
              </w:rPr>
              <w:t>5.6. Ograničenja istraživanja</w:t>
            </w:r>
            <w:r>
              <w:rPr>
                <w:webHidden/>
              </w:rPr>
              <w:tab/>
            </w:r>
            <w:r>
              <w:rPr>
                <w:webHidden/>
              </w:rPr>
              <w:fldChar w:fldCharType="begin"/>
            </w:r>
            <w:r>
              <w:rPr>
                <w:webHidden/>
              </w:rPr>
              <w:instrText xml:space="preserve"> PAGEREF _Toc241865189 \h </w:instrText>
            </w:r>
            <w:r>
              <w:rPr>
                <w:webHidden/>
              </w:rPr>
            </w:r>
            <w:r>
              <w:rPr>
                <w:webHidden/>
              </w:rPr>
              <w:fldChar w:fldCharType="separate"/>
            </w:r>
            <w:r>
              <w:rPr>
                <w:webHidden/>
              </w:rPr>
              <w:t>335</w:t>
            </w:r>
            <w:r>
              <w:rPr>
                <w:webHidden/>
              </w:rPr>
              <w:fldChar w:fldCharType="end"/>
            </w:r>
          </w:hyperlink>
        </w:p>
        <w:p w14:paraId="627F02DD" w14:textId="15B865C2" w:rsidR="003D46C7" w:rsidRDefault="003D46C7">
          <w:pPr>
            <w:pStyle w:val="TOC1"/>
            <w:tabs>
              <w:tab w:val="left" w:pos="440"/>
              <w:tab w:val="right" w:leader="dot" w:pos="9350"/>
            </w:tabs>
            <w:rPr>
              <w:rFonts w:eastAsiaTheme="minorEastAsia"/>
              <w:noProof/>
              <w:lang w:val="en-US"/>
            </w:rPr>
          </w:pPr>
          <w:hyperlink w:anchor="_Toc241865190" w:history="1">
            <w:r w:rsidRPr="00722EA2">
              <w:rPr>
                <w:rStyle w:val="Hyperlink"/>
                <w:rFonts w:ascii="Times New Roman" w:hAnsi="Times New Roman" w:cs="Times New Roman"/>
                <w:noProof/>
              </w:rPr>
              <w:t>6.</w:t>
            </w:r>
            <w:r>
              <w:rPr>
                <w:rFonts w:eastAsiaTheme="minorEastAsia"/>
                <w:noProof/>
                <w:lang w:val="en-US"/>
              </w:rPr>
              <w:tab/>
            </w:r>
            <w:r w:rsidRPr="00722EA2">
              <w:rPr>
                <w:rStyle w:val="Hyperlink"/>
                <w:rFonts w:ascii="Times New Roman" w:hAnsi="Times New Roman" w:cs="Times New Roman"/>
                <w:noProof/>
              </w:rPr>
              <w:t>ZAKLJUČAK</w:t>
            </w:r>
            <w:r>
              <w:rPr>
                <w:noProof/>
                <w:webHidden/>
              </w:rPr>
              <w:tab/>
            </w:r>
            <w:r>
              <w:rPr>
                <w:noProof/>
                <w:webHidden/>
              </w:rPr>
              <w:fldChar w:fldCharType="begin"/>
            </w:r>
            <w:r>
              <w:rPr>
                <w:noProof/>
                <w:webHidden/>
              </w:rPr>
              <w:instrText xml:space="preserve"> PAGEREF _Toc241865190 \h </w:instrText>
            </w:r>
            <w:r>
              <w:rPr>
                <w:noProof/>
                <w:webHidden/>
              </w:rPr>
            </w:r>
            <w:r>
              <w:rPr>
                <w:noProof/>
                <w:webHidden/>
              </w:rPr>
              <w:fldChar w:fldCharType="separate"/>
            </w:r>
            <w:r>
              <w:rPr>
                <w:noProof/>
                <w:webHidden/>
              </w:rPr>
              <w:t>337</w:t>
            </w:r>
            <w:r>
              <w:rPr>
                <w:noProof/>
                <w:webHidden/>
              </w:rPr>
              <w:fldChar w:fldCharType="end"/>
            </w:r>
          </w:hyperlink>
        </w:p>
        <w:p w14:paraId="3D9DCAA0" w14:textId="165DE9A9" w:rsidR="003D46C7" w:rsidRDefault="003D46C7">
          <w:pPr>
            <w:pStyle w:val="TOC1"/>
            <w:tabs>
              <w:tab w:val="right" w:leader="dot" w:pos="9350"/>
            </w:tabs>
            <w:rPr>
              <w:rFonts w:eastAsiaTheme="minorEastAsia"/>
              <w:noProof/>
              <w:lang w:val="en-US"/>
            </w:rPr>
          </w:pPr>
          <w:hyperlink w:anchor="_Toc241865191" w:history="1">
            <w:r w:rsidRPr="00722EA2">
              <w:rPr>
                <w:rStyle w:val="Hyperlink"/>
                <w:rFonts w:ascii="Times New Roman" w:hAnsi="Times New Roman" w:cs="Times New Roman"/>
                <w:noProof/>
              </w:rPr>
              <w:t>POPIS LITERATURE</w:t>
            </w:r>
            <w:r>
              <w:rPr>
                <w:noProof/>
                <w:webHidden/>
              </w:rPr>
              <w:tab/>
            </w:r>
            <w:r>
              <w:rPr>
                <w:noProof/>
                <w:webHidden/>
              </w:rPr>
              <w:fldChar w:fldCharType="begin"/>
            </w:r>
            <w:r>
              <w:rPr>
                <w:noProof/>
                <w:webHidden/>
              </w:rPr>
              <w:instrText xml:space="preserve"> PAGEREF _Toc241865191 \h </w:instrText>
            </w:r>
            <w:r>
              <w:rPr>
                <w:noProof/>
                <w:webHidden/>
              </w:rPr>
            </w:r>
            <w:r>
              <w:rPr>
                <w:noProof/>
                <w:webHidden/>
              </w:rPr>
              <w:fldChar w:fldCharType="separate"/>
            </w:r>
            <w:r>
              <w:rPr>
                <w:noProof/>
                <w:webHidden/>
              </w:rPr>
              <w:t>343</w:t>
            </w:r>
            <w:r>
              <w:rPr>
                <w:noProof/>
                <w:webHidden/>
              </w:rPr>
              <w:fldChar w:fldCharType="end"/>
            </w:r>
          </w:hyperlink>
        </w:p>
        <w:p w14:paraId="69733D01" w14:textId="528054C4" w:rsidR="003D46C7" w:rsidRDefault="003D46C7">
          <w:pPr>
            <w:pStyle w:val="TOC1"/>
            <w:tabs>
              <w:tab w:val="right" w:leader="dot" w:pos="9350"/>
            </w:tabs>
            <w:rPr>
              <w:rFonts w:eastAsiaTheme="minorEastAsia"/>
              <w:noProof/>
              <w:lang w:val="en-US"/>
            </w:rPr>
          </w:pPr>
          <w:hyperlink w:anchor="_Toc241865192" w:history="1">
            <w:r w:rsidRPr="00722EA2">
              <w:rPr>
                <w:rStyle w:val="Hyperlink"/>
                <w:rFonts w:ascii="Times New Roman" w:hAnsi="Times New Roman" w:cs="Times New Roman"/>
                <w:noProof/>
              </w:rPr>
              <w:t>POPIS TABLICA</w:t>
            </w:r>
            <w:r>
              <w:rPr>
                <w:noProof/>
                <w:webHidden/>
              </w:rPr>
              <w:tab/>
            </w:r>
            <w:r>
              <w:rPr>
                <w:noProof/>
                <w:webHidden/>
              </w:rPr>
              <w:fldChar w:fldCharType="begin"/>
            </w:r>
            <w:r>
              <w:rPr>
                <w:noProof/>
                <w:webHidden/>
              </w:rPr>
              <w:instrText xml:space="preserve"> PAGEREF _Toc241865192 \h </w:instrText>
            </w:r>
            <w:r>
              <w:rPr>
                <w:noProof/>
                <w:webHidden/>
              </w:rPr>
            </w:r>
            <w:r>
              <w:rPr>
                <w:noProof/>
                <w:webHidden/>
              </w:rPr>
              <w:fldChar w:fldCharType="separate"/>
            </w:r>
            <w:r>
              <w:rPr>
                <w:noProof/>
                <w:webHidden/>
              </w:rPr>
              <w:t>372</w:t>
            </w:r>
            <w:r>
              <w:rPr>
                <w:noProof/>
                <w:webHidden/>
              </w:rPr>
              <w:fldChar w:fldCharType="end"/>
            </w:r>
          </w:hyperlink>
        </w:p>
        <w:p w14:paraId="04F84A40" w14:textId="6F9BB577" w:rsidR="003D46C7" w:rsidRDefault="003D46C7">
          <w:pPr>
            <w:pStyle w:val="TOC1"/>
            <w:tabs>
              <w:tab w:val="right" w:leader="dot" w:pos="9350"/>
            </w:tabs>
            <w:rPr>
              <w:rFonts w:eastAsiaTheme="minorEastAsia"/>
              <w:noProof/>
              <w:lang w:val="en-US"/>
            </w:rPr>
          </w:pPr>
          <w:hyperlink w:anchor="_Toc241865193" w:history="1">
            <w:r w:rsidRPr="00722EA2">
              <w:rPr>
                <w:rStyle w:val="Hyperlink"/>
                <w:rFonts w:ascii="Times New Roman" w:hAnsi="Times New Roman" w:cs="Times New Roman"/>
                <w:noProof/>
              </w:rPr>
              <w:t>POPIS PRIKAZA</w:t>
            </w:r>
            <w:r>
              <w:rPr>
                <w:noProof/>
                <w:webHidden/>
              </w:rPr>
              <w:tab/>
            </w:r>
            <w:r>
              <w:rPr>
                <w:noProof/>
                <w:webHidden/>
              </w:rPr>
              <w:fldChar w:fldCharType="begin"/>
            </w:r>
            <w:r>
              <w:rPr>
                <w:noProof/>
                <w:webHidden/>
              </w:rPr>
              <w:instrText xml:space="preserve"> PAGEREF _Toc241865193 \h </w:instrText>
            </w:r>
            <w:r>
              <w:rPr>
                <w:noProof/>
                <w:webHidden/>
              </w:rPr>
            </w:r>
            <w:r>
              <w:rPr>
                <w:noProof/>
                <w:webHidden/>
              </w:rPr>
              <w:fldChar w:fldCharType="separate"/>
            </w:r>
            <w:r>
              <w:rPr>
                <w:noProof/>
                <w:webHidden/>
              </w:rPr>
              <w:t>375</w:t>
            </w:r>
            <w:r>
              <w:rPr>
                <w:noProof/>
                <w:webHidden/>
              </w:rPr>
              <w:fldChar w:fldCharType="end"/>
            </w:r>
          </w:hyperlink>
        </w:p>
        <w:p w14:paraId="44452888" w14:textId="4FAE8CF2" w:rsidR="003D46C7" w:rsidRDefault="003D46C7">
          <w:pPr>
            <w:pStyle w:val="TOC1"/>
            <w:tabs>
              <w:tab w:val="right" w:leader="dot" w:pos="9350"/>
            </w:tabs>
            <w:rPr>
              <w:rFonts w:eastAsiaTheme="minorEastAsia"/>
              <w:noProof/>
              <w:lang w:val="en-US"/>
            </w:rPr>
          </w:pPr>
          <w:hyperlink w:anchor="_Toc241865194" w:history="1">
            <w:r w:rsidRPr="00722EA2">
              <w:rPr>
                <w:rStyle w:val="Hyperlink"/>
                <w:rFonts w:ascii="Times New Roman" w:hAnsi="Times New Roman" w:cs="Times New Roman"/>
                <w:noProof/>
              </w:rPr>
              <w:t>PRILOZI</w:t>
            </w:r>
            <w:r>
              <w:rPr>
                <w:noProof/>
                <w:webHidden/>
              </w:rPr>
              <w:tab/>
            </w:r>
            <w:r>
              <w:rPr>
                <w:noProof/>
                <w:webHidden/>
              </w:rPr>
              <w:fldChar w:fldCharType="begin"/>
            </w:r>
            <w:r>
              <w:rPr>
                <w:noProof/>
                <w:webHidden/>
              </w:rPr>
              <w:instrText xml:space="preserve"> PAGEREF _Toc241865194 \h </w:instrText>
            </w:r>
            <w:r>
              <w:rPr>
                <w:noProof/>
                <w:webHidden/>
              </w:rPr>
            </w:r>
            <w:r>
              <w:rPr>
                <w:noProof/>
                <w:webHidden/>
              </w:rPr>
              <w:fldChar w:fldCharType="separate"/>
            </w:r>
            <w:r>
              <w:rPr>
                <w:noProof/>
                <w:webHidden/>
              </w:rPr>
              <w:t>376</w:t>
            </w:r>
            <w:r>
              <w:rPr>
                <w:noProof/>
                <w:webHidden/>
              </w:rPr>
              <w:fldChar w:fldCharType="end"/>
            </w:r>
          </w:hyperlink>
        </w:p>
        <w:p w14:paraId="2DE392CC" w14:textId="49B2C96F" w:rsidR="009507CA" w:rsidRPr="00BE5472" w:rsidRDefault="009A059E">
          <w:pPr>
            <w:rPr>
              <w:rFonts w:ascii="Times New Roman" w:hAnsi="Times New Roman" w:cs="Times New Roman"/>
              <w:b/>
              <w:bCs/>
            </w:rPr>
          </w:pPr>
          <w:r w:rsidRPr="00BE5472">
            <w:rPr>
              <w:rFonts w:ascii="Times New Roman" w:hAnsi="Times New Roman" w:cs="Times New Roman"/>
              <w:b/>
              <w:bCs/>
            </w:rPr>
            <w:fldChar w:fldCharType="end"/>
          </w:r>
        </w:p>
      </w:sdtContent>
    </w:sdt>
    <w:p w14:paraId="63249640" w14:textId="77777777" w:rsidR="00C63E06" w:rsidRPr="00BE5472" w:rsidRDefault="00C63E06" w:rsidP="00C63E06">
      <w:pPr>
        <w:rPr>
          <w:rFonts w:ascii="Times New Roman" w:hAnsi="Times New Roman" w:cs="Times New Roman"/>
        </w:rPr>
      </w:pPr>
    </w:p>
    <w:p w14:paraId="0D46C214" w14:textId="77777777" w:rsidR="00C63E06" w:rsidRPr="00BE5472" w:rsidRDefault="00C63E06" w:rsidP="00C63E06">
      <w:pPr>
        <w:rPr>
          <w:rFonts w:ascii="Times New Roman" w:hAnsi="Times New Roman" w:cs="Times New Roman"/>
        </w:rPr>
      </w:pPr>
    </w:p>
    <w:p w14:paraId="2F6F9FE6" w14:textId="77777777" w:rsidR="00C63E06" w:rsidRPr="00BE5472" w:rsidRDefault="00C63E06" w:rsidP="00C63E06">
      <w:pPr>
        <w:rPr>
          <w:rFonts w:ascii="Times New Roman" w:hAnsi="Times New Roman" w:cs="Times New Roman"/>
        </w:rPr>
      </w:pPr>
    </w:p>
    <w:p w14:paraId="480047E2" w14:textId="77777777" w:rsidR="00C63E06" w:rsidRPr="00BE5472" w:rsidRDefault="00C63E06" w:rsidP="00C63E06">
      <w:pPr>
        <w:rPr>
          <w:rFonts w:ascii="Times New Roman" w:hAnsi="Times New Roman" w:cs="Times New Roman"/>
        </w:rPr>
      </w:pPr>
    </w:p>
    <w:p w14:paraId="1F43F13E" w14:textId="77777777" w:rsidR="00C63E06" w:rsidRPr="00BE5472" w:rsidRDefault="00C63E06" w:rsidP="00C63E06">
      <w:pPr>
        <w:rPr>
          <w:rFonts w:ascii="Times New Roman" w:hAnsi="Times New Roman" w:cs="Times New Roman"/>
        </w:rPr>
      </w:pPr>
    </w:p>
    <w:p w14:paraId="3DBDA5BC" w14:textId="77777777" w:rsidR="00C63E06" w:rsidRPr="00BE5472" w:rsidRDefault="00C63E06" w:rsidP="00C63E06">
      <w:pPr>
        <w:rPr>
          <w:rFonts w:ascii="Times New Roman" w:hAnsi="Times New Roman" w:cs="Times New Roman"/>
        </w:rPr>
      </w:pPr>
    </w:p>
    <w:p w14:paraId="2971F5EC" w14:textId="77777777" w:rsidR="00C63E06" w:rsidRPr="00BE5472" w:rsidRDefault="00C63E06" w:rsidP="00C63E06">
      <w:pPr>
        <w:rPr>
          <w:rFonts w:ascii="Times New Roman" w:hAnsi="Times New Roman" w:cs="Times New Roman"/>
        </w:rPr>
      </w:pPr>
    </w:p>
    <w:p w14:paraId="165168F2" w14:textId="79107AE1" w:rsidR="006463E5" w:rsidRDefault="006463E5">
      <w:pPr>
        <w:rPr>
          <w:rFonts w:ascii="Times New Roman" w:hAnsi="Times New Roman" w:cs="Times New Roman"/>
        </w:rPr>
      </w:pPr>
      <w:r>
        <w:rPr>
          <w:rFonts w:ascii="Times New Roman" w:hAnsi="Times New Roman" w:cs="Times New Roman"/>
        </w:rPr>
        <w:br w:type="page"/>
      </w:r>
    </w:p>
    <w:p w14:paraId="7FBA5FEF" w14:textId="24CE9CE8" w:rsidR="006463E5" w:rsidRPr="006463E5" w:rsidRDefault="006463E5" w:rsidP="006463E5">
      <w:pPr>
        <w:pStyle w:val="Heading1"/>
        <w:rPr>
          <w:rFonts w:ascii="Times New Roman" w:hAnsi="Times New Roman" w:cs="Times New Roman"/>
        </w:rPr>
      </w:pPr>
      <w:bookmarkStart w:id="1" w:name="_Toc241865120"/>
      <w:r w:rsidRPr="006463E5">
        <w:rPr>
          <w:rFonts w:ascii="Times New Roman" w:hAnsi="Times New Roman" w:cs="Times New Roman"/>
        </w:rPr>
        <w:lastRenderedPageBreak/>
        <w:t>SAŽETAK</w:t>
      </w:r>
      <w:bookmarkEnd w:id="1"/>
    </w:p>
    <w:p w14:paraId="2566464D" w14:textId="77777777" w:rsidR="006463E5" w:rsidRPr="006463E5" w:rsidRDefault="006463E5" w:rsidP="006463E5"/>
    <w:p w14:paraId="2BFF5E4B" w14:textId="77777777" w:rsidR="006463E5" w:rsidRPr="00BE5472" w:rsidRDefault="006463E5" w:rsidP="006463E5">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Cilj ovog istraživanja bio je analizirati procese spajanja i preuzimanja u hotelskom sektoru na primjeru RH, s posebnim naglaskom na identifikaciju ključnih čimbenika uspješnosti u različitim fazama procesa te njihova utjecaja na stvaranje nove vrijednosti i poslovnu uspješnost. Polazeći od pretpostavke da se uspješnost spajanja i preuzimanja ne može promatrati kroz pojedinačne pokazatelje, već kao rezultat međusobno povezanih faza i aktivnosti kroz vrijeme, razvijen je integrirani, procesno utemeljen pristup analizi.</w:t>
      </w:r>
    </w:p>
    <w:p w14:paraId="7ED1307E" w14:textId="77777777" w:rsidR="006463E5" w:rsidRPr="00BE5472" w:rsidRDefault="006463E5" w:rsidP="006463E5">
      <w:pPr>
        <w:spacing w:after="0" w:line="360" w:lineRule="auto"/>
        <w:jc w:val="both"/>
        <w:rPr>
          <w:rFonts w:ascii="Times New Roman" w:hAnsi="Times New Roman" w:cs="Times New Roman"/>
          <w:sz w:val="24"/>
          <w:szCs w:val="24"/>
        </w:rPr>
      </w:pPr>
    </w:p>
    <w:p w14:paraId="3A3E5C64" w14:textId="77777777" w:rsidR="006463E5" w:rsidRPr="00BE5472" w:rsidRDefault="006463E5" w:rsidP="006463E5">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Istraživanje je provedeno primjenom kombinacije kvantitativnih i kvalitativnih metoda. Kvantitativni dio obuhvatio je analizu financijskih i tržišnih pokazatelja (KPI) poduzeća prije i nakon provedenih preuzimanja te usporedbu s poduzećima koja nisu sudjelovala u takvim procesima. Kvalitativni dio temelji se na tematskoj analizi i interpretaciji iskustava i percepcija menadžera uključenih u procese spajanja i preuzimanja. Time je omogućeno cjelovito sagledavanje fenomena kroz integraciju različitih izvora podataka.</w:t>
      </w:r>
    </w:p>
    <w:p w14:paraId="056B43AB" w14:textId="77777777" w:rsidR="006463E5" w:rsidRPr="00BE5472" w:rsidRDefault="006463E5" w:rsidP="006463E5">
      <w:pPr>
        <w:spacing w:after="0" w:line="360" w:lineRule="auto"/>
        <w:jc w:val="both"/>
        <w:rPr>
          <w:rFonts w:ascii="Times New Roman" w:hAnsi="Times New Roman" w:cs="Times New Roman"/>
          <w:sz w:val="24"/>
          <w:szCs w:val="24"/>
        </w:rPr>
      </w:pPr>
    </w:p>
    <w:p w14:paraId="7F0FBAB4" w14:textId="77777777" w:rsidR="006463E5" w:rsidRPr="00BE5472" w:rsidRDefault="006463E5" w:rsidP="006463E5">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istraživanja ukazuju na to da se učinci spajanja i preuzimanja u hotelijerstvu ne manifestiraju kroz trenutačno poboljšanje financijske uspješnosti. Za većinu analiziranih pokazatelja nisu utvrđene statistički značajne razlike između razdoblja prije i nakon preuzimanja, što upućuje na izraženu vremensku dinamiku i odgođeni karakter učinaka. Istovremeno su identificirani parcijalni pozitivni pomaci, poput rasta bruto profitne marže i povećanja tržišne vrijednosti poduzeća, koji upućuju na inicijalnu realizaciju sinergijskih učinaka. S druge strane, zabilježeni su i kratkoročni negativni učinci, poput smanjenja likvidnosti i pada dobiti po dionici, što dodatno potvrđuje kompleksnost procesa.</w:t>
      </w:r>
    </w:p>
    <w:p w14:paraId="197A8574" w14:textId="77777777" w:rsidR="006463E5" w:rsidRPr="00BE5472" w:rsidRDefault="006463E5" w:rsidP="006463E5">
      <w:pPr>
        <w:spacing w:after="0" w:line="360" w:lineRule="auto"/>
        <w:jc w:val="both"/>
        <w:rPr>
          <w:rFonts w:ascii="Times New Roman" w:hAnsi="Times New Roman" w:cs="Times New Roman"/>
          <w:sz w:val="24"/>
          <w:szCs w:val="24"/>
        </w:rPr>
      </w:pPr>
    </w:p>
    <w:p w14:paraId="0C5E6293" w14:textId="77777777" w:rsidR="006463E5" w:rsidRPr="00BE5472" w:rsidRDefault="006463E5" w:rsidP="006463E5">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Kvalitativni nalazi dodatno naglašavaju važnost faze integracije kao ključnog segmenta u kojem se stvaraju preduvjeti za ostvarenje sinergija. Uspješnost procesa u velikoj mjeri ovisi o upravljanju organizacijskim promjenama, kompatibilnosti organizacijske kulture te sposobnosti zadržavanja i razvoja ljudskih resursa. Istraživanje također pokazuje da su spajanja i preuzimanja u hotelijerstvu dominantno usmjerena na horizontalno širenje poslovanja, uz snažnu povezanost s lokacijskim i destinacijskim čimbenicima.</w:t>
      </w:r>
    </w:p>
    <w:p w14:paraId="1BF8540E" w14:textId="77777777" w:rsidR="006463E5" w:rsidRPr="00BE5472" w:rsidRDefault="006463E5" w:rsidP="006463E5">
      <w:pPr>
        <w:spacing w:after="0" w:line="360" w:lineRule="auto"/>
        <w:jc w:val="both"/>
        <w:rPr>
          <w:rFonts w:ascii="Times New Roman" w:hAnsi="Times New Roman" w:cs="Times New Roman"/>
          <w:sz w:val="24"/>
          <w:szCs w:val="24"/>
        </w:rPr>
      </w:pPr>
    </w:p>
    <w:p w14:paraId="20BD6ED6" w14:textId="77777777" w:rsidR="006463E5" w:rsidRPr="00BE5472" w:rsidRDefault="006463E5" w:rsidP="006463E5">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Znanstveni doprinos istraživanja ogleda se u razvoju integriranog, procesno utemeljenog modela spajanja i preuzimanja u hotelijerstvu, koji povezuje motive, čimbenike uspješnosti i ishode kroz vremensku dimenziju. Time se nadilazi dominantni pristup u literaturi koji uspješnost promatra primarno kroz kratkoročne financijske pokazatelje. S praktičnog aspekta, rezultati istraživanja pružaju smjernice menadžerima za učinkovitije upravljanje pojedinim fazama procesa, s posebnim naglaskom na integraciju kao ključni izvor stvaranja vrijednosti.</w:t>
      </w:r>
    </w:p>
    <w:p w14:paraId="1E51C1BD" w14:textId="77777777" w:rsidR="006463E5" w:rsidRPr="00BE5472" w:rsidRDefault="006463E5" w:rsidP="006463E5">
      <w:pPr>
        <w:spacing w:line="360" w:lineRule="auto"/>
        <w:jc w:val="both"/>
        <w:rPr>
          <w:rFonts w:ascii="Times New Roman" w:hAnsi="Times New Roman" w:cs="Times New Roman"/>
          <w:sz w:val="24"/>
          <w:szCs w:val="24"/>
        </w:rPr>
      </w:pPr>
    </w:p>
    <w:p w14:paraId="418239C4" w14:textId="77777777" w:rsidR="006463E5" w:rsidRPr="00BE5472" w:rsidRDefault="006463E5" w:rsidP="006463E5">
      <w:pPr>
        <w:spacing w:line="360" w:lineRule="auto"/>
        <w:jc w:val="both"/>
        <w:rPr>
          <w:rFonts w:ascii="Times New Roman" w:hAnsi="Times New Roman" w:cs="Times New Roman"/>
          <w:sz w:val="24"/>
          <w:szCs w:val="24"/>
        </w:rPr>
      </w:pPr>
      <w:r w:rsidRPr="00BE5472">
        <w:rPr>
          <w:rFonts w:ascii="Times New Roman" w:hAnsi="Times New Roman" w:cs="Times New Roman"/>
          <w:b/>
          <w:sz w:val="24"/>
          <w:szCs w:val="24"/>
        </w:rPr>
        <w:t>Ključne riječi</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spajanja i preuzimanja; hotelijerstvo; sinergija; integracija; financijska uspješnost; Republika Hrvatska</w:t>
      </w:r>
    </w:p>
    <w:p w14:paraId="3BEEE055" w14:textId="77777777" w:rsidR="006463E5" w:rsidRPr="00BE5472" w:rsidRDefault="006463E5" w:rsidP="006463E5">
      <w:pPr>
        <w:pStyle w:val="Heading1"/>
      </w:pPr>
    </w:p>
    <w:p w14:paraId="5620E555" w14:textId="6F300379" w:rsidR="006463E5" w:rsidRDefault="006463E5" w:rsidP="006463E5">
      <w:pPr>
        <w:pStyle w:val="Heading1"/>
        <w:rPr>
          <w:rFonts w:ascii="Times New Roman" w:hAnsi="Times New Roman" w:cs="Times New Roman"/>
        </w:rPr>
      </w:pPr>
      <w:bookmarkStart w:id="2" w:name="_Toc241865121"/>
      <w:r w:rsidRPr="006463E5">
        <w:rPr>
          <w:rFonts w:ascii="Times New Roman" w:hAnsi="Times New Roman" w:cs="Times New Roman"/>
        </w:rPr>
        <w:t>EXTENDED ABSTRACT</w:t>
      </w:r>
      <w:bookmarkEnd w:id="2"/>
      <w:r w:rsidRPr="006463E5">
        <w:rPr>
          <w:rFonts w:ascii="Times New Roman" w:hAnsi="Times New Roman" w:cs="Times New Roman"/>
        </w:rPr>
        <w:t xml:space="preserve"> </w:t>
      </w:r>
    </w:p>
    <w:p w14:paraId="20022D66" w14:textId="77777777" w:rsidR="006463E5" w:rsidRPr="006463E5" w:rsidRDefault="006463E5" w:rsidP="006463E5"/>
    <w:p w14:paraId="470AE085"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This doctoral research investigates mergers and acquisitions (M&amp;A) in the hotel sector, with a specific focus on identifying critical success factors across different phases of the M&amp;A process and assessing their impact on value creation and business performance in the context of the Republic of Croatia. The study addresses a key gap in the existing literature, which predominantly evaluates M&amp;A success through short-term financial outcomes, by proposing and empirically validating a process-based perspective that captures the temporal and organizational complexity of these transactions.</w:t>
      </w:r>
    </w:p>
    <w:p w14:paraId="075424B6"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The central premise of the research is that M&amp;A success in hospitality cannot be understood as an immediate financial outcome, but rather as a dynamic process in which different determinants of success emerge and interact across the pre-acquisition, integration, and post-acquisition phases. To test this premise, the study adopts a mixed-method approach. The quantitative component is based on the analysis of financial and market performance indicators (EBITDA, ROA, ROE, net profit margin, liquidity, earnings per share, and market value) before and after acquisitions, as well as a comparison between firms that engaged in M&amp;A and those that did not. The qualitative component complements these findings through thematic analysis, providing insights into </w:t>
      </w:r>
      <w:r w:rsidRPr="00BE5472">
        <w:rPr>
          <w:rFonts w:ascii="Times New Roman" w:hAnsi="Times New Roman" w:cs="Times New Roman"/>
          <w:sz w:val="24"/>
          <w:szCs w:val="24"/>
          <w:lang w:val="en-US"/>
        </w:rPr>
        <w:lastRenderedPageBreak/>
        <w:t>managerial perceptions of critical success factors, organizational challenges, and integration practices.</w:t>
      </w:r>
    </w:p>
    <w:p w14:paraId="42111E27"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The results provide clear empirical evidence that M&amp;A in the hotel sector does not lead to immediate improvements in financial performance. No statistically significant differences were identified for most performance indicators in the post-acquisition period, indicating that short-term financial metrics are insufficient for assessing M&amp;A success. However, the analysis reveals differentiated and phase-dependent effects. Specifically, an increase in gross profit margins suggests the early realization of operational synergies, while growth in market value reflects positive investor expectations and perceived future potential. Conversely, a decline in liquidity and earnings per share highlights the short-term financial pressures associated with integration costs and investment cycles.</w:t>
      </w:r>
    </w:p>
    <w:p w14:paraId="25BE9550"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A key finding of the research is that value creation in hotel M&amp;A is inherently process-driven and temporally distributed. The pre-acquisition phase is dominated by “hard” factors such as location quality, market position, and expected synergies, which shape the strategic rationale for the transaction. However, the integration phase emerges as the decisive stage for long-term success. The findings demonstrate that the realization of synergies is contingent upon effective management of organizational change, alignment of corporate cultures, retention of key personnel, and successful knowledge transfer. In this sense, the study confirms that synergies are not embedded in the transaction itself, but are actively constructed through post-acquisition integration.</w:t>
      </w:r>
    </w:p>
    <w:p w14:paraId="1B72DB0F"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The research further shows that M&amp;A activities in the Croatian hotel sector are predominantly characterized by horizontal acquisitions aimed at capacity expansion, market consolidation, and strengthening competitive positioning within specific destinations. These processes are strongly influenced by location-based and destination-specific factors, underscoring the importance of spatial context in hospitality investments. Importantly, the findings indicate that firms engaging in M&amp;A do not systematically outperform those that do not, which challenges simplified assumptions about the inherent benefits of acquisition strategies and reinforces the importance of process quality over strategic choice alone.</w:t>
      </w:r>
    </w:p>
    <w:p w14:paraId="204A7C62"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The theoretical contribution of this research lies in the development of an integrated, process-oriented model of M&amp;A in the hotel industry, which explicitly links motives, critical success </w:t>
      </w:r>
      <w:r w:rsidRPr="00BE5472">
        <w:rPr>
          <w:rFonts w:ascii="Times New Roman" w:hAnsi="Times New Roman" w:cs="Times New Roman"/>
          <w:sz w:val="24"/>
          <w:szCs w:val="24"/>
          <w:lang w:val="en-US"/>
        </w:rPr>
        <w:lastRenderedPageBreak/>
        <w:t>factors, and performance outcomes across different phases of the process. By moving beyond static and financially driven evaluation frameworks, the study advances a more nuanced understanding of value creation as a multi-dimensional and time-dependent phenomenon.</w:t>
      </w:r>
    </w:p>
    <w:p w14:paraId="64927C56"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From a managerial perspective, the findings provide concrete implications for improving M&amp;A outcomes. They highlight the need to shift focus from acquisition decision-making toward systematic management of integration processes, particularly in relation to organizational and human resource dimensions. Furthermore, the study emphasizes the importance of aligning managerial expectations with the temporal dynamics of value realization and avoiding overreliance on short-term financial indicators as measures of success.</w:t>
      </w:r>
    </w:p>
    <w:p w14:paraId="62B8ED0C" w14:textId="77777777" w:rsidR="006463E5" w:rsidRPr="00BE5472" w:rsidRDefault="006463E5" w:rsidP="006463E5">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This research offers a comprehensive and empirically grounded framework for understanding M&amp;A in the hotel sector, with specific relevance to emerging and transition economies such as Croatia. It contributes to both academic literature and managerial practice by demonstrating that the success of M&amp;A is not determined by the transaction itself, but by the ability to manage its processual complexity over time. The findings also provide a foundation for future research, particularly in the areas of longitudinal analysis and cross-context comparison of M&amp;A performance.</w:t>
      </w:r>
    </w:p>
    <w:p w14:paraId="6B6ABE39" w14:textId="77777777" w:rsidR="006463E5" w:rsidRPr="00BE5472" w:rsidRDefault="006463E5" w:rsidP="006463E5">
      <w:pPr>
        <w:spacing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Keywords: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mergers and acquisitions; hotel industry; integration; synergy; financial performance; Croatia</w:t>
      </w:r>
    </w:p>
    <w:p w14:paraId="4A596196" w14:textId="77777777" w:rsidR="00C63E06" w:rsidRPr="00BE5472" w:rsidRDefault="00C63E06" w:rsidP="00C63E06">
      <w:pPr>
        <w:rPr>
          <w:rFonts w:ascii="Times New Roman" w:hAnsi="Times New Roman" w:cs="Times New Roman"/>
          <w:b/>
          <w:bCs/>
        </w:rPr>
      </w:pPr>
    </w:p>
    <w:p w14:paraId="72C0C992" w14:textId="77777777" w:rsidR="00C63E06" w:rsidRPr="00BE5472" w:rsidRDefault="00C63E06" w:rsidP="00C63E06">
      <w:pPr>
        <w:rPr>
          <w:rFonts w:ascii="Times New Roman" w:hAnsi="Times New Roman" w:cs="Times New Roman"/>
        </w:rPr>
      </w:pPr>
    </w:p>
    <w:p w14:paraId="09E4EB27" w14:textId="601FFECE" w:rsidR="00C63E06" w:rsidRPr="00BE5472" w:rsidRDefault="00C63E06" w:rsidP="00C63E06">
      <w:pPr>
        <w:rPr>
          <w:rFonts w:ascii="Times New Roman" w:hAnsi="Times New Roman" w:cs="Times New Roman"/>
        </w:rPr>
        <w:sectPr w:rsidR="00C63E06" w:rsidRPr="00BE5472" w:rsidSect="00754DBC">
          <w:footerReference w:type="first" r:id="rId17"/>
          <w:pgSz w:w="12240" w:h="15840"/>
          <w:pgMar w:top="1440" w:right="1440" w:bottom="1440" w:left="1440" w:header="708" w:footer="708" w:gutter="0"/>
          <w:pgNumType w:fmt="upperRoman" w:start="1"/>
          <w:cols w:space="708"/>
          <w:titlePg/>
          <w:docGrid w:linePitch="360"/>
        </w:sectPr>
      </w:pPr>
    </w:p>
    <w:p w14:paraId="091CFCF2" w14:textId="24AD4CDB" w:rsidR="00B6668D" w:rsidRPr="00D204E9" w:rsidRDefault="00B6668D" w:rsidP="003D13C0">
      <w:pPr>
        <w:pStyle w:val="Heading1"/>
        <w:rPr>
          <w:rFonts w:ascii="Times New Roman" w:hAnsi="Times New Roman" w:cs="Times New Roman"/>
        </w:rPr>
      </w:pPr>
      <w:bookmarkStart w:id="3" w:name="_Toc210381395"/>
      <w:bookmarkStart w:id="4" w:name="_Toc241865122"/>
      <w:r w:rsidRPr="00D204E9">
        <w:rPr>
          <w:rFonts w:ascii="Times New Roman" w:hAnsi="Times New Roman" w:cs="Times New Roman"/>
        </w:rPr>
        <w:lastRenderedPageBreak/>
        <w:t>1. UVOD</w:t>
      </w:r>
      <w:bookmarkEnd w:id="3"/>
      <w:bookmarkEnd w:id="4"/>
    </w:p>
    <w:p w14:paraId="276A3797" w14:textId="30E36104" w:rsidR="00D02328" w:rsidRPr="00D204E9" w:rsidRDefault="00D02328" w:rsidP="00D02328">
      <w:pPr>
        <w:rPr>
          <w:rFonts w:ascii="Times New Roman" w:hAnsi="Times New Roman" w:cs="Times New Roman"/>
        </w:rPr>
      </w:pPr>
    </w:p>
    <w:p w14:paraId="1E0DA308" w14:textId="2B4BB502" w:rsidR="00D02328" w:rsidRPr="00BE5472" w:rsidRDefault="00D02328" w:rsidP="00D02328">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Ovo poglavlje uvodi u problematiku istraživanja procesa spajanja i preuzimanja u hotelijerstvu, polazeći od šireg konteksta razvojnih strategija poduzeća i specifičnosti suvremene hotelske industrije. S obzirom na rastuću važnost konsolidacijskih procesa na globalnoj i nacionalnoj razini, nužno je jasno definirati istraživački problem, svrhu i ciljeve rada te teo</w:t>
      </w:r>
      <w:r w:rsidR="00A66D5C" w:rsidRPr="00BE5472">
        <w:rPr>
          <w:rFonts w:ascii="Times New Roman" w:hAnsi="Times New Roman" w:cs="Times New Roman"/>
          <w:sz w:val="24"/>
          <w:szCs w:val="24"/>
        </w:rPr>
        <w:t>rijski i empirijski okvir u kojem</w:t>
      </w:r>
      <w:r w:rsidRPr="00BE5472">
        <w:rPr>
          <w:rFonts w:ascii="Times New Roman" w:hAnsi="Times New Roman" w:cs="Times New Roman"/>
          <w:sz w:val="24"/>
          <w:szCs w:val="24"/>
        </w:rPr>
        <w:t xml:space="preserve"> se </w:t>
      </w:r>
      <w:r w:rsidR="00A66D5C" w:rsidRPr="00BE5472">
        <w:rPr>
          <w:rFonts w:ascii="Times New Roman" w:hAnsi="Times New Roman" w:cs="Times New Roman"/>
          <w:sz w:val="24"/>
          <w:szCs w:val="24"/>
        </w:rPr>
        <w:t xml:space="preserve">razmatra </w:t>
      </w:r>
      <w:r w:rsidRPr="00BE5472">
        <w:rPr>
          <w:rFonts w:ascii="Times New Roman" w:hAnsi="Times New Roman" w:cs="Times New Roman"/>
          <w:sz w:val="24"/>
          <w:szCs w:val="24"/>
        </w:rPr>
        <w:t>predmet istraživanja. U  nastavku se najprije pojašnjavaju temeljni pojmovi i kontekst istraživanja.</w:t>
      </w:r>
    </w:p>
    <w:p w14:paraId="52838A9E" w14:textId="77777777" w:rsidR="00D02328" w:rsidRPr="00BE5472" w:rsidRDefault="00D02328" w:rsidP="00D02328">
      <w:pPr>
        <w:spacing w:after="0" w:line="360" w:lineRule="auto"/>
        <w:jc w:val="both"/>
        <w:rPr>
          <w:rFonts w:ascii="Times New Roman" w:hAnsi="Times New Roman" w:cs="Times New Roman"/>
          <w:sz w:val="24"/>
          <w:szCs w:val="24"/>
        </w:rPr>
      </w:pPr>
    </w:p>
    <w:p w14:paraId="38208C28" w14:textId="442C87CE" w:rsidR="00B6668D" w:rsidRPr="00BE5472" w:rsidRDefault="00B6668D" w:rsidP="003D13C0">
      <w:pPr>
        <w:pStyle w:val="Heading2"/>
        <w:rPr>
          <w:rFonts w:ascii="Times New Roman" w:hAnsi="Times New Roman" w:cs="Times New Roman"/>
        </w:rPr>
      </w:pPr>
      <w:bookmarkStart w:id="5" w:name="_Toc210381396"/>
      <w:bookmarkStart w:id="6" w:name="_Toc241865123"/>
      <w:r w:rsidRPr="00BE5472">
        <w:rPr>
          <w:rFonts w:ascii="Times New Roman" w:hAnsi="Times New Roman" w:cs="Times New Roman"/>
        </w:rPr>
        <w:t>1.1. Definiranje problema</w:t>
      </w:r>
      <w:r w:rsidR="000F6004" w:rsidRPr="00BE5472">
        <w:rPr>
          <w:rFonts w:ascii="Times New Roman" w:hAnsi="Times New Roman" w:cs="Times New Roman"/>
        </w:rPr>
        <w:t xml:space="preserve"> i ciljeva</w:t>
      </w:r>
      <w:r w:rsidRPr="00BE5472">
        <w:rPr>
          <w:rFonts w:ascii="Times New Roman" w:hAnsi="Times New Roman" w:cs="Times New Roman"/>
        </w:rPr>
        <w:t xml:space="preserve"> istraživanja</w:t>
      </w:r>
      <w:bookmarkEnd w:id="5"/>
      <w:bookmarkEnd w:id="6"/>
    </w:p>
    <w:p w14:paraId="5E29C198" w14:textId="77777777" w:rsidR="003D13C0" w:rsidRPr="00BE5472" w:rsidRDefault="003D13C0" w:rsidP="003D13C0">
      <w:pPr>
        <w:rPr>
          <w:rFonts w:ascii="Times New Roman" w:hAnsi="Times New Roman" w:cs="Times New Roman"/>
        </w:rPr>
      </w:pPr>
    </w:p>
    <w:p w14:paraId="53ADB5DE" w14:textId="754E5D9C"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ostvarivanju organizacijskih ciljeva i povećanju uspješnosti poslovanja poduzećima na raspolaganju stoje različite razvojne strategije  usmjerene na razvoj poslovnog sustava. Pri odabiru konkretne strategije poduzeća se često odlučuju za strategiju rasta (internog ili eksternog), a u načinu provedbe za procese spajanja (engl. </w:t>
      </w:r>
      <w:r w:rsidRPr="00BE5472">
        <w:rPr>
          <w:rFonts w:ascii="Times New Roman" w:hAnsi="Times New Roman" w:cs="Times New Roman"/>
          <w:i/>
          <w:sz w:val="24"/>
          <w:szCs w:val="24"/>
        </w:rPr>
        <w:t>merger</w:t>
      </w:r>
      <w:r w:rsidRPr="00BE5472">
        <w:rPr>
          <w:rFonts w:ascii="Times New Roman" w:hAnsi="Times New Roman" w:cs="Times New Roman"/>
          <w:sz w:val="24"/>
          <w:szCs w:val="24"/>
        </w:rPr>
        <w:t xml:space="preserve">) i preuzimanja (engl. </w:t>
      </w:r>
      <w:r w:rsidRPr="00BE5472">
        <w:rPr>
          <w:rFonts w:ascii="Times New Roman" w:hAnsi="Times New Roman" w:cs="Times New Roman"/>
          <w:i/>
          <w:sz w:val="24"/>
          <w:szCs w:val="24"/>
        </w:rPr>
        <w:t>acquisition</w:t>
      </w:r>
      <w:r w:rsidRPr="00BE5472">
        <w:rPr>
          <w:rFonts w:ascii="Times New Roman" w:hAnsi="Times New Roman" w:cs="Times New Roman"/>
          <w:sz w:val="24"/>
          <w:szCs w:val="24"/>
        </w:rPr>
        <w:t xml:space="preserve">). Spajanje (ili fuzija) je proces spajanja dva ili više poduzeća u jedno novo, čime nastaje jedan novi pravni subjekt umjesto ranija dva ili više njih. Najčešće se obavljaju na prijateljskoj osnovi. Nasuprot njima postoje i procesi preuzimanja (ili akvizicije) tj. pripajanje, stjecanje, odnosno kupnja nekog poduzeća od strane drugog poduzeća, pri čemu se jedno ili više poduzeća pripajaju drugom poduzeću – roditeljskom poduzeću (Bahtijarević-Šiber, Sikavica  2001). Spajanja i preuzimanja (domaća ili međunarodna) </w:t>
      </w:r>
      <w:r w:rsidR="006A2B0A" w:rsidRPr="00BE5472">
        <w:rPr>
          <w:rFonts w:ascii="Times New Roman" w:hAnsi="Times New Roman" w:cs="Times New Roman"/>
          <w:sz w:val="24"/>
          <w:szCs w:val="24"/>
        </w:rPr>
        <w:t xml:space="preserve">pojmovi </w:t>
      </w:r>
      <w:r w:rsidRPr="00BE5472">
        <w:rPr>
          <w:rFonts w:ascii="Times New Roman" w:hAnsi="Times New Roman" w:cs="Times New Roman"/>
          <w:sz w:val="24"/>
          <w:szCs w:val="24"/>
        </w:rPr>
        <w:t xml:space="preserve">su koji se vrlo često koriste ili kao sinonimi (ili se među njima ne pravi razlika), ali oni zapravo ipak u suštini označavaju dva različita procesa.  Preuzimanje (ili akvizicija) je  proces stjecanja drugog poduzeća ili pak većeg udjela u vlasništvu drugog poduzeća kupnjom imovine ili vlasničkog udjela. Tako akviziter (poduzeće preuzimatelja) kupuje dionice drugog poduzeća (poduzeće meta) i time preuzima kontrolu nad njegovim upravljanjem. Proces može biti prijateljski i neprijateljski. Procesom spajanja (fuzijom) se pak dva ili više poduzeća povezuju kako bi stvorila potpuno novo društvo pa time poduzeća sudionici spajanja prestaju postojati (konsolidacija). Može se dogoditi i situacija da kupljeno poduzeće ostane poslovati kao samostalni pravni entitet pa se u nekoj kasnijoj fazi potpuno konsolidira s drugim. Spajanja i preuzimanja se provode sukladno propisima o trgovačkim društvima, računovodstvenim i </w:t>
      </w:r>
      <w:r w:rsidRPr="00BE5472">
        <w:rPr>
          <w:rFonts w:ascii="Times New Roman" w:hAnsi="Times New Roman" w:cs="Times New Roman"/>
          <w:sz w:val="24"/>
          <w:szCs w:val="24"/>
        </w:rPr>
        <w:lastRenderedPageBreak/>
        <w:t xml:space="preserve">poreznim propisima, a kontrola koncentracije počiva na jedinstvenoj politici Europske unije i regulativi 139/2004.  </w:t>
      </w:r>
    </w:p>
    <w:p w14:paraId="4A26EF99" w14:textId="2C562BC5"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Istraživanja područja izbora odgovarajućih strategija rasta</w:t>
      </w:r>
      <w:r w:rsidR="006A2B0A" w:rsidRPr="00BE5472">
        <w:rPr>
          <w:rFonts w:ascii="Times New Roman" w:hAnsi="Times New Roman" w:cs="Times New Roman"/>
          <w:sz w:val="24"/>
          <w:szCs w:val="24"/>
        </w:rPr>
        <w:t>,</w:t>
      </w:r>
      <w:r w:rsidRPr="00BE5472">
        <w:rPr>
          <w:rFonts w:ascii="Times New Roman" w:hAnsi="Times New Roman" w:cs="Times New Roman"/>
          <w:sz w:val="24"/>
          <w:szCs w:val="24"/>
        </w:rPr>
        <w:t xml:space="preserve"> odnosno načina provedbe razvojnih strategija poduzeća (horizontalnih, vertikalnih ili konglomeratskih), u tom segmentu posebice spajanja i preuzimanja poduzeća (eng. </w:t>
      </w:r>
      <w:r w:rsidRPr="00BE5472">
        <w:rPr>
          <w:rFonts w:ascii="Times New Roman" w:hAnsi="Times New Roman" w:cs="Times New Roman"/>
          <w:i/>
          <w:sz w:val="24"/>
          <w:szCs w:val="24"/>
        </w:rPr>
        <w:t>mergers &amp; acquisitions</w:t>
      </w:r>
      <w:r w:rsidRPr="00BE5472">
        <w:rPr>
          <w:rFonts w:ascii="Times New Roman" w:hAnsi="Times New Roman" w:cs="Times New Roman"/>
          <w:sz w:val="24"/>
          <w:szCs w:val="24"/>
        </w:rPr>
        <w:t xml:space="preserve"> ili </w:t>
      </w:r>
      <w:r w:rsidRPr="00BE5472">
        <w:rPr>
          <w:rFonts w:ascii="Times New Roman" w:hAnsi="Times New Roman" w:cs="Times New Roman"/>
          <w:i/>
          <w:sz w:val="24"/>
          <w:szCs w:val="24"/>
        </w:rPr>
        <w:t>M&amp;A</w:t>
      </w:r>
      <w:r w:rsidRPr="00BE5472">
        <w:rPr>
          <w:rFonts w:ascii="Times New Roman" w:hAnsi="Times New Roman" w:cs="Times New Roman"/>
          <w:sz w:val="24"/>
          <w:szCs w:val="24"/>
        </w:rPr>
        <w:t>), doživjela su, može se reći, gotovo ekspone</w:t>
      </w:r>
      <w:r w:rsidR="00611210" w:rsidRPr="00BE5472">
        <w:rPr>
          <w:rFonts w:ascii="Times New Roman" w:hAnsi="Times New Roman" w:cs="Times New Roman"/>
          <w:sz w:val="24"/>
          <w:szCs w:val="24"/>
        </w:rPr>
        <w:t>ncijalni rast u razdoblju od 60</w:t>
      </w:r>
      <w:r w:rsidRPr="00BE5472">
        <w:rPr>
          <w:rFonts w:ascii="Times New Roman" w:hAnsi="Times New Roman" w:cs="Times New Roman"/>
          <w:sz w:val="24"/>
          <w:szCs w:val="24"/>
        </w:rPr>
        <w:t>-ih godina prošlog stoljeća pa do danas (Canina i sur. 2010). Jedan razlog tomu sigurno leži i u činjenici da globalnu hotelsku industriju posljednjih desetljeća obilježavaju procesi okrupnjavanja, odnosn</w:t>
      </w:r>
      <w:r w:rsidR="00611210" w:rsidRPr="00BE5472">
        <w:rPr>
          <w:rFonts w:ascii="Times New Roman" w:hAnsi="Times New Roman" w:cs="Times New Roman"/>
          <w:sz w:val="24"/>
          <w:szCs w:val="24"/>
        </w:rPr>
        <w:t>o konsolidacije, posebice od 80</w:t>
      </w:r>
      <w:r w:rsidRPr="00BE5472">
        <w:rPr>
          <w:rFonts w:ascii="Times New Roman" w:hAnsi="Times New Roman" w:cs="Times New Roman"/>
          <w:sz w:val="24"/>
          <w:szCs w:val="24"/>
        </w:rPr>
        <w:t xml:space="preserve">-ih godina prošlog stoljeća. Pohlman (2017) baš u tom smislu pokretače spajanja i preuzimanja dijeli na ofenzivne i obrambene (defenzivne). Stjecanje većeg tržišnog udjela </w:t>
      </w:r>
      <w:r w:rsidR="00535809" w:rsidRPr="00BE5472">
        <w:rPr>
          <w:rFonts w:ascii="Times New Roman" w:hAnsi="Times New Roman" w:cs="Times New Roman"/>
          <w:sz w:val="24"/>
          <w:szCs w:val="24"/>
        </w:rPr>
        <w:t xml:space="preserve">smatra </w:t>
      </w:r>
      <w:r w:rsidRPr="00BE5472">
        <w:rPr>
          <w:rFonts w:ascii="Times New Roman" w:hAnsi="Times New Roman" w:cs="Times New Roman"/>
          <w:sz w:val="24"/>
          <w:szCs w:val="24"/>
        </w:rPr>
        <w:t>se ofenzivnim pokretačem</w:t>
      </w:r>
      <w:r w:rsidR="006A2B0A" w:rsidRPr="00BE5472">
        <w:rPr>
          <w:rFonts w:ascii="Times New Roman" w:hAnsi="Times New Roman" w:cs="Times New Roman"/>
          <w:sz w:val="24"/>
          <w:szCs w:val="24"/>
        </w:rPr>
        <w:t>,</w:t>
      </w:r>
      <w:r w:rsidRPr="00BE5472">
        <w:rPr>
          <w:rFonts w:ascii="Times New Roman" w:hAnsi="Times New Roman" w:cs="Times New Roman"/>
          <w:sz w:val="24"/>
          <w:szCs w:val="24"/>
        </w:rPr>
        <w:t xml:space="preserve"> dok se defenzivni</w:t>
      </w:r>
      <w:r w:rsidR="006A2B0A" w:rsidRPr="00BE5472">
        <w:rPr>
          <w:rFonts w:ascii="Times New Roman" w:hAnsi="Times New Roman" w:cs="Times New Roman"/>
          <w:sz w:val="24"/>
          <w:szCs w:val="24"/>
        </w:rPr>
        <w:t>m</w:t>
      </w:r>
      <w:r w:rsidRPr="00BE5472">
        <w:rPr>
          <w:rFonts w:ascii="Times New Roman" w:hAnsi="Times New Roman" w:cs="Times New Roman"/>
          <w:sz w:val="24"/>
          <w:szCs w:val="24"/>
        </w:rPr>
        <w:t xml:space="preserve"> pokretači</w:t>
      </w:r>
      <w:r w:rsidR="006A2B0A" w:rsidRPr="00BE5472">
        <w:rPr>
          <w:rFonts w:ascii="Times New Roman" w:hAnsi="Times New Roman" w:cs="Times New Roman"/>
          <w:sz w:val="24"/>
          <w:szCs w:val="24"/>
        </w:rPr>
        <w:t>ma</w:t>
      </w:r>
      <w:r w:rsidRPr="00BE5472">
        <w:rPr>
          <w:rFonts w:ascii="Times New Roman" w:hAnsi="Times New Roman" w:cs="Times New Roman"/>
          <w:sz w:val="24"/>
          <w:szCs w:val="24"/>
        </w:rPr>
        <w:t xml:space="preserve"> mogu smatrati oni koji poboljšavaju pregovaračku moć hotelijera i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putničkih agenata (OTA-a)</w:t>
      </w:r>
      <w:r w:rsidR="006A2B0A" w:rsidRPr="00BE5472">
        <w:rPr>
          <w:rFonts w:ascii="Times New Roman" w:hAnsi="Times New Roman" w:cs="Times New Roman"/>
          <w:sz w:val="24"/>
          <w:szCs w:val="24"/>
        </w:rPr>
        <w:t>,</w:t>
      </w:r>
      <w:r w:rsidRPr="00BE5472">
        <w:rPr>
          <w:rFonts w:ascii="Times New Roman" w:hAnsi="Times New Roman" w:cs="Times New Roman"/>
          <w:sz w:val="24"/>
          <w:szCs w:val="24"/>
        </w:rPr>
        <w:t xml:space="preserve"> koji postaju sve značajniji unutar hotelskog i turističkog ekosustava. Proces ubrzane konsolidacije hotelske industrije ubrzava i potiče nekoliko promjena koje se događaju u okruženju hotelskih poduzeća. Prije svega, riječ je o sve snažnijem utjecaju i tržišnoj moći konkurenata s disruptivnim inovacijama, poput </w:t>
      </w:r>
      <w:r w:rsidRPr="00BE5472">
        <w:rPr>
          <w:rFonts w:ascii="Times New Roman" w:hAnsi="Times New Roman" w:cs="Times New Roman"/>
          <w:i/>
          <w:sz w:val="24"/>
          <w:szCs w:val="24"/>
        </w:rPr>
        <w:t>AirBNB-a</w:t>
      </w:r>
      <w:r w:rsidRPr="00BE5472">
        <w:rPr>
          <w:rFonts w:ascii="Times New Roman" w:hAnsi="Times New Roman" w:cs="Times New Roman"/>
          <w:sz w:val="24"/>
          <w:szCs w:val="24"/>
        </w:rPr>
        <w:t xml:space="preserve">, ili pak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w:t>
      </w:r>
      <w:r w:rsidRPr="00C83EC4">
        <w:rPr>
          <w:rFonts w:ascii="Times New Roman" w:hAnsi="Times New Roman" w:cs="Times New Roman"/>
          <w:i/>
          <w:iCs/>
          <w:sz w:val="24"/>
          <w:szCs w:val="24"/>
        </w:rPr>
        <w:t>travel</w:t>
      </w:r>
      <w:r w:rsidRPr="00BE5472">
        <w:rPr>
          <w:rFonts w:ascii="Times New Roman" w:hAnsi="Times New Roman" w:cs="Times New Roman"/>
          <w:sz w:val="24"/>
          <w:szCs w:val="24"/>
        </w:rPr>
        <w:t xml:space="preserve"> agenata (OTA), poput </w:t>
      </w:r>
      <w:r w:rsidRPr="00BE5472">
        <w:rPr>
          <w:rFonts w:ascii="Times New Roman" w:hAnsi="Times New Roman" w:cs="Times New Roman"/>
          <w:i/>
          <w:sz w:val="24"/>
          <w:szCs w:val="24"/>
        </w:rPr>
        <w:t>Expedi</w:t>
      </w:r>
      <w:r w:rsidR="006A2B0A" w:rsidRPr="00BE5472">
        <w:rPr>
          <w:rFonts w:ascii="Times New Roman" w:hAnsi="Times New Roman" w:cs="Times New Roman"/>
          <w:i/>
          <w:sz w:val="24"/>
          <w:szCs w:val="24"/>
        </w:rPr>
        <w:t>j</w:t>
      </w:r>
      <w:r w:rsidRPr="00BE5472">
        <w:rPr>
          <w:rFonts w:ascii="Times New Roman" w:hAnsi="Times New Roman" w:cs="Times New Roman"/>
          <w:i/>
          <w:sz w:val="24"/>
          <w:szCs w:val="24"/>
        </w:rPr>
        <w:t>e</w:t>
      </w:r>
      <w:r w:rsidR="006A2B0A" w:rsidRPr="00BE5472">
        <w:rPr>
          <w:rFonts w:ascii="Times New Roman" w:hAnsi="Times New Roman" w:cs="Times New Roman"/>
          <w:sz w:val="24"/>
          <w:szCs w:val="24"/>
        </w:rPr>
        <w:t xml:space="preserve"> ili </w:t>
      </w:r>
      <w:r w:rsidR="006A2B0A" w:rsidRPr="00BE5472">
        <w:rPr>
          <w:rFonts w:ascii="Times New Roman" w:hAnsi="Times New Roman" w:cs="Times New Roman"/>
          <w:i/>
          <w:sz w:val="24"/>
          <w:szCs w:val="24"/>
        </w:rPr>
        <w:t>b</w:t>
      </w:r>
      <w:r w:rsidRPr="00BE5472">
        <w:rPr>
          <w:rFonts w:ascii="Times New Roman" w:hAnsi="Times New Roman" w:cs="Times New Roman"/>
          <w:i/>
          <w:sz w:val="24"/>
          <w:szCs w:val="24"/>
        </w:rPr>
        <w:t>ooking.coma</w:t>
      </w:r>
      <w:r w:rsidRPr="00BE5472">
        <w:rPr>
          <w:rFonts w:ascii="Times New Roman" w:hAnsi="Times New Roman" w:cs="Times New Roman"/>
          <w:sz w:val="24"/>
          <w:szCs w:val="24"/>
        </w:rPr>
        <w:t xml:space="preserve">. Zatim je tu velika konkurencija među postojećim hotelskim poduzećima, ali valja napomenuti i činjenicu da danas hotelska poduzeća vrlo često posežu za tzv. ALFO strategijom (engl. </w:t>
      </w:r>
      <w:r w:rsidRPr="00BE5472">
        <w:rPr>
          <w:rFonts w:ascii="Times New Roman" w:hAnsi="Times New Roman" w:cs="Times New Roman"/>
          <w:i/>
          <w:sz w:val="24"/>
          <w:szCs w:val="24"/>
        </w:rPr>
        <w:t>asset-light and fee-oriented strategy</w:t>
      </w:r>
      <w:r w:rsidRPr="00BE5472">
        <w:rPr>
          <w:rFonts w:ascii="Times New Roman" w:hAnsi="Times New Roman" w:cs="Times New Roman"/>
          <w:sz w:val="24"/>
          <w:szCs w:val="24"/>
        </w:rPr>
        <w:t>) pri čemu se odlučuju za posjedovanje manje imovine, a više se orijentiraju na plaćanja franšize ili ugovora o menadžmentu (Li i Singal, 2019). Hrvatsko tržište također nisu zaobišle navedene promjene pa su se procesi konsolidacije isto tako intenzivirali. Još 2015. Čizmar je naglasila da će vodeća hotelska poduzeća nastaviti preuzimati manja, dok će istovremeno slijediti i nastavak strategije spajanja poduzeća unutar istog vlasničkog portfelja u jedinstveno društvo</w:t>
      </w:r>
      <w:r w:rsidR="00ED4627" w:rsidRPr="00BE5472">
        <w:rPr>
          <w:rFonts w:ascii="Times New Roman" w:hAnsi="Times New Roman" w:cs="Times New Roman"/>
          <w:sz w:val="24"/>
          <w:szCs w:val="24"/>
        </w:rPr>
        <w:t xml:space="preserve"> (Ban 2018)</w:t>
      </w:r>
      <w:r w:rsidRPr="00BE5472">
        <w:rPr>
          <w:rFonts w:ascii="Times New Roman" w:hAnsi="Times New Roman" w:cs="Times New Roman"/>
          <w:sz w:val="24"/>
          <w:szCs w:val="24"/>
        </w:rPr>
        <w:t>. Dragičević je pak 2018. godine naglasio prirodnost procesa okrupnjavanja hotelskog sektora na području Republike Hrvatske</w:t>
      </w:r>
      <w:r w:rsidR="00535809" w:rsidRPr="00BE5472">
        <w:rPr>
          <w:rFonts w:ascii="Times New Roman" w:hAnsi="Times New Roman" w:cs="Times New Roman"/>
          <w:sz w:val="24"/>
          <w:szCs w:val="24"/>
        </w:rPr>
        <w:t>,</w:t>
      </w:r>
      <w:r w:rsidRPr="00BE5472">
        <w:rPr>
          <w:rFonts w:ascii="Times New Roman" w:hAnsi="Times New Roman" w:cs="Times New Roman"/>
          <w:sz w:val="24"/>
          <w:szCs w:val="24"/>
        </w:rPr>
        <w:t xml:space="preserve"> naglašavajući k</w:t>
      </w:r>
      <w:r w:rsidR="00535809" w:rsidRPr="00BE5472">
        <w:rPr>
          <w:rFonts w:ascii="Times New Roman" w:hAnsi="Times New Roman" w:cs="Times New Roman"/>
          <w:sz w:val="24"/>
          <w:szCs w:val="24"/>
        </w:rPr>
        <w:t xml:space="preserve">ako ono </w:t>
      </w:r>
      <w:r w:rsidRPr="00BE5472">
        <w:rPr>
          <w:rFonts w:ascii="Times New Roman" w:hAnsi="Times New Roman" w:cs="Times New Roman"/>
          <w:i/>
          <w:sz w:val="24"/>
          <w:szCs w:val="24"/>
        </w:rPr>
        <w:t>proizlazi iz naslijeđenog modela rane privatizacije hotelske industrije koja je bila insajderska i koja se događala spontano i bez unaprijed utvrđenih pravila igre</w:t>
      </w:r>
      <w:r w:rsidRPr="00BE5472">
        <w:rPr>
          <w:rFonts w:ascii="Times New Roman" w:hAnsi="Times New Roman" w:cs="Times New Roman"/>
          <w:sz w:val="24"/>
          <w:szCs w:val="24"/>
        </w:rPr>
        <w:t xml:space="preserve"> (Ban 2018). Valja istaknuti i vrlo bitnu činjenicu da je tržište snažno pogodila pandemija koronavirusa 2020. i 2021. godine, no stručnjaci, uz oporavak gospodarstva, predviđaju i porast novih konsolidacija (Bain 2020; Kostuch Media 2021). </w:t>
      </w:r>
    </w:p>
    <w:p w14:paraId="52C29447"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No, pored okruženja, koje neminovno ubrzava i potiče konsolidaciju, tu su i druge prednosti spajanja i preuzimanja identificirane u konkretnim istraživanjima, a koje se dijelom preklapaju s determinantama okruženja, posebice s konkurencijom i potrošačima. Prvenstveno se tu može izdvojiti očekivani značaj sinergije između poduzeća preuzimatelja i poduzeća mete preuzimanja.</w:t>
      </w:r>
    </w:p>
    <w:p w14:paraId="0DBF3D84" w14:textId="300D2C5A"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Sinergija u hotelskoj industriji počiva na činjenici da olakšava postizanje ekonomije obujma, snižavanje troškova dijeljenjem troškova na više jedinica (veći broj kreveta) ili pak spajanjem određenih funkcija konsolidiranih poduzeća (npr. akvizicija </w:t>
      </w:r>
      <w:r w:rsidRPr="00BE5472">
        <w:rPr>
          <w:rFonts w:ascii="Times New Roman" w:hAnsi="Times New Roman" w:cs="Times New Roman"/>
          <w:i/>
          <w:sz w:val="24"/>
          <w:szCs w:val="24"/>
        </w:rPr>
        <w:t>Starwooda</w:t>
      </w:r>
      <w:r w:rsidRPr="00BE5472">
        <w:rPr>
          <w:rFonts w:ascii="Times New Roman" w:hAnsi="Times New Roman" w:cs="Times New Roman"/>
          <w:sz w:val="24"/>
          <w:szCs w:val="24"/>
        </w:rPr>
        <w:t xml:space="preserve"> od strane </w:t>
      </w:r>
      <w:r w:rsidRPr="00BE5472">
        <w:rPr>
          <w:rFonts w:ascii="Times New Roman" w:hAnsi="Times New Roman" w:cs="Times New Roman"/>
          <w:i/>
          <w:sz w:val="24"/>
          <w:szCs w:val="24"/>
        </w:rPr>
        <w:t>Marriott</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Internationala</w:t>
      </w:r>
      <w:r w:rsidRPr="00BE5472">
        <w:rPr>
          <w:rFonts w:ascii="Times New Roman" w:hAnsi="Times New Roman" w:cs="Times New Roman"/>
          <w:sz w:val="24"/>
          <w:szCs w:val="24"/>
        </w:rPr>
        <w:t>). Nadalje, tu su programi lojalnosti koji doprinose stvaranju sinergije (Clark 2018), a nije zanemariva ni činjenica da poduzeće preuzimatelj, preuzimanjem drugog poduzeća s već razvijenim i učinkovitim poslovnim funkcijama te stabilnim tržištem, olakšava sebi s</w:t>
      </w:r>
      <w:r w:rsidR="00535809" w:rsidRPr="00BE5472">
        <w:rPr>
          <w:rFonts w:ascii="Times New Roman" w:hAnsi="Times New Roman" w:cs="Times New Roman"/>
          <w:sz w:val="24"/>
          <w:szCs w:val="24"/>
        </w:rPr>
        <w:t>tjecanje većeg tržišnog udjela te ostvarivanje tehnološke i marketinške sinergije. Također, zadržava postojeće i privlači nove tržišne segmente</w:t>
      </w:r>
      <w:r w:rsidRPr="00BE5472">
        <w:rPr>
          <w:rFonts w:ascii="Times New Roman" w:hAnsi="Times New Roman" w:cs="Times New Roman"/>
          <w:sz w:val="24"/>
          <w:szCs w:val="24"/>
        </w:rPr>
        <w:t xml:space="preserve"> jer je razvoj novih proizvoda i marke zahtjevan posao (aktivnost), ali i značajan trošak (Jargon 2018). Od ostalih motivacijskih čimbenika procesa mogu se izdvojiti: financijski sinergijski učinci, upravljačka sinergija, diversifikacija, veći prihodi i profit, veće mogućnosti i bolje pogodnosti pri novim zaduživanjima, nova znanja i vještine i dr. Među pozitivnim učincima Novak (2000:48) ističe: rast snage poduzeća, povećanje udjela na tržištu, proširenje proizvodnih linija, diverzifikaciju koja smanjuje cikličke i operativne utjecaje, lakši pristup kapitalu kada se jedno društvo spoji s drugim (koje ima značajna likvidna sredstva i nisku zaduženost), dobar prinos na investicije (kada je tržišna vrijednost preuzetog poduzeća značajno niža od troškova njezine zamjene), višu tržišnu cijenu dionica</w:t>
      </w:r>
      <w:r w:rsidR="00535809"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daje veći P/E </w:t>
      </w:r>
      <w:r w:rsidR="00B0722F">
        <w:rPr>
          <w:rFonts w:ascii="Times New Roman" w:hAnsi="Times New Roman" w:cs="Times New Roman"/>
          <w:sz w:val="24"/>
          <w:szCs w:val="24"/>
        </w:rPr>
        <w:t>e</w:t>
      </w:r>
      <w:r w:rsidR="00B0722F" w:rsidRPr="008F21D7">
        <w:rPr>
          <w:rFonts w:ascii="Times New Roman" w:hAnsi="Times New Roman" w:cs="Times New Roman"/>
          <w:sz w:val="24"/>
          <w:szCs w:val="24"/>
        </w:rPr>
        <w:t xml:space="preserve">ngl. </w:t>
      </w:r>
      <w:r w:rsidR="00B0722F" w:rsidRPr="008F21D7">
        <w:rPr>
          <w:rFonts w:ascii="Times New Roman" w:hAnsi="Times New Roman" w:cs="Times New Roman"/>
          <w:i/>
          <w:iCs/>
          <w:sz w:val="24"/>
          <w:szCs w:val="24"/>
        </w:rPr>
        <w:t>Price-to-Earnings</w:t>
      </w:r>
      <w:r w:rsidR="00B0722F" w:rsidRPr="00230435">
        <w:rPr>
          <w:rFonts w:ascii="Times New Roman" w:hAnsi="Times New Roman" w:cs="Times New Roman"/>
          <w:sz w:val="24"/>
          <w:szCs w:val="24"/>
        </w:rPr>
        <w:t xml:space="preserve">, </w:t>
      </w:r>
      <w:r w:rsidRPr="00BE5472">
        <w:rPr>
          <w:rFonts w:ascii="Times New Roman" w:hAnsi="Times New Roman" w:cs="Times New Roman"/>
          <w:sz w:val="24"/>
          <w:szCs w:val="24"/>
        </w:rPr>
        <w:t xml:space="preserve">odnos, bolje upravljanje razvojem, i ostvarenje sinergijskih učinaka. </w:t>
      </w:r>
    </w:p>
    <w:p w14:paraId="7CA79CA2" w14:textId="523AC1B0"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Unatoč brojnim inicijativama istraživača i brojnim provedenim istraživanjima procesa spajanja i preuzimanja još uvijek se nije došlo do jedinstvenog stava i odgovora na pitanje: </w:t>
      </w:r>
      <w:r w:rsidRPr="00BE5472">
        <w:rPr>
          <w:rFonts w:ascii="Times New Roman" w:hAnsi="Times New Roman" w:cs="Times New Roman"/>
          <w:i/>
          <w:sz w:val="24"/>
          <w:szCs w:val="24"/>
        </w:rPr>
        <w:t>Zbog čega su neka spajanja i preuzimanja uspješnija od drugih?</w:t>
      </w:r>
      <w:r w:rsidRPr="00BE5472">
        <w:rPr>
          <w:rFonts w:ascii="Times New Roman" w:hAnsi="Times New Roman" w:cs="Times New Roman"/>
          <w:sz w:val="24"/>
          <w:szCs w:val="24"/>
        </w:rPr>
        <w:t xml:space="preserve"> Jedan od odgovora sigurno leži u kompleksnosti kompletnog procesa spajanja i preuzimanja, od</w:t>
      </w:r>
      <w:r w:rsidR="00535809" w:rsidRPr="00BE5472">
        <w:rPr>
          <w:rFonts w:ascii="Times New Roman" w:hAnsi="Times New Roman" w:cs="Times New Roman"/>
          <w:sz w:val="24"/>
          <w:szCs w:val="24"/>
        </w:rPr>
        <w:t xml:space="preserve"> inicijalne faze pa sve do post</w:t>
      </w:r>
      <w:r w:rsidRPr="00BE5472">
        <w:rPr>
          <w:rFonts w:ascii="Times New Roman" w:hAnsi="Times New Roman" w:cs="Times New Roman"/>
          <w:sz w:val="24"/>
          <w:szCs w:val="24"/>
        </w:rPr>
        <w:t xml:space="preserve">akvizicijske integracije. No, provedena istraživanja u ovom području ukazuju na činjenicu da postoje određene specifičnosti hotelske industrije u odnosu na druge industrije. Ponajprije radi se o radno-intenzivnoj industriji koja uvelike ovisi o ljudskim resursima, industriji s visoko razvijenom konkurencijom i s proizvodima i uslugama visokog stupnja supstitucije i elastičnosti potražnje. Uz navedeno, sama uspješnost akvizicijskog procesa, promatrana iz perspektive </w:t>
      </w:r>
      <w:r w:rsidRPr="00BE5472">
        <w:rPr>
          <w:rFonts w:ascii="Times New Roman" w:hAnsi="Times New Roman" w:cs="Times New Roman"/>
          <w:sz w:val="24"/>
          <w:szCs w:val="24"/>
        </w:rPr>
        <w:lastRenderedPageBreak/>
        <w:t>stvaranja sinergijske vrijednosti (financijski učinci) u hotelskoj industriji razlikuje se od ostalih industrija. Nerijetko se odstupanja od ostalih industrija manifestira</w:t>
      </w:r>
      <w:r w:rsidR="00535809" w:rsidRPr="00BE5472">
        <w:rPr>
          <w:rFonts w:ascii="Times New Roman" w:hAnsi="Times New Roman" w:cs="Times New Roman"/>
          <w:sz w:val="24"/>
          <w:szCs w:val="24"/>
        </w:rPr>
        <w:t>ju u koristima koje uživaju i poduzeća preuzimatelji</w:t>
      </w:r>
      <w:r w:rsidRPr="00BE5472">
        <w:rPr>
          <w:rFonts w:ascii="Times New Roman" w:hAnsi="Times New Roman" w:cs="Times New Roman"/>
          <w:sz w:val="24"/>
          <w:szCs w:val="24"/>
        </w:rPr>
        <w:t xml:space="preserve"> i poduzeća mete u hotelijerstvu, uz uvažavanje različitih utjecajnih čimbenika (Li i Singal 2021). Ma i sur. (2011) su u istraživanju na 452 hotelska poduzeća koja su se odlučila na preuzimanje drugih poduzeća (</w:t>
      </w:r>
      <w:r w:rsidR="00535809" w:rsidRPr="00BE5472">
        <w:rPr>
          <w:rFonts w:ascii="Times New Roman" w:hAnsi="Times New Roman" w:cs="Times New Roman"/>
          <w:sz w:val="24"/>
          <w:szCs w:val="24"/>
        </w:rPr>
        <w:t>i onih koja kotiraju na burzi</w:t>
      </w:r>
      <w:r w:rsidRPr="00BE5472">
        <w:rPr>
          <w:rFonts w:ascii="Times New Roman" w:hAnsi="Times New Roman" w:cs="Times New Roman"/>
          <w:sz w:val="24"/>
          <w:szCs w:val="24"/>
        </w:rPr>
        <w:t xml:space="preserve"> i onih koja ne kotiraju) u razdoblju od 1981. do 2006. godine, dokazali da vrijednosti za dioničare poduzeća preuzimatelja u prosjeku rastu, da su isplativija preuzimanja onih poduzeća koja ne kotiraju na burzi i da su dionička ulaganja isplativija kada je riječ o preuzimanja većih privatnih poduzeća koja ne kotiraju na burzi. S druge strane, rezultati istraživanja koje su proveli Chatfield i sur. (2012) na 282 javna poduzeća u hotelijerstvu u razdoblju od 1985. do 2004. godine pokazuju da dioničari poduzeća preuzimatelja ostvaruju pozitivne financi</w:t>
      </w:r>
      <w:r w:rsidR="00535809" w:rsidRPr="00BE5472">
        <w:rPr>
          <w:rFonts w:ascii="Times New Roman" w:hAnsi="Times New Roman" w:cs="Times New Roman"/>
          <w:sz w:val="24"/>
          <w:szCs w:val="24"/>
        </w:rPr>
        <w:t>jske učinke od preuzimanja ako su realizirani</w:t>
      </w:r>
      <w:r w:rsidRPr="00BE5472">
        <w:rPr>
          <w:rFonts w:ascii="Times New Roman" w:hAnsi="Times New Roman" w:cs="Times New Roman"/>
          <w:sz w:val="24"/>
          <w:szCs w:val="24"/>
        </w:rPr>
        <w:t xml:space="preserve"> kao gotovinske transakcije, a ne kao transakcije dionicama</w:t>
      </w:r>
      <w:r w:rsidR="00535809"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pak u suprotnosti s prethodno spomenutim rezultatima istraživanja.</w:t>
      </w:r>
    </w:p>
    <w:p w14:paraId="4530EF15" w14:textId="72577FDB" w:rsidR="00B6668D" w:rsidRPr="00BE5472" w:rsidRDefault="00535809"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No, rezultati oba</w:t>
      </w:r>
      <w:r w:rsidR="00B6668D" w:rsidRPr="00BE5472">
        <w:rPr>
          <w:rFonts w:ascii="Times New Roman" w:hAnsi="Times New Roman" w:cs="Times New Roman"/>
          <w:sz w:val="24"/>
          <w:szCs w:val="24"/>
        </w:rPr>
        <w:t xml:space="preserve"> istraživanja ipak ukazuju na koristi konsolidacijskih procesa za obje uključene strane. Nadalje, istraživači su, posebice u vrlo recentnim istraživanjima, dokazali da se najviše istraživanja procesa spajanja i preuzimanja fokusira na poduzeća u razvijenim zemljama i da se provode većinom kvantitativna istraživanja, dok je vrlo malo istraživanja provedeno u manje razvijenim zemljama te da nedostaju kvalitativna istraživanja koja se fokusiraju na sam proces i/ili interesne dionike (Zhang i sur. 2020). Prema spoznajama dostupnim pristupniku na područje Republike Hrvatske je provedeno samo jedno istraživanje procesa spajanja i preuzimanja (Pervan, Višić i Barnjak 2015), u kojem nije zasebno promatran hotelski sektor, a samo istraživanje je opet bilo kvantitativna karaktera. </w:t>
      </w:r>
    </w:p>
    <w:p w14:paraId="1B750928" w14:textId="77777777" w:rsidR="00C650B0" w:rsidRPr="00BE5472" w:rsidRDefault="00C650B0" w:rsidP="00C650B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Dosadašnja znanstvena misao o utjecaju spajanja i preuzimanja na stvaranje nove vrijednosti obilježena je oprečnim stajalištima i heterogenim rezultatima. Temeljni teorijski jaz proizlazi iz različitih perspektiva uspješnosti; dok Denis (2001) naglašava doprinos akvizicija kroz zamjenu loših upravljačkih struktura učinkovitijim menadžmentom, drugi autori, poput Halebliana i sur. (2009), upozoravaju na destruktivni potencijal ovih procesa. Oni, oslanjajući se na agencijsku teoriju (Jensen i Meckling, 1976), ukazuju na to da menadžeri često vode procese preuzimanja radi vlastitih interesa, što uz višak slobodnih sredstava rezultira lošim investicijskim odlukama i padom vrijednosti poduzeća.</w:t>
      </w:r>
    </w:p>
    <w:p w14:paraId="73ECFB0D" w14:textId="77777777" w:rsidR="00C650B0" w:rsidRPr="00BE5472" w:rsidRDefault="00C650B0" w:rsidP="00C650B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Empirijska istraživanja dodatno produbljuju ove kontradikcije, posebice u pogledu raspodjele koristi između poduzeća preuzimatelja i poduzeća mete. Dok Mulherin i sur. (2017) te Carper (1990) dokazuju da glavnu korist ostvaruju poduzeća mete, dok preuzimatelji često realiziraju negativne učinke za svoje dioničare, istraživači u hotelskoj industriji nude specifične uvide. Hsu i Jang (2007) te Sheel i Negpal (2013) kroz analizu pokazatelja ROA i ROE ukazuju na izostanak pozitivnih financijskih rezultata za poduzeća mete, dok Ferraz Lucerne (2017) identificira neutralan utjecaj na uspješnost preuzimatelja.</w:t>
      </w:r>
    </w:p>
    <w:p w14:paraId="6568126A" w14:textId="1BEE9185" w:rsidR="00C650B0" w:rsidRPr="00BE5472" w:rsidRDefault="00C650B0" w:rsidP="00C650B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Nasuprot navedenim pesimističnim nalazima, istraživanja Canine (2001), Ma i sur. (2011) te Dogrua (2017) potvrđuju da u hotelskom sektoru obje strane mogu ostvariti značajne prednosti. Canina i sur. (2010) poseb</w:t>
      </w:r>
      <w:r w:rsidR="00592A0D" w:rsidRPr="00BE5472">
        <w:rPr>
          <w:rFonts w:ascii="Times New Roman" w:hAnsi="Times New Roman" w:cs="Times New Roman"/>
          <w:sz w:val="24"/>
          <w:szCs w:val="24"/>
        </w:rPr>
        <w:t>no ističu važnost istraživanja „najboljih praksi“</w:t>
      </w:r>
      <w:r w:rsidRPr="00BE5472">
        <w:rPr>
          <w:rFonts w:ascii="Times New Roman" w:hAnsi="Times New Roman" w:cs="Times New Roman"/>
          <w:sz w:val="24"/>
          <w:szCs w:val="24"/>
        </w:rPr>
        <w:t xml:space="preserve"> u svakoj pojedinačnoj fazi procesa, naglašavajući način integracije resursa kao ključni faktor uspjeha. Nadovezujući se na to, Saunders, Altinay i Riordan (2009) sugeriraju da specifičnost hotelske</w:t>
      </w:r>
      <w:r w:rsidR="00592A0D" w:rsidRPr="00BE5472">
        <w:rPr>
          <w:rFonts w:ascii="Times New Roman" w:hAnsi="Times New Roman" w:cs="Times New Roman"/>
          <w:sz w:val="24"/>
          <w:szCs w:val="24"/>
        </w:rPr>
        <w:t xml:space="preserve"> industrije zahtijeva fokus na „ljudsku dinamiku“</w:t>
      </w:r>
      <w:r w:rsidRPr="00BE5472">
        <w:rPr>
          <w:rFonts w:ascii="Times New Roman" w:hAnsi="Times New Roman" w:cs="Times New Roman"/>
          <w:sz w:val="24"/>
          <w:szCs w:val="24"/>
        </w:rPr>
        <w:t xml:space="preserve"> i kulturološku reviziju (audit) prije same transakcije.</w:t>
      </w:r>
    </w:p>
    <w:p w14:paraId="64974D8A" w14:textId="3156A772" w:rsidR="00C650B0" w:rsidRPr="00BE5472" w:rsidRDefault="00C650B0" w:rsidP="00C650B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Recentna istraživanja, poput onog koje su proveli Li i Singal (2021), ukazuju na to da koristi u hotelskoj industriji čak nadmašuju one u drugim sektorima, identificirajući horizontalne integracije, metodu plaćanja i relativnu veličinu poduzeća kao ključne odrednice uspjeha. Međutim, unatoč rastućem interesu, Zh</w:t>
      </w:r>
      <w:r w:rsidR="00592A0D" w:rsidRPr="00BE5472">
        <w:rPr>
          <w:rFonts w:ascii="Times New Roman" w:hAnsi="Times New Roman" w:cs="Times New Roman"/>
          <w:sz w:val="24"/>
          <w:szCs w:val="24"/>
        </w:rPr>
        <w:t>ang i sur. (2020) u svojoj meta</w:t>
      </w:r>
      <w:r w:rsidRPr="00BE5472">
        <w:rPr>
          <w:rFonts w:ascii="Times New Roman" w:hAnsi="Times New Roman" w:cs="Times New Roman"/>
          <w:sz w:val="24"/>
          <w:szCs w:val="24"/>
        </w:rPr>
        <w:t>analizi 46 znanstvenih članaka upozoravaju na značajnu geografsku i metodološku pristranost. Čak 72</w:t>
      </w:r>
      <w:r w:rsidR="00592A0D" w:rsidRPr="00BE5472">
        <w:rPr>
          <w:rFonts w:ascii="Times New Roman" w:hAnsi="Times New Roman" w:cs="Times New Roman"/>
          <w:sz w:val="24"/>
          <w:szCs w:val="24"/>
        </w:rPr>
        <w:t xml:space="preserve"> </w:t>
      </w:r>
      <w:r w:rsidRPr="00BE5472">
        <w:rPr>
          <w:rFonts w:ascii="Times New Roman" w:hAnsi="Times New Roman" w:cs="Times New Roman"/>
          <w:sz w:val="24"/>
          <w:szCs w:val="24"/>
        </w:rPr>
        <w:t>% istraživanja fokusirano je na razvijena tržišta (poput SAD-a), dok su manje razvijene zemlje i zemlje u tranziciji gotovo potpuno zanemarene.</w:t>
      </w:r>
    </w:p>
    <w:p w14:paraId="1B868997" w14:textId="77777777" w:rsidR="00C650B0" w:rsidRPr="00BE5472" w:rsidRDefault="00C650B0" w:rsidP="00C650B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Upravo u tom kontekstu javlja se potreba za istraživanjem specifičnosti hrvatskog hotelskog sektora. Hrvatska, koju Tica (prema Vajcić, 2019) opisuje kao „čudnovatog kljunaša tranzicije“, predstavlja jedinstven poligon za testiranje teorijskih postavki o stvaranju vrijednosti. S obzirom na nisku razinu svjetske konkurentnosti (59. mjesto prema IMD, 2021) i specifičnosti tranzicijskog okruženja, postoji izražen istraživački jaz u razumijevanju čimbenika koji određuju uspješnost integracijskih procesa na domaćem tržištu.</w:t>
      </w:r>
    </w:p>
    <w:p w14:paraId="0150D8C4" w14:textId="77777777" w:rsidR="00B6668D" w:rsidRPr="00BE5472" w:rsidRDefault="00B6668D" w:rsidP="00B6668D">
      <w:pPr>
        <w:spacing w:line="360" w:lineRule="auto"/>
        <w:jc w:val="both"/>
        <w:rPr>
          <w:rFonts w:ascii="Times New Roman" w:hAnsi="Times New Roman" w:cs="Times New Roman"/>
          <w:sz w:val="24"/>
          <w:szCs w:val="24"/>
        </w:rPr>
      </w:pPr>
    </w:p>
    <w:p w14:paraId="15988C68" w14:textId="14ADD639"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Iz pregleda dosadašnjih teorijskih i empirijskih istraživanja o problemu i predmetu istraživanja moguće je identificirati određeni jaz u literaturi koji otvara prostor za provođenje istraživanja o spajanjima i preuzimanjima  u hotelskom sektoru na p</w:t>
      </w:r>
      <w:r w:rsidR="00093ABC">
        <w:rPr>
          <w:rFonts w:ascii="Times New Roman" w:hAnsi="Times New Roman" w:cs="Times New Roman"/>
          <w:sz w:val="24"/>
          <w:szCs w:val="24"/>
        </w:rPr>
        <w:t>rimjeru</w:t>
      </w:r>
      <w:r w:rsidRPr="00BE5472">
        <w:rPr>
          <w:rFonts w:ascii="Times New Roman" w:hAnsi="Times New Roman" w:cs="Times New Roman"/>
          <w:sz w:val="24"/>
          <w:szCs w:val="24"/>
        </w:rPr>
        <w:t xml:space="preserve"> Republike Hrvatske:</w:t>
      </w:r>
    </w:p>
    <w:p w14:paraId="184F23EA" w14:textId="77777777" w:rsidR="00B6668D" w:rsidRPr="00BE5472" w:rsidRDefault="00B6668D" w:rsidP="00B6668D">
      <w:pPr>
        <w:numPr>
          <w:ilvl w:val="0"/>
          <w:numId w:val="1"/>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Nedovoljno provedenih istraživanja vezano uz problematiku spajanja i preuzimanja u hotelskoj industriji općenito, posebice kvalitativnih istraživanja.</w:t>
      </w:r>
    </w:p>
    <w:p w14:paraId="2F21747B" w14:textId="77777777" w:rsidR="00B6668D" w:rsidRPr="00BE5472" w:rsidRDefault="00B6668D" w:rsidP="00B6668D">
      <w:pPr>
        <w:numPr>
          <w:ilvl w:val="0"/>
          <w:numId w:val="1"/>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Nedovoljno provedenih istraživanja vezano uz problematiku spajanja i preuzimanja u hotelskoj industriji u manje razvijenim zemljama. </w:t>
      </w:r>
    </w:p>
    <w:p w14:paraId="317E51D0" w14:textId="77777777" w:rsidR="00B6668D" w:rsidRPr="00BE5472" w:rsidRDefault="00B6668D" w:rsidP="00B6668D">
      <w:pPr>
        <w:numPr>
          <w:ilvl w:val="0"/>
          <w:numId w:val="1"/>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Veliki broj dosadašnjih istraživanja fokusiran je na poslovnu uspješnost (financijske i računovodstvene pokazatelje), dok istovremeno nema dovoljno istraživanja u hotelskoj industriji koja se fokusiraju na druge čimbenike, poput istraživanja utjecaja elemenata samog procesa spajanja i preuzimanja.</w:t>
      </w:r>
    </w:p>
    <w:p w14:paraId="56156075" w14:textId="77777777" w:rsidR="00B6668D" w:rsidRPr="00BE5472" w:rsidRDefault="00B6668D" w:rsidP="00B6668D">
      <w:pPr>
        <w:numPr>
          <w:ilvl w:val="0"/>
          <w:numId w:val="1"/>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Problematika spajanja i preuzimanja u hotelskom sektoru u Republici Hrvatskoj nije uopće bila predmet interesa znanstvenika i istraživača.</w:t>
      </w:r>
    </w:p>
    <w:p w14:paraId="0D223A11" w14:textId="644C8551" w:rsidR="00B6668D" w:rsidRPr="00BE5472" w:rsidRDefault="00B6668D" w:rsidP="00B6668D">
      <w:pPr>
        <w:numPr>
          <w:ilvl w:val="0"/>
          <w:numId w:val="1"/>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Postoji potreba istraživanja i identifikacije karakteristika procesa spajanja i preuzimanja u hotelskom sektoru u Republici Hrvatskoj u nešto kraćem roku (do deset godina) s obzirom </w:t>
      </w:r>
      <w:r w:rsidR="00B34756" w:rsidRPr="00BE5472">
        <w:rPr>
          <w:rFonts w:ascii="Times New Roman" w:hAnsi="Times New Roman" w:cs="Times New Roman"/>
          <w:sz w:val="24"/>
          <w:szCs w:val="24"/>
        </w:rPr>
        <w:t xml:space="preserve">na to </w:t>
      </w:r>
      <w:r w:rsidRPr="00BE5472">
        <w:rPr>
          <w:rFonts w:ascii="Times New Roman" w:hAnsi="Times New Roman" w:cs="Times New Roman"/>
          <w:sz w:val="24"/>
          <w:szCs w:val="24"/>
        </w:rPr>
        <w:t>da se konsolidacijski procesi u dužem razdoblju još ne mogu promatrati zbog njihovog nepostojanja.</w:t>
      </w:r>
    </w:p>
    <w:p w14:paraId="751A59F7" w14:textId="77777777" w:rsidR="00B6668D" w:rsidRPr="00BE5472" w:rsidRDefault="00B6668D" w:rsidP="00B6668D">
      <w:pPr>
        <w:spacing w:line="360" w:lineRule="auto"/>
        <w:jc w:val="both"/>
        <w:rPr>
          <w:rFonts w:ascii="Times New Roman" w:hAnsi="Times New Roman" w:cs="Times New Roman"/>
          <w:sz w:val="24"/>
          <w:szCs w:val="24"/>
        </w:rPr>
      </w:pPr>
    </w:p>
    <w:p w14:paraId="0EFA56FD" w14:textId="24FBDA87" w:rsidR="00B6668D" w:rsidRPr="00BE5472" w:rsidRDefault="00B6668D" w:rsidP="003D13C0">
      <w:pPr>
        <w:pStyle w:val="Heading2"/>
        <w:rPr>
          <w:rFonts w:ascii="Times New Roman" w:hAnsi="Times New Roman" w:cs="Times New Roman"/>
        </w:rPr>
      </w:pPr>
      <w:bookmarkStart w:id="7" w:name="_Toc210381397"/>
      <w:bookmarkStart w:id="8" w:name="_Toc241865124"/>
      <w:r w:rsidRPr="00BE5472">
        <w:rPr>
          <w:rFonts w:ascii="Times New Roman" w:hAnsi="Times New Roman" w:cs="Times New Roman"/>
        </w:rPr>
        <w:t>1.2. Ciljevi istraživanja i temeljna istraživačka pitanja</w:t>
      </w:r>
      <w:bookmarkEnd w:id="7"/>
      <w:bookmarkEnd w:id="8"/>
    </w:p>
    <w:p w14:paraId="6CFB2F47" w14:textId="77777777" w:rsidR="00BC3443" w:rsidRPr="00BE5472" w:rsidRDefault="00BC3443" w:rsidP="00BC3443">
      <w:pPr>
        <w:rPr>
          <w:rFonts w:ascii="Times New Roman" w:hAnsi="Times New Roman" w:cs="Times New Roman"/>
        </w:rPr>
      </w:pPr>
    </w:p>
    <w:p w14:paraId="36155265" w14:textId="3E62DABD" w:rsidR="00A1445F"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Iz definiranog problema istraživanja proizašli su svrha i ciljevi ovog istraživanja te temeljna istraživačka pitanja</w:t>
      </w:r>
      <w:r w:rsidR="00286033" w:rsidRPr="00BE5472">
        <w:rPr>
          <w:rFonts w:ascii="Times New Roman" w:hAnsi="Times New Roman" w:cs="Times New Roman"/>
          <w:sz w:val="24"/>
          <w:szCs w:val="24"/>
        </w:rPr>
        <w:t xml:space="preserve"> i identifikacija jaza</w:t>
      </w:r>
      <w:r w:rsidRPr="00BE5472">
        <w:rPr>
          <w:rFonts w:ascii="Times New Roman" w:hAnsi="Times New Roman" w:cs="Times New Roman"/>
          <w:sz w:val="24"/>
          <w:szCs w:val="24"/>
        </w:rPr>
        <w:t>.</w:t>
      </w:r>
      <w:r w:rsidR="00757555">
        <w:rPr>
          <w:rFonts w:ascii="Times New Roman" w:hAnsi="Times New Roman" w:cs="Times New Roman"/>
          <w:sz w:val="24"/>
          <w:szCs w:val="24"/>
        </w:rPr>
        <w:t xml:space="preserve"> </w:t>
      </w:r>
      <w:r w:rsidRPr="00BE5472">
        <w:rPr>
          <w:rFonts w:ascii="Times New Roman" w:hAnsi="Times New Roman" w:cs="Times New Roman"/>
          <w:sz w:val="24"/>
          <w:szCs w:val="24"/>
        </w:rPr>
        <w:t>Osnovna svrha ovog istraživanja je</w:t>
      </w:r>
      <w:r w:rsidR="00592A0D" w:rsidRPr="00BE5472">
        <w:rPr>
          <w:rFonts w:ascii="Times New Roman" w:hAnsi="Times New Roman" w:cs="Times New Roman"/>
          <w:sz w:val="24"/>
          <w:szCs w:val="24"/>
        </w:rPr>
        <w:t>st</w:t>
      </w:r>
      <w:r w:rsidRPr="00BE5472">
        <w:rPr>
          <w:rFonts w:ascii="Times New Roman" w:hAnsi="Times New Roman" w:cs="Times New Roman"/>
          <w:sz w:val="24"/>
          <w:szCs w:val="24"/>
        </w:rPr>
        <w:t xml:space="preserve"> utvrditi koji su potencijalni sinergijski učinci procesa spajanja i pre</w:t>
      </w:r>
      <w:r w:rsidR="00592A0D" w:rsidRPr="00BE5472">
        <w:rPr>
          <w:rFonts w:ascii="Times New Roman" w:hAnsi="Times New Roman" w:cs="Times New Roman"/>
          <w:sz w:val="24"/>
          <w:szCs w:val="24"/>
        </w:rPr>
        <w:t>uzimanja u hotelskoj industriji</w:t>
      </w:r>
      <w:r w:rsidRPr="00BE5472">
        <w:rPr>
          <w:rFonts w:ascii="Times New Roman" w:hAnsi="Times New Roman" w:cs="Times New Roman"/>
          <w:sz w:val="24"/>
          <w:szCs w:val="24"/>
        </w:rPr>
        <w:t xml:space="preserve"> te kako oni djeluju na </w:t>
      </w:r>
      <w:r w:rsidR="007879CF">
        <w:rPr>
          <w:rFonts w:ascii="Times New Roman" w:hAnsi="Times New Roman" w:cs="Times New Roman"/>
          <w:sz w:val="24"/>
          <w:szCs w:val="24"/>
        </w:rPr>
        <w:t>primjeru</w:t>
      </w:r>
      <w:r w:rsidR="00501B60">
        <w:rPr>
          <w:rFonts w:ascii="Times New Roman" w:hAnsi="Times New Roman" w:cs="Times New Roman"/>
          <w:sz w:val="24"/>
          <w:szCs w:val="24"/>
        </w:rPr>
        <w:t xml:space="preserve"> </w:t>
      </w:r>
      <w:r w:rsidRPr="00BE5472">
        <w:rPr>
          <w:rFonts w:ascii="Times New Roman" w:hAnsi="Times New Roman" w:cs="Times New Roman"/>
          <w:sz w:val="24"/>
          <w:szCs w:val="24"/>
        </w:rPr>
        <w:t>poslovanj</w:t>
      </w:r>
      <w:r w:rsidR="00501B60">
        <w:rPr>
          <w:rFonts w:ascii="Times New Roman" w:hAnsi="Times New Roman" w:cs="Times New Roman"/>
          <w:sz w:val="24"/>
          <w:szCs w:val="24"/>
        </w:rPr>
        <w:t>a</w:t>
      </w:r>
      <w:r w:rsidR="008B499A" w:rsidRPr="00BE5472">
        <w:rPr>
          <w:rFonts w:ascii="Times New Roman" w:hAnsi="Times New Roman" w:cs="Times New Roman"/>
          <w:sz w:val="24"/>
          <w:szCs w:val="24"/>
        </w:rPr>
        <w:t xml:space="preserve"> hrvatskih hotelskih</w:t>
      </w:r>
      <w:r w:rsidRPr="00BE5472">
        <w:rPr>
          <w:rFonts w:ascii="Times New Roman" w:hAnsi="Times New Roman" w:cs="Times New Roman"/>
          <w:sz w:val="24"/>
          <w:szCs w:val="24"/>
        </w:rPr>
        <w:t xml:space="preserve"> poduzeća koja</w:t>
      </w:r>
      <w:r w:rsidR="00D77A76" w:rsidRPr="00BE5472">
        <w:rPr>
          <w:rFonts w:ascii="Times New Roman" w:hAnsi="Times New Roman" w:cs="Times New Roman"/>
          <w:sz w:val="24"/>
          <w:szCs w:val="24"/>
        </w:rPr>
        <w:t xml:space="preserve"> su</w:t>
      </w:r>
      <w:r w:rsidRPr="00BE5472">
        <w:rPr>
          <w:rFonts w:ascii="Times New Roman" w:hAnsi="Times New Roman" w:cs="Times New Roman"/>
          <w:sz w:val="24"/>
          <w:szCs w:val="24"/>
        </w:rPr>
        <w:t xml:space="preserve"> sudjel</w:t>
      </w:r>
      <w:r w:rsidR="00D77A76" w:rsidRPr="00BE5472">
        <w:rPr>
          <w:rFonts w:ascii="Times New Roman" w:hAnsi="Times New Roman" w:cs="Times New Roman"/>
          <w:sz w:val="24"/>
          <w:szCs w:val="24"/>
        </w:rPr>
        <w:t>ovala</w:t>
      </w:r>
      <w:r w:rsidRPr="00BE5472">
        <w:rPr>
          <w:rFonts w:ascii="Times New Roman" w:hAnsi="Times New Roman" w:cs="Times New Roman"/>
          <w:sz w:val="24"/>
          <w:szCs w:val="24"/>
        </w:rPr>
        <w:t xml:space="preserve"> u t</w:t>
      </w:r>
      <w:r w:rsidR="00D77A76" w:rsidRPr="00BE5472">
        <w:rPr>
          <w:rFonts w:ascii="Times New Roman" w:hAnsi="Times New Roman" w:cs="Times New Roman"/>
          <w:sz w:val="24"/>
          <w:szCs w:val="24"/>
        </w:rPr>
        <w:t>akvim</w:t>
      </w:r>
      <w:r w:rsidRPr="00BE5472">
        <w:rPr>
          <w:rFonts w:ascii="Times New Roman" w:hAnsi="Times New Roman" w:cs="Times New Roman"/>
          <w:sz w:val="24"/>
          <w:szCs w:val="24"/>
        </w:rPr>
        <w:t xml:space="preserve"> proces</w:t>
      </w:r>
      <w:r w:rsidR="00780B4C" w:rsidRPr="00BE5472">
        <w:rPr>
          <w:rFonts w:ascii="Times New Roman" w:hAnsi="Times New Roman" w:cs="Times New Roman"/>
          <w:sz w:val="24"/>
          <w:szCs w:val="24"/>
        </w:rPr>
        <w:t>ima.</w:t>
      </w:r>
    </w:p>
    <w:p w14:paraId="3E0A13C3" w14:textId="77777777" w:rsidR="004E182C" w:rsidRDefault="004E182C" w:rsidP="00B6668D">
      <w:pPr>
        <w:spacing w:line="360" w:lineRule="auto"/>
        <w:jc w:val="both"/>
        <w:rPr>
          <w:rFonts w:ascii="Times New Roman" w:hAnsi="Times New Roman" w:cs="Times New Roman"/>
          <w:sz w:val="24"/>
          <w:szCs w:val="24"/>
        </w:rPr>
        <w:sectPr w:rsidR="004E182C" w:rsidSect="00873C68">
          <w:footerReference w:type="default" r:id="rId18"/>
          <w:pgSz w:w="12240" w:h="15840"/>
          <w:pgMar w:top="1440" w:right="1440" w:bottom="1440" w:left="1440" w:header="708" w:footer="708" w:gutter="0"/>
          <w:pgNumType w:start="1"/>
          <w:cols w:space="708"/>
          <w:docGrid w:linePitch="360"/>
        </w:sectPr>
      </w:pPr>
    </w:p>
    <w:p w14:paraId="500EF4E3" w14:textId="77777777" w:rsidR="00B6668D"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Znanstveni ciljevi ovog istraživanja su:</w:t>
      </w:r>
    </w:p>
    <w:p w14:paraId="777FDE19" w14:textId="1B753163" w:rsidR="008A2B6D" w:rsidRPr="00BE5472" w:rsidRDefault="008A2B6D" w:rsidP="00B6668D">
      <w:pPr>
        <w:numPr>
          <w:ilvl w:val="0"/>
          <w:numId w:val="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Definirati </w:t>
      </w:r>
      <w:r w:rsidR="00C35400" w:rsidRPr="00BE5472">
        <w:rPr>
          <w:rFonts w:ascii="Times New Roman" w:hAnsi="Times New Roman" w:cs="Times New Roman"/>
          <w:sz w:val="24"/>
          <w:szCs w:val="24"/>
        </w:rPr>
        <w:t>temeljne pravce razvoja i rasta hotelskih poduzeća.</w:t>
      </w:r>
    </w:p>
    <w:p w14:paraId="234D7FFB" w14:textId="5E487FE7" w:rsidR="0070786E" w:rsidRPr="00BE5472" w:rsidRDefault="002069CD" w:rsidP="0070786E">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 xml:space="preserve">U okviru ovog cilja provest će se sustavna sistematizacija teorijskih postavki o strategijama rasta u suvremenom hotelijerstvu. Fokus je na distinkciji između organskog rasta i rasta putem akvizicija, čime se postavlja teorijski okvir za razumijevanje strateškog pozicioniranja hotelskih poduzeća na dinamičnom turističkom tržištu. </w:t>
      </w:r>
    </w:p>
    <w:p w14:paraId="7AFDA679" w14:textId="7C0218D7" w:rsidR="00B6668D" w:rsidRPr="00BE5472" w:rsidRDefault="00B6668D" w:rsidP="00B6668D">
      <w:pPr>
        <w:numPr>
          <w:ilvl w:val="0"/>
          <w:numId w:val="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Istražiti specifičnosti konsolidacijskih procesa u hotelskoj industriji i doprinijeti boljem razumijevanju tih procesa.</w:t>
      </w:r>
    </w:p>
    <w:p w14:paraId="1889E54D" w14:textId="573A5807" w:rsidR="002B0948" w:rsidRPr="00BE5472" w:rsidRDefault="002B0948" w:rsidP="002B0948">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Cilj je identificirati čimbenike koji uvjetuju trendove okrupnjavanja unutar hotelskog sektora, s posebnim naglaskom na horizontalnu i vertikalnu integraciju. Ovime se želi doprinijeti dubljem razumijevanju transformacije tržišnih struktura te utvrditi kako globalni trendovi konsolidacije modificiraju konkurentsko okruženje.</w:t>
      </w:r>
    </w:p>
    <w:p w14:paraId="6FE86A2A" w14:textId="77777777" w:rsidR="00B6668D" w:rsidRPr="00BE5472" w:rsidRDefault="00B6668D" w:rsidP="00B6668D">
      <w:pPr>
        <w:numPr>
          <w:ilvl w:val="0"/>
          <w:numId w:val="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Analizirati temeljna obilježja procesa spajanja i preuzimanja (motive, ciljeve, elemente procesa) i istražiti njihov utjecaj na planiranje i realizaciju procesa.</w:t>
      </w:r>
    </w:p>
    <w:p w14:paraId="44674923" w14:textId="3ACB86E7" w:rsidR="002B0948" w:rsidRPr="00BE5472" w:rsidRDefault="008A3960" w:rsidP="002B0948">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Ovaj cilj usmjeren je na dekompoziciju M&amp;A procesa kroz identifikaciju primarnih motiva (poput ekonomije obujma ili ulaska na nova tržišta) te analizu ključnih faza realizacije. Istražit će se kako korelacija između inicijalnog planiranja i operativne provedbe determinira ishod transakcije, pružajući uvid u kritične točke uspjeha.</w:t>
      </w:r>
    </w:p>
    <w:p w14:paraId="423DB0FD" w14:textId="77777777" w:rsidR="00B6668D" w:rsidRPr="00BE5472" w:rsidRDefault="00B6668D" w:rsidP="00B6668D">
      <w:pPr>
        <w:numPr>
          <w:ilvl w:val="0"/>
          <w:numId w:val="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Utvrditi glavne sinergijske učinke procesa spajanja i preuzimanja i istražiti njihov utjecaj na financijsku uspješnost i održivost poslovanja.</w:t>
      </w:r>
    </w:p>
    <w:p w14:paraId="03EAA6D8" w14:textId="67022383" w:rsidR="008A3960" w:rsidRPr="00BE5472" w:rsidRDefault="00A315AA" w:rsidP="008A3960">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Fokus istraživanja je na kvantifikaciji operativnih i financijskih sinergija koje proizlaze iz spajanja i preuzimanja. Analizirat će se u kojoj mjeri ti učinci doprinose dugoročnoj financijskoj stabilnosti, profitabilnosti i održivom razvoju integriranog hotelskog entiteta, koristeći relevantne indikatore uspješnosti.</w:t>
      </w:r>
    </w:p>
    <w:p w14:paraId="53BBAAC2" w14:textId="77777777" w:rsidR="00B6668D" w:rsidRPr="00BE5472" w:rsidRDefault="00B6668D" w:rsidP="00B6668D">
      <w:pPr>
        <w:numPr>
          <w:ilvl w:val="0"/>
          <w:numId w:val="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Identificirati glavne rizike i izazove procesa spajanja i preuzimanja u hotelskom sektoru u Republici Hrvatskoj u budućnosti.</w:t>
      </w:r>
    </w:p>
    <w:p w14:paraId="6192ADF0" w14:textId="0F6FA404" w:rsidR="00B6668D" w:rsidRPr="00BE5472" w:rsidRDefault="00FF28EF" w:rsidP="002246A8">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lastRenderedPageBreak/>
        <w:t>Posljednji cilj usmjeren je na specifičnosti nacionalnog tržišta, uzimajući u obzir institucionalni okvir i ekonomske determinante RH. Cilj je projicirati buduće izazove, poput integracijs</w:t>
      </w:r>
      <w:r w:rsidR="00592A0D" w:rsidRPr="00BE5472">
        <w:rPr>
          <w:rFonts w:ascii="Times New Roman" w:hAnsi="Times New Roman" w:cs="Times New Roman"/>
          <w:sz w:val="24"/>
          <w:szCs w:val="24"/>
        </w:rPr>
        <w:t>kih rizika i specifičnosti post</w:t>
      </w:r>
      <w:r w:rsidRPr="00BE5472">
        <w:rPr>
          <w:rFonts w:ascii="Times New Roman" w:hAnsi="Times New Roman" w:cs="Times New Roman"/>
          <w:sz w:val="24"/>
          <w:szCs w:val="24"/>
        </w:rPr>
        <w:t>akvizicijskog menadžmenta, kako bi se ponudio znanstveno utemeljen okvir za strateško odlučivanje u domaćem hotelskom sektoru.</w:t>
      </w:r>
    </w:p>
    <w:p w14:paraId="302A606A" w14:textId="77777777" w:rsidR="002246A8" w:rsidRPr="00BE5472" w:rsidRDefault="002246A8" w:rsidP="002246A8">
      <w:pPr>
        <w:spacing w:line="360" w:lineRule="auto"/>
        <w:ind w:left="720"/>
        <w:jc w:val="both"/>
        <w:rPr>
          <w:rFonts w:ascii="Times New Roman" w:hAnsi="Times New Roman" w:cs="Times New Roman"/>
          <w:sz w:val="24"/>
          <w:szCs w:val="24"/>
        </w:rPr>
      </w:pPr>
    </w:p>
    <w:p w14:paraId="5327CBBE"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Aplikativni ciljevi ovog istraživanja su:</w:t>
      </w:r>
    </w:p>
    <w:p w14:paraId="3E7F5A2B" w14:textId="77777777" w:rsidR="00B6668D" w:rsidRPr="00BE5472" w:rsidRDefault="00B6668D" w:rsidP="00B6668D">
      <w:pPr>
        <w:numPr>
          <w:ilvl w:val="0"/>
          <w:numId w:val="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Istražiti veličinu, dinamiku i intenzitet procesa spajanja i preuzimanja u hotelskom sektoru u Republici Hrvatskoj.</w:t>
      </w:r>
    </w:p>
    <w:p w14:paraId="4F7A7040" w14:textId="296E34FA" w:rsidR="00025A4A" w:rsidRPr="00BE5472" w:rsidRDefault="00025A4A" w:rsidP="00025A4A">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Cilj je sustavno kvantificirati trendove konsolidacije na hrvatskom hotelskom tržištu. Rezultati će pružiti empirijsku podlogu dionicima za razumijevanje tržišne dinamike te omogućiti kvalitetnije predviđanje budućih investicijskih valova i strateško pozicioniranje domaćih poduzeća.</w:t>
      </w:r>
    </w:p>
    <w:p w14:paraId="36B300FC" w14:textId="77777777" w:rsidR="00B6668D" w:rsidRPr="00BE5472" w:rsidRDefault="00B6668D" w:rsidP="00B6668D">
      <w:pPr>
        <w:numPr>
          <w:ilvl w:val="0"/>
          <w:numId w:val="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Analizirati i pojasniti značaj pojedinih faza procesa na sam proces preuzimanja i spajanja kako bi se povećala učinkovitost procesa u budućnosti.</w:t>
      </w:r>
    </w:p>
    <w:p w14:paraId="446AE903" w14:textId="4BBF668C" w:rsidR="00954172" w:rsidRPr="00BE5472" w:rsidRDefault="00954172" w:rsidP="00954172">
      <w:pPr>
        <w:spacing w:line="360" w:lineRule="auto"/>
        <w:ind w:left="720"/>
        <w:jc w:val="both"/>
        <w:rPr>
          <w:rFonts w:ascii="Times New Roman" w:hAnsi="Times New Roman" w:cs="Times New Roman"/>
          <w:sz w:val="24"/>
          <w:szCs w:val="24"/>
        </w:rPr>
      </w:pPr>
      <w:r w:rsidRPr="00BE5472">
        <w:rPr>
          <w:rFonts w:ascii="Times New Roman" w:hAnsi="Times New Roman" w:cs="Times New Roman"/>
          <w:sz w:val="24"/>
          <w:szCs w:val="24"/>
        </w:rPr>
        <w:t xml:space="preserve">Fokus je na identifikaciji kritičnih točaka unutar faza pripreme, provedbe i integracije. Razumijevanjem važnosti svake faze, menadžment može optimizirati upravljačke postupke, smanjiti operativne rizike i izravno povećati stopu uspješnosti budućih transakcija u hotelskom sektoru. </w:t>
      </w:r>
    </w:p>
    <w:p w14:paraId="4D0AD44C" w14:textId="77777777" w:rsidR="00A1445F" w:rsidRPr="00BE5472" w:rsidRDefault="00B6668D" w:rsidP="00A1445F">
      <w:pPr>
        <w:numPr>
          <w:ilvl w:val="0"/>
          <w:numId w:val="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Utvrditi sinergijske koristi i stvaranje nove vrijednosti u procesima spajanja i preuzimanja u hotelskom sektoru u Republici Hrvatskoj za poduzeće preuzimatelja i poduzeće metu prema različitim obilježjima poduzeća</w:t>
      </w:r>
      <w:r w:rsidR="00611023" w:rsidRPr="00BE5472">
        <w:rPr>
          <w:rFonts w:ascii="Times New Roman" w:hAnsi="Times New Roman" w:cs="Times New Roman"/>
          <w:color w:val="FF0000"/>
          <w:sz w:val="24"/>
          <w:szCs w:val="24"/>
        </w:rPr>
        <w:t>.</w:t>
      </w:r>
    </w:p>
    <w:p w14:paraId="36783DC7" w14:textId="2E71565C" w:rsidR="00A1445F" w:rsidRPr="00BE5472" w:rsidRDefault="00A1445F" w:rsidP="00A1445F">
      <w:pPr>
        <w:spacing w:line="360" w:lineRule="auto"/>
        <w:ind w:left="720"/>
        <w:jc w:val="both"/>
        <w:rPr>
          <w:rFonts w:ascii="Times New Roman" w:hAnsi="Times New Roman" w:cs="Times New Roman"/>
          <w:sz w:val="24"/>
          <w:szCs w:val="24"/>
        </w:rPr>
      </w:pPr>
      <w:r w:rsidRPr="00BE5472">
        <w:rPr>
          <w:rFonts w:ascii="Times New Roman" w:eastAsia="Times New Roman" w:hAnsi="Times New Roman" w:cs="Times New Roman"/>
          <w:sz w:val="24"/>
          <w:szCs w:val="24"/>
          <w:lang w:eastAsia="hr-HR"/>
        </w:rPr>
        <w:t>Ovaj cilj usmjeren je na evaluaciju postignutih sinergija s obzirom na specifičnosti poduzeća preuzimatelja i mete. Rezultati će služiti kao praktičan putokaz za realniju procjenu dodane vrijednosti i opravdanosti integracijskih procesa, ovisno o veličini i tipu hotelskih subjekata.</w:t>
      </w:r>
    </w:p>
    <w:p w14:paraId="15751D63" w14:textId="77777777" w:rsidR="00B6668D" w:rsidRPr="00BE5472" w:rsidRDefault="00B6668D" w:rsidP="00950BAB">
      <w:pPr>
        <w:spacing w:line="360" w:lineRule="auto"/>
        <w:jc w:val="both"/>
        <w:rPr>
          <w:rFonts w:ascii="Times New Roman" w:hAnsi="Times New Roman" w:cs="Times New Roman"/>
          <w:sz w:val="24"/>
          <w:szCs w:val="24"/>
        </w:rPr>
      </w:pPr>
    </w:p>
    <w:p w14:paraId="48F5186F" w14:textId="55C12B6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Osobni motivi doktoranda koji provodi ovo istraživanje su: </w:t>
      </w:r>
    </w:p>
    <w:p w14:paraId="7DB74060" w14:textId="207A4B95" w:rsidR="00B6668D" w:rsidRPr="00BE5472" w:rsidRDefault="00B6668D" w:rsidP="00B6668D">
      <w:pPr>
        <w:numPr>
          <w:ilvl w:val="0"/>
          <w:numId w:val="5"/>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Doktorand je trenut</w:t>
      </w:r>
      <w:r w:rsidR="009F3C04" w:rsidRPr="00BE5472">
        <w:rPr>
          <w:rFonts w:ascii="Times New Roman" w:hAnsi="Times New Roman" w:cs="Times New Roman"/>
          <w:sz w:val="24"/>
          <w:szCs w:val="24"/>
        </w:rPr>
        <w:t>ač</w:t>
      </w:r>
      <w:r w:rsidRPr="00BE5472">
        <w:rPr>
          <w:rFonts w:ascii="Times New Roman" w:hAnsi="Times New Roman" w:cs="Times New Roman"/>
          <w:sz w:val="24"/>
          <w:szCs w:val="24"/>
        </w:rPr>
        <w:t>no zaposlen u hotelskom poduzeću koje je lider u konsolidacijskim procesima u hotelskom sektoru u Republici Hrvatskoj.</w:t>
      </w:r>
    </w:p>
    <w:p w14:paraId="7A2D8BD9" w14:textId="77777777" w:rsidR="00B6668D" w:rsidRPr="00BE5472" w:rsidRDefault="00B6668D" w:rsidP="00B6668D">
      <w:pPr>
        <w:numPr>
          <w:ilvl w:val="0"/>
          <w:numId w:val="5"/>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Doktorand ima dugogodišnje osobno iskustvo u hotelskom sektoru.</w:t>
      </w:r>
    </w:p>
    <w:p w14:paraId="405AF01B" w14:textId="77777777" w:rsidR="00B6668D" w:rsidRPr="00BE5472" w:rsidRDefault="00B6668D" w:rsidP="00B6668D">
      <w:pPr>
        <w:numPr>
          <w:ilvl w:val="0"/>
          <w:numId w:val="5"/>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Želja za osobnim razvojem u ovom području i doprinos poduzeću u budućim procesima spajanja i preuzimanja s kojima će se poduzeće susretati.</w:t>
      </w:r>
    </w:p>
    <w:p w14:paraId="7BBA016A" w14:textId="77777777" w:rsidR="00B6668D" w:rsidRPr="00BE5472" w:rsidRDefault="00B6668D" w:rsidP="00B6668D">
      <w:pPr>
        <w:spacing w:line="360" w:lineRule="auto"/>
        <w:jc w:val="both"/>
        <w:rPr>
          <w:rFonts w:ascii="Times New Roman" w:hAnsi="Times New Roman" w:cs="Times New Roman"/>
          <w:sz w:val="24"/>
          <w:szCs w:val="24"/>
        </w:rPr>
      </w:pPr>
    </w:p>
    <w:p w14:paraId="29D535E5"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Temeljna istraživačka pitanja:</w:t>
      </w:r>
    </w:p>
    <w:p w14:paraId="73816BBA" w14:textId="77777777" w:rsidR="00B6668D" w:rsidRPr="00BE5472" w:rsidRDefault="00B6668D"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Koji su osnovni obrasci koji karakteriziraju spajanja i preuzimanja </w:t>
      </w:r>
      <w:bookmarkStart w:id="9" w:name="_Hlk93352593"/>
      <w:r w:rsidRPr="00BE5472">
        <w:rPr>
          <w:rFonts w:ascii="Times New Roman" w:hAnsi="Times New Roman" w:cs="Times New Roman"/>
          <w:sz w:val="24"/>
          <w:szCs w:val="24"/>
        </w:rPr>
        <w:t xml:space="preserve">u hotelskom sektoru u Republici Hrvatskoj </w:t>
      </w:r>
      <w:bookmarkEnd w:id="9"/>
      <w:r w:rsidRPr="00BE5472">
        <w:rPr>
          <w:rFonts w:ascii="Times New Roman" w:hAnsi="Times New Roman" w:cs="Times New Roman"/>
          <w:sz w:val="24"/>
          <w:szCs w:val="24"/>
        </w:rPr>
        <w:t>(veličina, dinamika) od 2014. godine do 2021. godine?</w:t>
      </w:r>
    </w:p>
    <w:p w14:paraId="470EC118" w14:textId="52AF8B43" w:rsidR="00B6668D" w:rsidRPr="00BE5472" w:rsidRDefault="00E73AA3"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Do</w:t>
      </w:r>
      <w:r w:rsidR="00B6668D" w:rsidRPr="00BE5472">
        <w:rPr>
          <w:rFonts w:ascii="Times New Roman" w:hAnsi="Times New Roman" w:cs="Times New Roman"/>
          <w:color w:val="70AD47" w:themeColor="accent6"/>
          <w:sz w:val="24"/>
          <w:szCs w:val="24"/>
        </w:rPr>
        <w:t xml:space="preserve"> </w:t>
      </w:r>
      <w:r w:rsidR="00B6668D" w:rsidRPr="00BE5472">
        <w:rPr>
          <w:rFonts w:ascii="Times New Roman" w:hAnsi="Times New Roman" w:cs="Times New Roman"/>
          <w:sz w:val="24"/>
          <w:szCs w:val="24"/>
        </w:rPr>
        <w:t>koje su razine</w:t>
      </w:r>
      <w:r w:rsidRPr="00BE5472">
        <w:rPr>
          <w:rFonts w:ascii="Times New Roman" w:hAnsi="Times New Roman" w:cs="Times New Roman"/>
          <w:sz w:val="24"/>
          <w:szCs w:val="24"/>
        </w:rPr>
        <w:t xml:space="preserve"> </w:t>
      </w:r>
      <w:r w:rsidR="00B6668D" w:rsidRPr="00BE5472">
        <w:rPr>
          <w:rFonts w:ascii="Times New Roman" w:hAnsi="Times New Roman" w:cs="Times New Roman"/>
          <w:sz w:val="24"/>
          <w:szCs w:val="24"/>
        </w:rPr>
        <w:t xml:space="preserve">poduzeća uključena u proces spajanja i preuzimanja </w:t>
      </w:r>
      <w:r w:rsidR="005D6363" w:rsidRPr="00BE5472">
        <w:rPr>
          <w:rFonts w:ascii="Times New Roman" w:hAnsi="Times New Roman" w:cs="Times New Roman"/>
          <w:sz w:val="24"/>
          <w:szCs w:val="24"/>
        </w:rPr>
        <w:t>kompatibilna</w:t>
      </w:r>
      <w:r w:rsidR="00B6668D" w:rsidRPr="00BE5472">
        <w:rPr>
          <w:rFonts w:ascii="Times New Roman" w:hAnsi="Times New Roman" w:cs="Times New Roman"/>
          <w:sz w:val="24"/>
          <w:szCs w:val="24"/>
        </w:rPr>
        <w:t xml:space="preserve"> na operativnoj razini, a koliko na razini organizacijske kulture?</w:t>
      </w:r>
    </w:p>
    <w:p w14:paraId="1C129FBF" w14:textId="7E22E194" w:rsidR="00B6668D" w:rsidRPr="00BE5472" w:rsidRDefault="00B6668D"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Koja su glavna obilježja, odnosno kritični čimbenici svake faze procesa spajanja i preuzimanja u hotelskom sektoru u Republici Hrvatskoj?</w:t>
      </w:r>
    </w:p>
    <w:p w14:paraId="118716B1" w14:textId="75F49C64" w:rsidR="00B6668D" w:rsidRPr="00BE5472" w:rsidRDefault="00B6668D"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Kakav je utjecaj spajanja i preuzimanja na stvaranje nove vrijednosti za poduzeće preuzimatelja?</w:t>
      </w:r>
    </w:p>
    <w:p w14:paraId="067E2F8A" w14:textId="77777777" w:rsidR="00B6668D" w:rsidRPr="00BE5472" w:rsidRDefault="00B6668D"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Koji su ključni čimbenici koji utječu na uspješnost procesa spajanja i preuzimanja u hotelskom sektoru u Republici Hrvatskoj? </w:t>
      </w:r>
    </w:p>
    <w:p w14:paraId="31F26D31" w14:textId="77777777" w:rsidR="00B6668D" w:rsidRPr="00BE5472" w:rsidRDefault="00B6668D"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Analiziraju li strateški menadžeri poduzeća preuzimatelja na adekvatan način čimbenike kritične za uspjeh procesa spajanja i preuzimanja u svakoj fazi procesa?</w:t>
      </w:r>
    </w:p>
    <w:p w14:paraId="3C53C326" w14:textId="0B85CA52" w:rsidR="00B6668D" w:rsidRPr="00BE5472" w:rsidRDefault="00F67187" w:rsidP="00B6668D">
      <w:pPr>
        <w:numPr>
          <w:ilvl w:val="0"/>
          <w:numId w:val="2"/>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Postoje li</w:t>
      </w:r>
      <w:r w:rsidR="00B6668D" w:rsidRPr="00BE5472">
        <w:rPr>
          <w:rFonts w:ascii="Times New Roman" w:hAnsi="Times New Roman" w:cs="Times New Roman"/>
          <w:sz w:val="24"/>
          <w:szCs w:val="24"/>
        </w:rPr>
        <w:t xml:space="preserve"> razlik</w:t>
      </w:r>
      <w:r w:rsidRPr="00BE5472">
        <w:rPr>
          <w:rFonts w:ascii="Times New Roman" w:hAnsi="Times New Roman" w:cs="Times New Roman"/>
          <w:sz w:val="24"/>
          <w:szCs w:val="24"/>
        </w:rPr>
        <w:t>e</w:t>
      </w:r>
      <w:r w:rsidR="00B6668D" w:rsidRPr="00BE5472">
        <w:rPr>
          <w:rFonts w:ascii="Times New Roman" w:hAnsi="Times New Roman" w:cs="Times New Roman"/>
          <w:sz w:val="24"/>
          <w:szCs w:val="24"/>
        </w:rPr>
        <w:t xml:space="preserve"> u poslovnoj uspješnosti poduzeća koja su se odlučila za procese spajanja i preuzimanja i poduzeća koja nisu ulazila u takve procese?</w:t>
      </w:r>
    </w:p>
    <w:p w14:paraId="7472542E"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 </w:t>
      </w:r>
    </w:p>
    <w:p w14:paraId="3C5AE34E" w14:textId="77777777" w:rsidR="000A36C8" w:rsidRDefault="000A36C8" w:rsidP="00B6668D">
      <w:pPr>
        <w:spacing w:line="360" w:lineRule="auto"/>
        <w:jc w:val="both"/>
        <w:rPr>
          <w:rFonts w:ascii="Times New Roman" w:hAnsi="Times New Roman" w:cs="Times New Roman"/>
          <w:sz w:val="24"/>
          <w:szCs w:val="24"/>
        </w:rPr>
      </w:pPr>
    </w:p>
    <w:p w14:paraId="4FCD71EE" w14:textId="77777777" w:rsidR="000D53A7" w:rsidRPr="00BE5472" w:rsidRDefault="000D53A7" w:rsidP="00B6668D">
      <w:pPr>
        <w:spacing w:line="360" w:lineRule="auto"/>
        <w:jc w:val="both"/>
        <w:rPr>
          <w:rFonts w:ascii="Times New Roman" w:hAnsi="Times New Roman" w:cs="Times New Roman"/>
          <w:sz w:val="24"/>
          <w:szCs w:val="24"/>
        </w:rPr>
      </w:pPr>
    </w:p>
    <w:p w14:paraId="61145E92" w14:textId="7B51A682" w:rsidR="00B6668D" w:rsidRPr="00BE5472" w:rsidRDefault="00B6668D" w:rsidP="003D13C0">
      <w:pPr>
        <w:pStyle w:val="Heading2"/>
        <w:rPr>
          <w:rFonts w:ascii="Times New Roman" w:hAnsi="Times New Roman" w:cs="Times New Roman"/>
        </w:rPr>
      </w:pPr>
      <w:bookmarkStart w:id="10" w:name="_Toc210381398"/>
      <w:bookmarkStart w:id="11" w:name="_Toc241865125"/>
      <w:r w:rsidRPr="00BE5472">
        <w:rPr>
          <w:rFonts w:ascii="Times New Roman" w:hAnsi="Times New Roman" w:cs="Times New Roman"/>
        </w:rPr>
        <w:lastRenderedPageBreak/>
        <w:t>1.3. Hipoteze istraživanja</w:t>
      </w:r>
      <w:bookmarkEnd w:id="10"/>
      <w:bookmarkEnd w:id="11"/>
    </w:p>
    <w:p w14:paraId="066DC2D7" w14:textId="77777777" w:rsidR="00BC3443" w:rsidRPr="00BE5472" w:rsidRDefault="00BC3443" w:rsidP="00BC3443">
      <w:pPr>
        <w:rPr>
          <w:rFonts w:ascii="Times New Roman" w:hAnsi="Times New Roman" w:cs="Times New Roman"/>
        </w:rPr>
      </w:pPr>
    </w:p>
    <w:p w14:paraId="657CFC99" w14:textId="57C49E19"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Sukladno ciljevima istraživanja i temeljnim istraživačkim pitanjima, formulirane su </w:t>
      </w:r>
      <w:r w:rsidR="00592A0D" w:rsidRPr="00BE5472">
        <w:rPr>
          <w:rFonts w:ascii="Times New Roman" w:hAnsi="Times New Roman" w:cs="Times New Roman"/>
          <w:sz w:val="24"/>
          <w:szCs w:val="24"/>
        </w:rPr>
        <w:t>četiri</w:t>
      </w:r>
      <w:r w:rsidR="00EB1C30" w:rsidRPr="00BE5472">
        <w:rPr>
          <w:rFonts w:ascii="Times New Roman" w:hAnsi="Times New Roman" w:cs="Times New Roman"/>
          <w:sz w:val="24"/>
          <w:szCs w:val="24"/>
        </w:rPr>
        <w:t xml:space="preserve"> teme</w:t>
      </w:r>
      <w:r w:rsidR="00592A0D" w:rsidRPr="00BE5472">
        <w:rPr>
          <w:rFonts w:ascii="Times New Roman" w:hAnsi="Times New Roman" w:cs="Times New Roman"/>
          <w:sz w:val="24"/>
          <w:szCs w:val="24"/>
        </w:rPr>
        <w:t>ljne i dvije</w:t>
      </w:r>
      <w:r w:rsidR="000C1517" w:rsidRPr="00BE5472">
        <w:rPr>
          <w:rFonts w:ascii="Times New Roman" w:hAnsi="Times New Roman" w:cs="Times New Roman"/>
          <w:sz w:val="24"/>
          <w:szCs w:val="24"/>
        </w:rPr>
        <w:t xml:space="preserve"> pomoćne</w:t>
      </w:r>
      <w:r w:rsidRPr="00BE5472">
        <w:rPr>
          <w:rFonts w:ascii="Times New Roman" w:hAnsi="Times New Roman" w:cs="Times New Roman"/>
          <w:sz w:val="24"/>
          <w:szCs w:val="24"/>
        </w:rPr>
        <w:t xml:space="preserve"> hipoteze:</w:t>
      </w:r>
    </w:p>
    <w:p w14:paraId="06F37990" w14:textId="2CF253C6" w:rsidR="00B6668D" w:rsidRPr="00BE5472" w:rsidRDefault="00B6668D" w:rsidP="00B6668D">
      <w:pPr>
        <w:spacing w:line="360" w:lineRule="auto"/>
        <w:jc w:val="both"/>
        <w:rPr>
          <w:rFonts w:ascii="Times New Roman" w:hAnsi="Times New Roman" w:cs="Times New Roman"/>
          <w:sz w:val="24"/>
          <w:szCs w:val="24"/>
        </w:rPr>
      </w:pPr>
      <w:bookmarkStart w:id="12" w:name="_Hlk210377919"/>
      <w:r w:rsidRPr="00BE5472">
        <w:rPr>
          <w:rFonts w:ascii="Times New Roman" w:hAnsi="Times New Roman" w:cs="Times New Roman"/>
          <w:i/>
          <w:sz w:val="24"/>
          <w:szCs w:val="24"/>
        </w:rPr>
        <w:t>H1:</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Poznavanje i praćenje k</w:t>
      </w:r>
      <w:r w:rsidR="00997A8E">
        <w:rPr>
          <w:rFonts w:ascii="Times New Roman" w:hAnsi="Times New Roman" w:cs="Times New Roman"/>
          <w:i/>
          <w:sz w:val="24"/>
          <w:szCs w:val="24"/>
        </w:rPr>
        <w:t>ljučnih</w:t>
      </w:r>
      <w:r w:rsidRPr="00BE5472">
        <w:rPr>
          <w:rFonts w:ascii="Times New Roman" w:hAnsi="Times New Roman" w:cs="Times New Roman"/>
          <w:i/>
          <w:sz w:val="24"/>
          <w:szCs w:val="24"/>
        </w:rPr>
        <w:t xml:space="preserve"> čimbenika u svim fazama integracijskog procesa pozitivno utječe na uspješnost procesa spajanja i preuzimanja u hotelskom sektoru</w:t>
      </w:r>
      <w:r w:rsidRPr="00BE5472">
        <w:rPr>
          <w:rFonts w:ascii="Times New Roman" w:hAnsi="Times New Roman" w:cs="Times New Roman"/>
          <w:sz w:val="24"/>
          <w:szCs w:val="24"/>
        </w:rPr>
        <w:t>.</w:t>
      </w:r>
    </w:p>
    <w:bookmarkEnd w:id="12"/>
    <w:p w14:paraId="458B4614" w14:textId="77777777" w:rsidR="00B6668D" w:rsidRPr="00BE5472" w:rsidRDefault="00B6668D" w:rsidP="00B6668D">
      <w:pPr>
        <w:spacing w:line="360" w:lineRule="auto"/>
        <w:jc w:val="both"/>
        <w:rPr>
          <w:rFonts w:ascii="Times New Roman" w:hAnsi="Times New Roman" w:cs="Times New Roman"/>
          <w:sz w:val="24"/>
          <w:szCs w:val="24"/>
        </w:rPr>
      </w:pPr>
    </w:p>
    <w:p w14:paraId="0B0C5306" w14:textId="065F7C48"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svom su istraživanju Kim i Olsen (1999) odredili kritične čimbenike koji određuju uspješnost integracijskih procesa u svim fazama procesa, odnosno u fazi koja pre</w:t>
      </w:r>
      <w:r w:rsidR="00F15B1D" w:rsidRPr="00BE5472">
        <w:rPr>
          <w:rFonts w:ascii="Times New Roman" w:hAnsi="Times New Roman" w:cs="Times New Roman"/>
          <w:sz w:val="24"/>
          <w:szCs w:val="24"/>
        </w:rPr>
        <w:t>thodi samom preuzimanju te post</w:t>
      </w:r>
      <w:r w:rsidRPr="00BE5472">
        <w:rPr>
          <w:rFonts w:ascii="Times New Roman" w:hAnsi="Times New Roman" w:cs="Times New Roman"/>
          <w:sz w:val="24"/>
          <w:szCs w:val="24"/>
        </w:rPr>
        <w:t>akvizicijskoj fazi (fazi integracije). Primjerice, u prvoj je fazi potrebno ispitati slobodni novčani tok operativnih aktivnosti poduzeća mete, identificirati potencijalne sinergijske učinke, ispitati lokacije i tržišta poduzeća mete, pr</w:t>
      </w:r>
      <w:r w:rsidR="00F15B1D" w:rsidRPr="00BE5472">
        <w:rPr>
          <w:rFonts w:ascii="Times New Roman" w:hAnsi="Times New Roman" w:cs="Times New Roman"/>
          <w:sz w:val="24"/>
          <w:szCs w:val="24"/>
        </w:rPr>
        <w:t>ovesti dubinske analize, i dr.</w:t>
      </w:r>
      <w:r w:rsidRPr="00BE5472">
        <w:rPr>
          <w:rFonts w:ascii="Times New Roman" w:hAnsi="Times New Roman" w:cs="Times New Roman"/>
          <w:sz w:val="24"/>
          <w:szCs w:val="24"/>
        </w:rPr>
        <w:t xml:space="preserve"> U </w:t>
      </w:r>
      <w:r w:rsidR="006810AE" w:rsidRPr="00BE5472">
        <w:rPr>
          <w:rFonts w:ascii="Times New Roman" w:hAnsi="Times New Roman" w:cs="Times New Roman"/>
          <w:sz w:val="24"/>
          <w:szCs w:val="24"/>
        </w:rPr>
        <w:t>drugoj je fazi (fazi integracije) potrebno: donijeti post</w:t>
      </w:r>
      <w:r w:rsidRPr="00BE5472">
        <w:rPr>
          <w:rFonts w:ascii="Times New Roman" w:hAnsi="Times New Roman" w:cs="Times New Roman"/>
          <w:sz w:val="24"/>
          <w:szCs w:val="24"/>
        </w:rPr>
        <w:t>akvizicijsku strategiju, identificirati ključne menadžere i zaposlenike poduz</w:t>
      </w:r>
      <w:r w:rsidR="006810AE" w:rsidRPr="00BE5472">
        <w:rPr>
          <w:rFonts w:ascii="Times New Roman" w:hAnsi="Times New Roman" w:cs="Times New Roman"/>
          <w:sz w:val="24"/>
          <w:szCs w:val="24"/>
        </w:rPr>
        <w:t>eća mete, odrediti stupanj post</w:t>
      </w:r>
      <w:r w:rsidRPr="00BE5472">
        <w:rPr>
          <w:rFonts w:ascii="Times New Roman" w:hAnsi="Times New Roman" w:cs="Times New Roman"/>
          <w:sz w:val="24"/>
          <w:szCs w:val="24"/>
        </w:rPr>
        <w:t>akvizicijske integracije, razviti formalni integracijski p</w:t>
      </w:r>
      <w:r w:rsidR="006810AE" w:rsidRPr="00BE5472">
        <w:rPr>
          <w:rFonts w:ascii="Times New Roman" w:hAnsi="Times New Roman" w:cs="Times New Roman"/>
          <w:sz w:val="24"/>
          <w:szCs w:val="24"/>
        </w:rPr>
        <w:t>lan itd. Na temelju</w:t>
      </w:r>
      <w:r w:rsidRPr="00BE5472">
        <w:rPr>
          <w:rFonts w:ascii="Times New Roman" w:hAnsi="Times New Roman" w:cs="Times New Roman"/>
          <w:sz w:val="24"/>
          <w:szCs w:val="24"/>
        </w:rPr>
        <w:t xml:space="preserve"> prilagođenog modela razvijenog u spomenutom istraživanju prove</w:t>
      </w:r>
      <w:r w:rsidR="00E07E35" w:rsidRPr="00BE5472">
        <w:rPr>
          <w:rFonts w:ascii="Times New Roman" w:hAnsi="Times New Roman" w:cs="Times New Roman"/>
          <w:sz w:val="24"/>
          <w:szCs w:val="24"/>
        </w:rPr>
        <w:t>deno</w:t>
      </w:r>
      <w:r w:rsidRPr="00BE5472">
        <w:rPr>
          <w:rFonts w:ascii="Times New Roman" w:hAnsi="Times New Roman" w:cs="Times New Roman"/>
          <w:sz w:val="24"/>
          <w:szCs w:val="24"/>
        </w:rPr>
        <w:t xml:space="preserve"> </w:t>
      </w:r>
      <w:r w:rsidR="00E07E35" w:rsidRPr="00BE5472">
        <w:rPr>
          <w:rFonts w:ascii="Times New Roman" w:hAnsi="Times New Roman" w:cs="Times New Roman"/>
          <w:sz w:val="24"/>
          <w:szCs w:val="24"/>
        </w:rPr>
        <w:t>j</w:t>
      </w:r>
      <w:r w:rsidRPr="00BE5472">
        <w:rPr>
          <w:rFonts w:ascii="Times New Roman" w:hAnsi="Times New Roman" w:cs="Times New Roman"/>
          <w:sz w:val="24"/>
          <w:szCs w:val="24"/>
        </w:rPr>
        <w:t>e istraživanje na uzorku odabranih hotelskih poduzeća preuzimatelja u Republici Hrvatskoj</w:t>
      </w:r>
      <w:r w:rsidR="00A01012" w:rsidRPr="00BE5472">
        <w:rPr>
          <w:rFonts w:ascii="Times New Roman" w:hAnsi="Times New Roman" w:cs="Times New Roman"/>
          <w:sz w:val="24"/>
          <w:szCs w:val="24"/>
        </w:rPr>
        <w:t xml:space="preserve"> (</w:t>
      </w:r>
      <w:r w:rsidRPr="00BE5472">
        <w:rPr>
          <w:rFonts w:ascii="Times New Roman" w:hAnsi="Times New Roman" w:cs="Times New Roman"/>
          <w:bCs/>
          <w:i/>
          <w:sz w:val="24"/>
          <w:szCs w:val="24"/>
        </w:rPr>
        <w:t>Plav</w:t>
      </w:r>
      <w:r w:rsidR="00A01012" w:rsidRPr="00BE5472">
        <w:rPr>
          <w:rFonts w:ascii="Times New Roman" w:hAnsi="Times New Roman" w:cs="Times New Roman"/>
          <w:bCs/>
          <w:i/>
          <w:sz w:val="24"/>
          <w:szCs w:val="24"/>
        </w:rPr>
        <w:t>a</w:t>
      </w:r>
      <w:r w:rsidRPr="00BE5472">
        <w:rPr>
          <w:rFonts w:ascii="Times New Roman" w:hAnsi="Times New Roman" w:cs="Times New Roman"/>
          <w:bCs/>
          <w:i/>
          <w:sz w:val="24"/>
          <w:szCs w:val="24"/>
        </w:rPr>
        <w:t xml:space="preserve"> lagun</w:t>
      </w:r>
      <w:r w:rsidR="00A01012" w:rsidRPr="00BE5472">
        <w:rPr>
          <w:rFonts w:ascii="Times New Roman" w:hAnsi="Times New Roman" w:cs="Times New Roman"/>
          <w:bCs/>
          <w:i/>
          <w:sz w:val="24"/>
          <w:szCs w:val="24"/>
        </w:rPr>
        <w:t>a</w:t>
      </w:r>
      <w:r w:rsidRPr="00BE5472">
        <w:rPr>
          <w:rFonts w:ascii="Times New Roman" w:hAnsi="Times New Roman" w:cs="Times New Roman"/>
          <w:bCs/>
          <w:i/>
          <w:sz w:val="24"/>
          <w:szCs w:val="24"/>
        </w:rPr>
        <w:t>, Valamar, Maistr</w:t>
      </w:r>
      <w:r w:rsidR="00A01012" w:rsidRPr="00BE5472">
        <w:rPr>
          <w:rFonts w:ascii="Times New Roman" w:hAnsi="Times New Roman" w:cs="Times New Roman"/>
          <w:bCs/>
          <w:i/>
          <w:sz w:val="24"/>
          <w:szCs w:val="24"/>
        </w:rPr>
        <w:t>a</w:t>
      </w:r>
      <w:r w:rsidRPr="00BE5472">
        <w:rPr>
          <w:rFonts w:ascii="Times New Roman" w:hAnsi="Times New Roman" w:cs="Times New Roman"/>
          <w:bCs/>
          <w:i/>
          <w:sz w:val="24"/>
          <w:szCs w:val="24"/>
        </w:rPr>
        <w:t xml:space="preserve"> (Adris grup</w:t>
      </w:r>
      <w:r w:rsidR="00A01012" w:rsidRPr="00BE5472">
        <w:rPr>
          <w:rFonts w:ascii="Times New Roman" w:hAnsi="Times New Roman" w:cs="Times New Roman"/>
          <w:bCs/>
          <w:i/>
          <w:sz w:val="24"/>
          <w:szCs w:val="24"/>
        </w:rPr>
        <w:t>a</w:t>
      </w:r>
      <w:r w:rsidRPr="00BE5472">
        <w:rPr>
          <w:rFonts w:ascii="Times New Roman" w:hAnsi="Times New Roman" w:cs="Times New Roman"/>
          <w:bCs/>
          <w:i/>
          <w:sz w:val="24"/>
          <w:szCs w:val="24"/>
        </w:rPr>
        <w:t>)</w:t>
      </w:r>
      <w:r w:rsidRPr="00BE5472">
        <w:rPr>
          <w:rFonts w:ascii="Times New Roman" w:hAnsi="Times New Roman" w:cs="Times New Roman"/>
          <w:bCs/>
          <w:sz w:val="24"/>
          <w:szCs w:val="24"/>
        </w:rPr>
        <w:t xml:space="preserve"> i </w:t>
      </w:r>
      <w:r w:rsidRPr="00BE5472">
        <w:rPr>
          <w:rFonts w:ascii="Times New Roman" w:hAnsi="Times New Roman" w:cs="Times New Roman"/>
          <w:bCs/>
          <w:i/>
          <w:sz w:val="24"/>
          <w:szCs w:val="24"/>
        </w:rPr>
        <w:t>Aminess</w:t>
      </w:r>
      <w:r w:rsidR="00104728" w:rsidRPr="00BE5472">
        <w:rPr>
          <w:rFonts w:ascii="Times New Roman" w:hAnsi="Times New Roman" w:cs="Times New Roman"/>
          <w:bCs/>
          <w:sz w:val="24"/>
          <w:szCs w:val="24"/>
        </w:rPr>
        <w:t>)</w:t>
      </w:r>
      <w:r w:rsidR="00281902" w:rsidRPr="00BE5472">
        <w:rPr>
          <w:rFonts w:ascii="Times New Roman" w:hAnsi="Times New Roman" w:cs="Times New Roman"/>
          <w:sz w:val="24"/>
          <w:szCs w:val="24"/>
        </w:rPr>
        <w:t xml:space="preserve"> i</w:t>
      </w:r>
      <w:r w:rsidRPr="00BE5472">
        <w:rPr>
          <w:rFonts w:ascii="Times New Roman" w:hAnsi="Times New Roman" w:cs="Times New Roman"/>
          <w:sz w:val="24"/>
          <w:szCs w:val="24"/>
        </w:rPr>
        <w:t xml:space="preserve"> istraž</w:t>
      </w:r>
      <w:r w:rsidR="00A428DE" w:rsidRPr="00BE5472">
        <w:rPr>
          <w:rFonts w:ascii="Times New Roman" w:hAnsi="Times New Roman" w:cs="Times New Roman"/>
          <w:sz w:val="24"/>
          <w:szCs w:val="24"/>
        </w:rPr>
        <w:t>eni su</w:t>
      </w:r>
      <w:r w:rsidRPr="00BE5472">
        <w:rPr>
          <w:rFonts w:ascii="Times New Roman" w:hAnsi="Times New Roman" w:cs="Times New Roman"/>
          <w:sz w:val="24"/>
          <w:szCs w:val="24"/>
        </w:rPr>
        <w:t xml:space="preserve"> ključn</w:t>
      </w:r>
      <w:r w:rsidR="00A428DE" w:rsidRPr="00BE5472">
        <w:rPr>
          <w:rFonts w:ascii="Times New Roman" w:hAnsi="Times New Roman" w:cs="Times New Roman"/>
          <w:sz w:val="24"/>
          <w:szCs w:val="24"/>
        </w:rPr>
        <w:t>i</w:t>
      </w:r>
      <w:r w:rsidRPr="00BE5472">
        <w:rPr>
          <w:rFonts w:ascii="Times New Roman" w:hAnsi="Times New Roman" w:cs="Times New Roman"/>
          <w:sz w:val="24"/>
          <w:szCs w:val="24"/>
        </w:rPr>
        <w:t xml:space="preserve"> čimbeni</w:t>
      </w:r>
      <w:r w:rsidR="00A428DE" w:rsidRPr="00BE5472">
        <w:rPr>
          <w:rFonts w:ascii="Times New Roman" w:hAnsi="Times New Roman" w:cs="Times New Roman"/>
          <w:sz w:val="24"/>
          <w:szCs w:val="24"/>
        </w:rPr>
        <w:t>ci</w:t>
      </w:r>
      <w:r w:rsidRPr="00BE5472">
        <w:rPr>
          <w:rFonts w:ascii="Times New Roman" w:hAnsi="Times New Roman" w:cs="Times New Roman"/>
          <w:sz w:val="24"/>
          <w:szCs w:val="24"/>
        </w:rPr>
        <w:t xml:space="preserve"> svih faza procesa spajanja i preuzimanja u hotelskom sektoru u Republici Hrvatskoj. </w:t>
      </w:r>
    </w:p>
    <w:p w14:paraId="72D9B3EA" w14:textId="77777777" w:rsidR="00B6668D" w:rsidRPr="00BE5472" w:rsidRDefault="00B6668D" w:rsidP="00B6668D">
      <w:pPr>
        <w:spacing w:line="360" w:lineRule="auto"/>
        <w:jc w:val="both"/>
        <w:rPr>
          <w:rFonts w:ascii="Times New Roman" w:hAnsi="Times New Roman" w:cs="Times New Roman"/>
          <w:i/>
          <w:sz w:val="24"/>
          <w:szCs w:val="24"/>
        </w:rPr>
      </w:pPr>
    </w:p>
    <w:p w14:paraId="24D814B1" w14:textId="77777777" w:rsidR="00B6668D" w:rsidRPr="00BE5472" w:rsidRDefault="00B6668D" w:rsidP="00B6668D">
      <w:pPr>
        <w:spacing w:line="360" w:lineRule="auto"/>
        <w:jc w:val="both"/>
        <w:rPr>
          <w:rFonts w:ascii="Times New Roman" w:hAnsi="Times New Roman" w:cs="Times New Roman"/>
          <w:i/>
          <w:sz w:val="24"/>
          <w:szCs w:val="24"/>
        </w:rPr>
      </w:pPr>
      <w:bookmarkStart w:id="13" w:name="_Hlk210377933"/>
      <w:r w:rsidRPr="00BE5472">
        <w:rPr>
          <w:rFonts w:ascii="Times New Roman" w:hAnsi="Times New Roman" w:cs="Times New Roman"/>
          <w:i/>
          <w:sz w:val="24"/>
          <w:szCs w:val="24"/>
        </w:rPr>
        <w:t>H2: U hotelskom sektoru na području Republike Hrvatske dominanto su prisutne horizontalne razvojne strategije koje se provode procesima spajanja i preuzimanja.</w:t>
      </w:r>
    </w:p>
    <w:bookmarkEnd w:id="13"/>
    <w:p w14:paraId="109E875F" w14:textId="77777777" w:rsidR="00B6668D" w:rsidRPr="00BE5472" w:rsidRDefault="00B6668D" w:rsidP="00B6668D">
      <w:pPr>
        <w:spacing w:line="360" w:lineRule="auto"/>
        <w:jc w:val="both"/>
        <w:rPr>
          <w:rFonts w:ascii="Times New Roman" w:hAnsi="Times New Roman" w:cs="Times New Roman"/>
          <w:sz w:val="24"/>
          <w:szCs w:val="24"/>
        </w:rPr>
      </w:pPr>
    </w:p>
    <w:p w14:paraId="2CBBFC6A" w14:textId="26B45631"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Horizontalna integracija jedna je od konkurentskih strategija koj</w:t>
      </w:r>
      <w:r w:rsidR="006810AE" w:rsidRPr="00BE5472">
        <w:rPr>
          <w:rFonts w:ascii="Times New Roman" w:hAnsi="Times New Roman" w:cs="Times New Roman"/>
          <w:sz w:val="24"/>
          <w:szCs w:val="24"/>
        </w:rPr>
        <w:t>om</w:t>
      </w:r>
      <w:r w:rsidRPr="00BE5472">
        <w:rPr>
          <w:rFonts w:ascii="Times New Roman" w:hAnsi="Times New Roman" w:cs="Times New Roman"/>
          <w:sz w:val="24"/>
          <w:szCs w:val="24"/>
        </w:rPr>
        <w:t xml:space="preserve"> </w:t>
      </w:r>
      <w:r w:rsidR="006810AE" w:rsidRPr="00BE5472">
        <w:rPr>
          <w:rFonts w:ascii="Times New Roman" w:hAnsi="Times New Roman" w:cs="Times New Roman"/>
          <w:sz w:val="24"/>
          <w:szCs w:val="24"/>
        </w:rPr>
        <w:t xml:space="preserve">se </w:t>
      </w:r>
      <w:r w:rsidRPr="00BE5472">
        <w:rPr>
          <w:rFonts w:ascii="Times New Roman" w:hAnsi="Times New Roman" w:cs="Times New Roman"/>
          <w:sz w:val="24"/>
          <w:szCs w:val="24"/>
        </w:rPr>
        <w:t>koriste poduzeća s ciljem rasta i širenja vlastitog poslovanja. Tako poduzeće širi poslovanje na istoj razini lanca vrijednosti i najčešće u istim ili sličnim industrijama. Poduzeće može preuzeti drugo poduzeće ili se s njim može spojiti. Horizontalne integracije dovode do povećanja ekonomije obujma</w:t>
      </w:r>
      <w:r w:rsidR="006810AE" w:rsidRPr="00BE5472">
        <w:rPr>
          <w:rFonts w:ascii="Times New Roman" w:hAnsi="Times New Roman" w:cs="Times New Roman"/>
          <w:sz w:val="24"/>
          <w:szCs w:val="24"/>
        </w:rPr>
        <w:t>,</w:t>
      </w:r>
      <w:r w:rsidRPr="00BE5472">
        <w:rPr>
          <w:rFonts w:ascii="Times New Roman" w:hAnsi="Times New Roman" w:cs="Times New Roman"/>
          <w:sz w:val="24"/>
          <w:szCs w:val="24"/>
        </w:rPr>
        <w:t xml:space="preserve"> čime se smanjuju operativni troškovi, povećava tržišni udjel i moć jer poduzeće lakše i brže stiže do novog tržišta i, u konačnici, poduzeće ima manju konkurenciju. Ovom se hipotezom istražilo koje su razvojne </w:t>
      </w:r>
      <w:r w:rsidRPr="00BE5472">
        <w:rPr>
          <w:rFonts w:ascii="Times New Roman" w:hAnsi="Times New Roman" w:cs="Times New Roman"/>
          <w:sz w:val="24"/>
          <w:szCs w:val="24"/>
        </w:rPr>
        <w:lastRenderedPageBreak/>
        <w:t>strategije dominantno prisutne u procesima spajanja i preuzimanja koji se provode u hotelskom sektoru na području Republike Hrvatske.</w:t>
      </w:r>
    </w:p>
    <w:p w14:paraId="42CF2B20" w14:textId="77777777" w:rsidR="00B6668D" w:rsidRPr="00BE5472" w:rsidRDefault="00B6668D" w:rsidP="00B6668D">
      <w:pPr>
        <w:spacing w:line="360" w:lineRule="auto"/>
        <w:jc w:val="both"/>
        <w:rPr>
          <w:rFonts w:ascii="Times New Roman" w:hAnsi="Times New Roman" w:cs="Times New Roman"/>
          <w:sz w:val="24"/>
          <w:szCs w:val="24"/>
        </w:rPr>
      </w:pPr>
    </w:p>
    <w:p w14:paraId="20B64271" w14:textId="6118AF82" w:rsidR="00B6668D" w:rsidRPr="00BE5472" w:rsidRDefault="00B6668D" w:rsidP="00B6668D">
      <w:pPr>
        <w:spacing w:line="360" w:lineRule="auto"/>
        <w:jc w:val="both"/>
        <w:rPr>
          <w:rFonts w:ascii="Times New Roman" w:hAnsi="Times New Roman" w:cs="Times New Roman"/>
          <w:i/>
          <w:color w:val="FF0000"/>
          <w:sz w:val="24"/>
          <w:szCs w:val="24"/>
        </w:rPr>
      </w:pPr>
      <w:r w:rsidRPr="00BE5472">
        <w:rPr>
          <w:rFonts w:ascii="Times New Roman" w:hAnsi="Times New Roman" w:cs="Times New Roman"/>
          <w:i/>
          <w:sz w:val="24"/>
          <w:szCs w:val="24"/>
        </w:rPr>
        <w:t>H3: Procesi spajanja i preuzimanja u hotelskom sektoru u Republici Hrvatskoj rezultira</w:t>
      </w:r>
      <w:r w:rsidR="00152A37" w:rsidRPr="00BE5472">
        <w:rPr>
          <w:rFonts w:ascii="Times New Roman" w:hAnsi="Times New Roman" w:cs="Times New Roman"/>
          <w:i/>
          <w:sz w:val="24"/>
          <w:szCs w:val="24"/>
        </w:rPr>
        <w:t>ju</w:t>
      </w:r>
      <w:r w:rsidRPr="00BE5472">
        <w:rPr>
          <w:rFonts w:ascii="Times New Roman" w:hAnsi="Times New Roman" w:cs="Times New Roman"/>
          <w:i/>
          <w:sz w:val="24"/>
          <w:szCs w:val="24"/>
        </w:rPr>
        <w:t xml:space="preserve"> boljim ključnim pokazateljima uspješnosti (KPI) poduzeća preuzimatelja nakon završetka procesa u usporedbi s istim pokazateljima u razdoblju prije provedenog procesa</w:t>
      </w:r>
      <w:r w:rsidR="00307B59" w:rsidRPr="00BE5472">
        <w:rPr>
          <w:rFonts w:ascii="Times New Roman" w:hAnsi="Times New Roman" w:cs="Times New Roman"/>
          <w:i/>
          <w:sz w:val="24"/>
          <w:szCs w:val="24"/>
        </w:rPr>
        <w:t>.</w:t>
      </w:r>
      <w:r w:rsidRPr="00BE5472">
        <w:rPr>
          <w:rFonts w:ascii="Times New Roman" w:hAnsi="Times New Roman" w:cs="Times New Roman"/>
          <w:i/>
          <w:color w:val="FF0000"/>
          <w:sz w:val="24"/>
          <w:szCs w:val="24"/>
        </w:rPr>
        <w:t xml:space="preserve"> </w:t>
      </w:r>
    </w:p>
    <w:p w14:paraId="0B1FBE66" w14:textId="77777777" w:rsidR="00B6668D" w:rsidRPr="00BE5472" w:rsidRDefault="00B6668D" w:rsidP="00B6668D">
      <w:pPr>
        <w:spacing w:line="360" w:lineRule="auto"/>
        <w:jc w:val="both"/>
        <w:rPr>
          <w:rFonts w:ascii="Times New Roman" w:hAnsi="Times New Roman" w:cs="Times New Roman"/>
          <w:sz w:val="24"/>
          <w:szCs w:val="24"/>
        </w:rPr>
      </w:pPr>
    </w:p>
    <w:p w14:paraId="1D79ACB3" w14:textId="55E341ED" w:rsidR="00B6668D" w:rsidRPr="00BE5472" w:rsidRDefault="00B6668D" w:rsidP="00B6668D">
      <w:pPr>
        <w:spacing w:line="360" w:lineRule="auto"/>
        <w:jc w:val="both"/>
        <w:rPr>
          <w:rFonts w:ascii="Times New Roman" w:hAnsi="Times New Roman" w:cs="Times New Roman"/>
          <w:b/>
          <w:color w:val="FF0000"/>
          <w:sz w:val="24"/>
          <w:szCs w:val="24"/>
        </w:rPr>
      </w:pPr>
      <w:bookmarkStart w:id="14" w:name="_Hlk210377989"/>
      <w:r w:rsidRPr="00BE5472">
        <w:rPr>
          <w:rFonts w:ascii="Times New Roman" w:hAnsi="Times New Roman" w:cs="Times New Roman"/>
          <w:i/>
          <w:sz w:val="24"/>
          <w:szCs w:val="24"/>
        </w:rPr>
        <w:t xml:space="preserve">H3a: </w:t>
      </w:r>
      <w:r w:rsidR="00C7233C" w:rsidRPr="00BE5472">
        <w:rPr>
          <w:rFonts w:ascii="Times New Roman" w:hAnsi="Times New Roman" w:cs="Times New Roman"/>
          <w:i/>
          <w:sz w:val="24"/>
          <w:szCs w:val="24"/>
        </w:rPr>
        <w:t xml:space="preserve">Proces spajanja i preuzimanja rezultirati će boljim </w:t>
      </w:r>
      <w:r w:rsidR="003D0138" w:rsidRPr="00BE5472">
        <w:rPr>
          <w:rFonts w:ascii="Times New Roman" w:hAnsi="Times New Roman" w:cs="Times New Roman"/>
          <w:i/>
          <w:sz w:val="24"/>
          <w:szCs w:val="24"/>
        </w:rPr>
        <w:t xml:space="preserve">financijskim pokazateljima uspješnosti u usporedbi s istim </w:t>
      </w:r>
      <w:r w:rsidR="00D060C1" w:rsidRPr="00BE5472">
        <w:rPr>
          <w:rFonts w:ascii="Times New Roman" w:hAnsi="Times New Roman" w:cs="Times New Roman"/>
          <w:i/>
          <w:sz w:val="24"/>
          <w:szCs w:val="24"/>
        </w:rPr>
        <w:t>pokazateljima u ra</w:t>
      </w:r>
      <w:r w:rsidR="00D72D39" w:rsidRPr="00BE5472">
        <w:rPr>
          <w:rFonts w:ascii="Times New Roman" w:hAnsi="Times New Roman" w:cs="Times New Roman"/>
          <w:i/>
          <w:sz w:val="24"/>
          <w:szCs w:val="24"/>
        </w:rPr>
        <w:t>z</w:t>
      </w:r>
      <w:r w:rsidR="00D060C1" w:rsidRPr="00BE5472">
        <w:rPr>
          <w:rFonts w:ascii="Times New Roman" w:hAnsi="Times New Roman" w:cs="Times New Roman"/>
          <w:i/>
          <w:sz w:val="24"/>
          <w:szCs w:val="24"/>
        </w:rPr>
        <w:t xml:space="preserve">doblju prije provedenog procesa. </w:t>
      </w:r>
      <w:bookmarkEnd w:id="14"/>
    </w:p>
    <w:p w14:paraId="4820DD58" w14:textId="0A650C06" w:rsidR="00DE0275" w:rsidRPr="00BE5472" w:rsidRDefault="00B6668D" w:rsidP="00B6668D">
      <w:pPr>
        <w:spacing w:line="360" w:lineRule="auto"/>
        <w:jc w:val="both"/>
        <w:rPr>
          <w:rFonts w:ascii="Times New Roman" w:hAnsi="Times New Roman" w:cs="Times New Roman"/>
          <w:i/>
          <w:sz w:val="24"/>
          <w:szCs w:val="24"/>
        </w:rPr>
      </w:pPr>
      <w:bookmarkStart w:id="15" w:name="_Hlk210378011"/>
      <w:r w:rsidRPr="00BE5472">
        <w:rPr>
          <w:rFonts w:ascii="Times New Roman" w:hAnsi="Times New Roman" w:cs="Times New Roman"/>
          <w:i/>
          <w:sz w:val="24"/>
          <w:szCs w:val="24"/>
        </w:rPr>
        <w:t xml:space="preserve">H3b: </w:t>
      </w:r>
      <w:bookmarkEnd w:id="15"/>
      <w:r w:rsidR="008E10DA" w:rsidRPr="00BE5472">
        <w:rPr>
          <w:rFonts w:ascii="Times New Roman" w:hAnsi="Times New Roman" w:cs="Times New Roman"/>
          <w:i/>
          <w:sz w:val="24"/>
          <w:szCs w:val="24"/>
        </w:rPr>
        <w:t xml:space="preserve">Proces spajanja i preuzimanja rezultirati će boljim </w:t>
      </w:r>
      <w:r w:rsidR="00DD14E6" w:rsidRPr="00BE5472">
        <w:rPr>
          <w:rFonts w:ascii="Times New Roman" w:hAnsi="Times New Roman" w:cs="Times New Roman"/>
          <w:i/>
          <w:sz w:val="24"/>
          <w:szCs w:val="24"/>
        </w:rPr>
        <w:t>tržišnim</w:t>
      </w:r>
      <w:r w:rsidR="008E10DA" w:rsidRPr="00BE5472">
        <w:rPr>
          <w:rFonts w:ascii="Times New Roman" w:hAnsi="Times New Roman" w:cs="Times New Roman"/>
          <w:i/>
          <w:sz w:val="24"/>
          <w:szCs w:val="24"/>
        </w:rPr>
        <w:t xml:space="preserve"> pokazateljima uspješnosti u usporedbi s istim pokazateljima u ra</w:t>
      </w:r>
      <w:r w:rsidR="00D72D39" w:rsidRPr="00BE5472">
        <w:rPr>
          <w:rFonts w:ascii="Times New Roman" w:hAnsi="Times New Roman" w:cs="Times New Roman"/>
          <w:i/>
          <w:sz w:val="24"/>
          <w:szCs w:val="24"/>
        </w:rPr>
        <w:t>z</w:t>
      </w:r>
      <w:r w:rsidR="008E10DA" w:rsidRPr="00BE5472">
        <w:rPr>
          <w:rFonts w:ascii="Times New Roman" w:hAnsi="Times New Roman" w:cs="Times New Roman"/>
          <w:i/>
          <w:sz w:val="24"/>
          <w:szCs w:val="24"/>
        </w:rPr>
        <w:t>doblju prije provedenog procesa.</w:t>
      </w:r>
    </w:p>
    <w:p w14:paraId="623B630D" w14:textId="42D3884D" w:rsidR="008E10DA" w:rsidRPr="00BE5472" w:rsidRDefault="008E10DA" w:rsidP="00B6668D">
      <w:pPr>
        <w:spacing w:line="360" w:lineRule="auto"/>
        <w:jc w:val="both"/>
        <w:rPr>
          <w:rFonts w:ascii="Times New Roman" w:hAnsi="Times New Roman" w:cs="Times New Roman"/>
          <w:i/>
          <w:sz w:val="24"/>
          <w:szCs w:val="24"/>
        </w:rPr>
      </w:pPr>
      <w:r w:rsidRPr="00BE5472">
        <w:rPr>
          <w:rFonts w:ascii="Times New Roman" w:hAnsi="Times New Roman" w:cs="Times New Roman"/>
          <w:i/>
          <w:sz w:val="24"/>
          <w:szCs w:val="24"/>
        </w:rPr>
        <w:t xml:space="preserve"> </w:t>
      </w:r>
    </w:p>
    <w:p w14:paraId="00C5BC82" w14:textId="03EAC7E1" w:rsidR="00DE0275" w:rsidRPr="00BE5472" w:rsidRDefault="00DE0275" w:rsidP="00DE0275">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Mjerenje uspješnosti procesa spajanja i preuzimanja predstavlja kompleksan zadatak koji zahtijeva analizu različitih skupina pokazatelja kako bi se dobio uvid u stvarne učinke provedenih strategija. Financijski pokazatelji uspješnosti, poput operativne profitabilnosti (EBITDA), pokazatelja profitabilnosti (ROA, ROE) te likvidnosti i zaduženosti, služe kao temelj za ocjenu interne efikasnosti i financijske stabilnosti nakon integracije. S druge strane, tržišni pokazatelji, koji uključuju vrijednost dionica i tržišni udio, reflektiraju percepciju investitora i konkurentsku poziciju poduzeća na tržištu. Ovom hipotezom istražuju se promjene u performansama odabranih hotelskih poduzeća u Republici Hrvatskoj (Plava laguna, Valamar, Maistra i Aminess) uspo</w:t>
      </w:r>
      <w:r w:rsidR="006810AE" w:rsidRPr="00BE5472">
        <w:rPr>
          <w:rFonts w:ascii="Times New Roman" w:hAnsi="Times New Roman" w:cs="Times New Roman"/>
          <w:sz w:val="24"/>
          <w:szCs w:val="24"/>
        </w:rPr>
        <w:t>redbom njihovih rezultata u preda</w:t>
      </w:r>
      <w:r w:rsidRPr="00BE5472">
        <w:rPr>
          <w:rFonts w:ascii="Times New Roman" w:hAnsi="Times New Roman" w:cs="Times New Roman"/>
          <w:sz w:val="24"/>
          <w:szCs w:val="24"/>
        </w:rPr>
        <w:t>kvizicijskom razdoblju s rezultatima ostvarenim nakon stabilizacije poslovanja po završenom preuzimanju.</w:t>
      </w:r>
    </w:p>
    <w:p w14:paraId="4111300F" w14:textId="77777777" w:rsidR="00B6668D" w:rsidRPr="00BE5472" w:rsidRDefault="00B6668D" w:rsidP="00B6668D">
      <w:pPr>
        <w:spacing w:line="360" w:lineRule="auto"/>
        <w:jc w:val="both"/>
        <w:rPr>
          <w:rFonts w:ascii="Times New Roman" w:hAnsi="Times New Roman" w:cs="Times New Roman"/>
          <w:bCs/>
          <w:sz w:val="24"/>
          <w:szCs w:val="24"/>
        </w:rPr>
      </w:pPr>
    </w:p>
    <w:p w14:paraId="4B6D9859" w14:textId="6102A979" w:rsidR="00B6668D" w:rsidRPr="00BE5472" w:rsidRDefault="00B6668D" w:rsidP="00B6668D">
      <w:pPr>
        <w:spacing w:line="360" w:lineRule="auto"/>
        <w:jc w:val="both"/>
        <w:rPr>
          <w:rFonts w:ascii="Times New Roman" w:hAnsi="Times New Roman" w:cs="Times New Roman"/>
          <w:bCs/>
          <w:i/>
          <w:color w:val="FF0000"/>
          <w:sz w:val="24"/>
          <w:szCs w:val="24"/>
        </w:rPr>
      </w:pPr>
      <w:r w:rsidRPr="00BE5472">
        <w:rPr>
          <w:rFonts w:ascii="Times New Roman" w:hAnsi="Times New Roman" w:cs="Times New Roman"/>
          <w:bCs/>
          <w:i/>
          <w:sz w:val="24"/>
          <w:szCs w:val="24"/>
        </w:rPr>
        <w:t>H4: Hotelska poduzeća koja se odluč</w:t>
      </w:r>
      <w:r w:rsidR="0027685A" w:rsidRPr="00BE5472">
        <w:rPr>
          <w:rFonts w:ascii="Times New Roman" w:hAnsi="Times New Roman" w:cs="Times New Roman"/>
          <w:bCs/>
          <w:i/>
          <w:sz w:val="24"/>
          <w:szCs w:val="24"/>
        </w:rPr>
        <w:t>e</w:t>
      </w:r>
      <w:r w:rsidRPr="00BE5472">
        <w:rPr>
          <w:rFonts w:ascii="Times New Roman" w:hAnsi="Times New Roman" w:cs="Times New Roman"/>
          <w:bCs/>
          <w:i/>
          <w:sz w:val="24"/>
          <w:szCs w:val="24"/>
        </w:rPr>
        <w:t xml:space="preserve"> za vanjski rast (kroz procese spajanja i preuzimanja) ostvar</w:t>
      </w:r>
      <w:r w:rsidR="00AC0FD5" w:rsidRPr="00BE5472">
        <w:rPr>
          <w:rFonts w:ascii="Times New Roman" w:hAnsi="Times New Roman" w:cs="Times New Roman"/>
          <w:bCs/>
          <w:i/>
          <w:sz w:val="24"/>
          <w:szCs w:val="24"/>
        </w:rPr>
        <w:t>uju</w:t>
      </w:r>
      <w:r w:rsidRPr="00BE5472">
        <w:rPr>
          <w:rFonts w:ascii="Times New Roman" w:hAnsi="Times New Roman" w:cs="Times New Roman"/>
          <w:bCs/>
          <w:i/>
          <w:sz w:val="24"/>
          <w:szCs w:val="24"/>
        </w:rPr>
        <w:t xml:space="preserve"> bolje ključne financijske i tržišne pokazatelje uspješnosti od poduzeća koja se odluč</w:t>
      </w:r>
      <w:r w:rsidR="00AC0FD5" w:rsidRPr="00BE5472">
        <w:rPr>
          <w:rFonts w:ascii="Times New Roman" w:hAnsi="Times New Roman" w:cs="Times New Roman"/>
          <w:bCs/>
          <w:i/>
          <w:sz w:val="24"/>
          <w:szCs w:val="24"/>
        </w:rPr>
        <w:t>e</w:t>
      </w:r>
      <w:r w:rsidRPr="00BE5472">
        <w:rPr>
          <w:rFonts w:ascii="Times New Roman" w:hAnsi="Times New Roman" w:cs="Times New Roman"/>
          <w:bCs/>
          <w:i/>
          <w:sz w:val="24"/>
          <w:szCs w:val="24"/>
        </w:rPr>
        <w:t xml:space="preserve"> za organski rast</w:t>
      </w:r>
      <w:r w:rsidR="006810AE" w:rsidRPr="00BE5472">
        <w:rPr>
          <w:rFonts w:ascii="Times New Roman" w:hAnsi="Times New Roman" w:cs="Times New Roman"/>
          <w:bCs/>
          <w:i/>
          <w:sz w:val="24"/>
          <w:szCs w:val="24"/>
        </w:rPr>
        <w:t>.</w:t>
      </w:r>
    </w:p>
    <w:p w14:paraId="5A96CEB6" w14:textId="10A31F4C" w:rsidR="004553D4" w:rsidRPr="00BE5472" w:rsidRDefault="004553D4" w:rsidP="00B6668D">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lastRenderedPageBreak/>
        <w:t>Rast p</w:t>
      </w:r>
      <w:r w:rsidR="006810AE" w:rsidRPr="00BE5472">
        <w:rPr>
          <w:rFonts w:ascii="Times New Roman" w:hAnsi="Times New Roman" w:cs="Times New Roman"/>
          <w:bCs/>
          <w:sz w:val="24"/>
          <w:szCs w:val="24"/>
        </w:rPr>
        <w:t>oduzeća može se ostvariti dvjema osnovnim strategijam</w:t>
      </w:r>
      <w:r w:rsidR="00D72D39" w:rsidRPr="00BE5472">
        <w:rPr>
          <w:rFonts w:ascii="Times New Roman" w:hAnsi="Times New Roman" w:cs="Times New Roman"/>
          <w:bCs/>
          <w:sz w:val="24"/>
          <w:szCs w:val="24"/>
        </w:rPr>
        <w:t>a</w:t>
      </w:r>
      <w:r w:rsidRPr="00BE5472">
        <w:rPr>
          <w:rFonts w:ascii="Times New Roman" w:hAnsi="Times New Roman" w:cs="Times New Roman"/>
          <w:bCs/>
          <w:sz w:val="24"/>
          <w:szCs w:val="24"/>
        </w:rPr>
        <w:t>: organskim (unutarnjim) razvojem temeljenim na vlastitim resursima ili anorganskim (vanjskim) rastom putem procesa spajanja i preuzimanja. Dok organski rast podrazumijeva postupan razvoj kapaciteta i tržišnog udjela, anorganski rast omogućuje brzu ekspanziju, trenut</w:t>
      </w:r>
      <w:r w:rsidR="009F3C04" w:rsidRPr="00BE5472">
        <w:rPr>
          <w:rFonts w:ascii="Times New Roman" w:hAnsi="Times New Roman" w:cs="Times New Roman"/>
          <w:bCs/>
          <w:sz w:val="24"/>
          <w:szCs w:val="24"/>
        </w:rPr>
        <w:t>ač</w:t>
      </w:r>
      <w:r w:rsidRPr="00BE5472">
        <w:rPr>
          <w:rFonts w:ascii="Times New Roman" w:hAnsi="Times New Roman" w:cs="Times New Roman"/>
          <w:bCs/>
          <w:sz w:val="24"/>
          <w:szCs w:val="24"/>
        </w:rPr>
        <w:t xml:space="preserve">ni ulazak na nova tržišta i pristup novim resursima, iako uz veće inicijalne troškove i rizike. Ovom hipotezom nastoji se utvrditi dovodi li strategija vanjskog rasta do sustavno boljih performansi u usporedbi s modelom isključivo organskog razvoja. U tu svrhu provodi se usporedna analiza financijskih i tržišnih pokazatelja uspješnosti između vodećih hotelskih poduzeća koja su provela akvizicije i onih koja su svoj rast temeljila na unutarnjim investicijama u postojeće objekte. Analiza trendova i testiranje statističke značajnosti razlika omogućit će ocjenu opravdanosti akvizicijskih strategija kao generatora nove vrijednosti </w:t>
      </w:r>
      <w:r w:rsidR="00215A72">
        <w:rPr>
          <w:rFonts w:ascii="Times New Roman" w:hAnsi="Times New Roman" w:cs="Times New Roman"/>
          <w:bCs/>
          <w:sz w:val="24"/>
          <w:szCs w:val="24"/>
        </w:rPr>
        <w:t>na primjeru u</w:t>
      </w:r>
      <w:r w:rsidRPr="00BE5472">
        <w:rPr>
          <w:rFonts w:ascii="Times New Roman" w:hAnsi="Times New Roman" w:cs="Times New Roman"/>
          <w:bCs/>
          <w:sz w:val="24"/>
          <w:szCs w:val="24"/>
        </w:rPr>
        <w:t xml:space="preserve"> hotelskom sektoru.</w:t>
      </w:r>
    </w:p>
    <w:p w14:paraId="21ABED75" w14:textId="06236A9B" w:rsidR="00C47D06" w:rsidRPr="00BE5472" w:rsidRDefault="000628BF" w:rsidP="00B6668D">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Provjera postavljenih hipoteza provest će se kombinacijom </w:t>
      </w:r>
      <w:r w:rsidRPr="00BE5472">
        <w:rPr>
          <w:rFonts w:ascii="Times New Roman" w:hAnsi="Times New Roman" w:cs="Times New Roman"/>
          <w:sz w:val="24"/>
          <w:szCs w:val="24"/>
        </w:rPr>
        <w:t>kvalitativne metodologije (za analizu kritičnih čimbenika procesa) i kvantitativne statističke analize</w:t>
      </w:r>
      <w:r w:rsidRPr="00BE5472">
        <w:rPr>
          <w:rFonts w:ascii="Times New Roman" w:hAnsi="Times New Roman" w:cs="Times New Roman"/>
          <w:bCs/>
          <w:sz w:val="24"/>
          <w:szCs w:val="24"/>
        </w:rPr>
        <w:t xml:space="preserve"> (za testiranje razlika u financijskim i tržišnim pokazateljima uspješnosti). Primjenom komparativne metode i analize trendova na odabranom uzorku hotelskih poduzeća, utvrdit će se statistička značajnost utjecaja procesa spajanja i preuzimanja na stvaranje nove vrijednosti. </w:t>
      </w:r>
    </w:p>
    <w:p w14:paraId="152CEEB6" w14:textId="77777777" w:rsidR="00B6668D" w:rsidRPr="00BE5472" w:rsidRDefault="00B6668D" w:rsidP="003D13C0">
      <w:pPr>
        <w:pStyle w:val="Heading2"/>
        <w:rPr>
          <w:rFonts w:ascii="Times New Roman" w:hAnsi="Times New Roman" w:cs="Times New Roman"/>
        </w:rPr>
      </w:pPr>
      <w:bookmarkStart w:id="16" w:name="_Toc210381399"/>
      <w:bookmarkStart w:id="17" w:name="_Toc241865126"/>
      <w:r w:rsidRPr="00BE5472">
        <w:rPr>
          <w:rFonts w:ascii="Times New Roman" w:hAnsi="Times New Roman" w:cs="Times New Roman"/>
        </w:rPr>
        <w:t>1.4. Izvori podataka i metode istraživanja</w:t>
      </w:r>
      <w:bookmarkEnd w:id="16"/>
      <w:bookmarkEnd w:id="17"/>
    </w:p>
    <w:p w14:paraId="60712E07" w14:textId="77777777" w:rsidR="007D3E62" w:rsidRPr="00BE5472" w:rsidRDefault="007D3E62" w:rsidP="007D3E62">
      <w:pPr>
        <w:rPr>
          <w:rFonts w:ascii="Times New Roman" w:hAnsi="Times New Roman" w:cs="Times New Roman"/>
        </w:rPr>
      </w:pPr>
    </w:p>
    <w:p w14:paraId="0C62F418" w14:textId="77777777"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Metodologija istraživanja u okviru ove doktorske disertacije temelji se na sustavnoj analizi sekundarnih i primarnih izvora podataka, čime se osigurava triangulacija metoda i visoka razina pouzdanosti dobivenih rezultata.</w:t>
      </w:r>
    </w:p>
    <w:p w14:paraId="4B3AFAE9" w14:textId="77777777"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Sekundarnim istraživanjem, koje obuhvaća opsežnu metodu „istraživanja za stolom“ (</w:t>
      </w:r>
      <w:r w:rsidRPr="00BE5472">
        <w:rPr>
          <w:rFonts w:ascii="Times New Roman" w:hAnsi="Times New Roman" w:cs="Times New Roman"/>
          <w:i/>
          <w:iCs/>
          <w:sz w:val="24"/>
          <w:szCs w:val="24"/>
        </w:rPr>
        <w:t>desk research</w:t>
      </w:r>
      <w:r w:rsidRPr="00BE5472">
        <w:rPr>
          <w:rFonts w:ascii="Times New Roman" w:hAnsi="Times New Roman" w:cs="Times New Roman"/>
          <w:sz w:val="24"/>
          <w:szCs w:val="24"/>
        </w:rPr>
        <w:t>), prikupljeni su relevantni podaci za oblikovanje teorijskog i kontekstualnog okvira rada. Prvi segment sekundarnih izvora čini relevantna domaća i svjetska znanstvena te stručna literatura iz područja strateškog, turističkog i hotelskog menadžmenta te korporativnih financija. Poseban fokus stavljen je na sustavni pregled dosadašnjih empirijskih studija o spajanjima i preuzimanjima, čime su identificirani ključni teorijski koncepti i modeli mjerenja uspješnosti akvizicija. Spoznaje proizašle iz ove faze ne predstavljaju samo osnovu teoretskog dijela disertacije, već služe i kao temeljno uporište za konceptualizaciju cjelokupnog istraživačkog procesa.</w:t>
      </w:r>
    </w:p>
    <w:p w14:paraId="30B88D58" w14:textId="4D866007"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Drugi segment sekundarnih izvora odnosi se na prikupljanje </w:t>
      </w:r>
      <w:r w:rsidR="00651E97" w:rsidRPr="00BE5472">
        <w:rPr>
          <w:rFonts w:ascii="Times New Roman" w:hAnsi="Times New Roman" w:cs="Times New Roman"/>
          <w:sz w:val="24"/>
          <w:szCs w:val="24"/>
        </w:rPr>
        <w:t>točnih</w:t>
      </w:r>
      <w:r w:rsidRPr="00BE5472">
        <w:rPr>
          <w:rFonts w:ascii="Times New Roman" w:hAnsi="Times New Roman" w:cs="Times New Roman"/>
          <w:sz w:val="24"/>
          <w:szCs w:val="24"/>
        </w:rPr>
        <w:t xml:space="preserve"> podataka o poslovanju poduzeća i realiziranim transakcijama na tržištu kapitala. S obzirom na to da u Republici Hrvatskoj ne postoji centralizirana službena baza o procesima spajanja i preuzimanja u hotelskom sektoru, podaci su crpljeni iz više neovisnih izvora radi osiguravanja pouzdanosti. To uključuje dubinsku analizu godišnjih financijskih izvještaja poduzeća, službenih objava Zagrebačke burze te specijaliziranih baza poslovnih podataka poput servisa Financijske agencije (FINA info.BIZ). Ovakav pristup omogućio je precizno mapiranje horizontalnih integracija i prikupljanje financijskih i tržišnih pokazatelja (KPI) koji su nužni za testiranje postavljenih hipoteza.</w:t>
      </w:r>
    </w:p>
    <w:p w14:paraId="3313347F" w14:textId="77777777"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obradi svih prikupljenih sekundarnih izvora korištene su odgovarajuće znanstveno-istraživačke metode, uključujući metode analize i sinteze, apstrakcije, konkretizacije, generalizacije, indukcije i dedukcije te komparativne metode. Poseban naglasak stavljen je na metodu deskripcije i klasifikacije prikupljenih podataka, čime je omogućeno strukturiranje baze podataka za kasniju statističku obradu. Ova faza istraživanja omogućila je kritički osvrt na postojeće modele, poput onog koji su razvili Kim i Olsen (1999), te je poslužila kao osnova za razvoj mjernog instrumenta koji će se primijeniti u primarnom dijelu istraživanja.</w:t>
      </w:r>
    </w:p>
    <w:p w14:paraId="02D1C994" w14:textId="675EBC07"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Uz prikupljanje podataka iz sekundarnih izvora, provedeno je kompleksno primarno istraživanje koje obuhvaća kvalitativni i kvantitativni pristup, postavljeno hijerarhijski kroz tri ključne faze. Prva faza obuhvaća izviđajno istraživanje primjenom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metode. </w:t>
      </w:r>
      <w:r w:rsidR="003D1B43" w:rsidRPr="00BE5472">
        <w:rPr>
          <w:rFonts w:ascii="Times New Roman" w:hAnsi="Times New Roman" w:cs="Times New Roman"/>
          <w:sz w:val="24"/>
          <w:szCs w:val="24"/>
        </w:rPr>
        <w:t>Svrha ove istraživačke tehnike bil</w:t>
      </w:r>
      <w:r w:rsidRPr="00BE5472">
        <w:rPr>
          <w:rFonts w:ascii="Times New Roman" w:hAnsi="Times New Roman" w:cs="Times New Roman"/>
          <w:sz w:val="24"/>
          <w:szCs w:val="24"/>
        </w:rPr>
        <w:t xml:space="preserve">a je </w:t>
      </w:r>
      <w:r w:rsidR="003D1B43" w:rsidRPr="00BE5472">
        <w:rPr>
          <w:rFonts w:ascii="Times New Roman" w:hAnsi="Times New Roman" w:cs="Times New Roman"/>
          <w:sz w:val="24"/>
          <w:szCs w:val="24"/>
        </w:rPr>
        <w:t>pri</w:t>
      </w:r>
      <w:r w:rsidRPr="00BE5472">
        <w:rPr>
          <w:rFonts w:ascii="Times New Roman" w:hAnsi="Times New Roman" w:cs="Times New Roman"/>
          <w:sz w:val="24"/>
          <w:szCs w:val="24"/>
        </w:rPr>
        <w:t xml:space="preserve">kupljanje stručnog i znanstvenog mišljenja te iskustava eksperata (znanstvenika, konzultanta i menadžera) kako bi se dobio dubinski uvid u aspekte procesa spajanja i preuzimanja u hrvatskom hotelijerstvu. </w:t>
      </w:r>
      <w:r w:rsidR="00F87611" w:rsidRPr="00BE5472">
        <w:rPr>
          <w:rFonts w:ascii="Times New Roman" w:hAnsi="Times New Roman" w:cs="Times New Roman"/>
          <w:sz w:val="24"/>
          <w:szCs w:val="24"/>
        </w:rPr>
        <w:t>Tijekom</w:t>
      </w:r>
      <w:r w:rsidRPr="00BE5472">
        <w:rPr>
          <w:rFonts w:ascii="Times New Roman" w:hAnsi="Times New Roman" w:cs="Times New Roman"/>
          <w:sz w:val="24"/>
          <w:szCs w:val="24"/>
        </w:rPr>
        <w:t xml:space="preserve"> nekoliko krugova ispitivanja i uz osiguranu anonimnost,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metoda omogućila </w:t>
      </w:r>
      <w:r w:rsidR="003D1B43" w:rsidRPr="00BE5472">
        <w:rPr>
          <w:rFonts w:ascii="Times New Roman" w:hAnsi="Times New Roman" w:cs="Times New Roman"/>
          <w:sz w:val="24"/>
          <w:szCs w:val="24"/>
        </w:rPr>
        <w:t xml:space="preserve">je </w:t>
      </w:r>
      <w:r w:rsidRPr="00BE5472">
        <w:rPr>
          <w:rFonts w:ascii="Times New Roman" w:hAnsi="Times New Roman" w:cs="Times New Roman"/>
          <w:sz w:val="24"/>
          <w:szCs w:val="24"/>
        </w:rPr>
        <w:t>prilagodbu mjernog instrumenta temeljenog na modelu autora Kima i Olsena (1999). Rezultat ove faze je usuglašeni anketni upitnik koji sadrži ključne čimbenike uspješnosti koje valja pratiti u svim fazama integracijskog procesa.</w:t>
      </w:r>
    </w:p>
    <w:p w14:paraId="452ED349" w14:textId="6F4ADA9E"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Druga faza primarnog istraživanja odnosi se na izviđajno istraživanje tehnikom osobnog intervjua, s ciljem prikupljanja informacija o načinu i obilježjima stvarno provedenih procesa u Republici Hrvatskoj. Na uzorku predstavnika četiri poduzeća preuzimatelja (</w:t>
      </w:r>
      <w:r w:rsidRPr="00BE5472">
        <w:rPr>
          <w:rFonts w:ascii="Times New Roman" w:hAnsi="Times New Roman" w:cs="Times New Roman"/>
          <w:i/>
          <w:sz w:val="24"/>
          <w:szCs w:val="24"/>
        </w:rPr>
        <w:t xml:space="preserve">Plava laguna, Valamar Riviera, Maistra/Adris </w:t>
      </w:r>
      <w:r w:rsidRPr="00BE5472">
        <w:rPr>
          <w:rFonts w:ascii="Times New Roman" w:hAnsi="Times New Roman" w:cs="Times New Roman"/>
          <w:sz w:val="24"/>
          <w:szCs w:val="24"/>
        </w:rPr>
        <w:t>i</w:t>
      </w:r>
      <w:r w:rsidRPr="00BE5472">
        <w:rPr>
          <w:rFonts w:ascii="Times New Roman" w:hAnsi="Times New Roman" w:cs="Times New Roman"/>
          <w:i/>
          <w:sz w:val="24"/>
          <w:szCs w:val="24"/>
        </w:rPr>
        <w:t xml:space="preserve"> Laguna Novigrad</w:t>
      </w:r>
      <w:r w:rsidRPr="00BE5472">
        <w:rPr>
          <w:rFonts w:ascii="Times New Roman" w:hAnsi="Times New Roman" w:cs="Times New Roman"/>
          <w:sz w:val="24"/>
          <w:szCs w:val="24"/>
        </w:rPr>
        <w:t>) provedeni su polustrukturirani intervjui koji su obuhvatili tri razine menadžmenta: stratešku, funkcijsku i operativnu. Ovim pristupom ispitane su pojedinosti</w:t>
      </w:r>
      <w:r w:rsidR="003D1B43" w:rsidRPr="00BE5472">
        <w:rPr>
          <w:rFonts w:ascii="Times New Roman" w:hAnsi="Times New Roman" w:cs="Times New Roman"/>
          <w:sz w:val="24"/>
          <w:szCs w:val="24"/>
        </w:rPr>
        <w:t xml:space="preserve"> planiranja, realizacije i post</w:t>
      </w:r>
      <w:r w:rsidRPr="00BE5472">
        <w:rPr>
          <w:rFonts w:ascii="Times New Roman" w:hAnsi="Times New Roman" w:cs="Times New Roman"/>
          <w:sz w:val="24"/>
          <w:szCs w:val="24"/>
        </w:rPr>
        <w:t xml:space="preserve">akvizicijskog praćenja procesa. Dobiveni podaci omogućili su </w:t>
      </w:r>
      <w:r w:rsidRPr="00BE5472">
        <w:rPr>
          <w:rFonts w:ascii="Times New Roman" w:hAnsi="Times New Roman" w:cs="Times New Roman"/>
          <w:sz w:val="24"/>
          <w:szCs w:val="24"/>
        </w:rPr>
        <w:lastRenderedPageBreak/>
        <w:t>povezivanje zavisnih varijabli (pokazatelji uspješnosti) i nezavisnih varijabli (čimbenici u predintegracijskoj i integracijskoj fazi), uz provjeru pouzdanosti mjerne ljestvice Cronbach Alfa koeficijentom.</w:t>
      </w:r>
    </w:p>
    <w:p w14:paraId="306C6AEB" w14:textId="37ADFD2C" w:rsidR="001F5934" w:rsidRPr="00BE5472" w:rsidRDefault="001F5934" w:rsidP="001F5934">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Treća faza istraživanja temelji se na opisnom istraživanju i analizi poslovne uspješnosti. Svrha </w:t>
      </w:r>
      <w:r w:rsidR="003D1B43" w:rsidRPr="00BE5472">
        <w:rPr>
          <w:rFonts w:ascii="Times New Roman" w:hAnsi="Times New Roman" w:cs="Times New Roman"/>
          <w:sz w:val="24"/>
          <w:szCs w:val="24"/>
        </w:rPr>
        <w:t xml:space="preserve">je </w:t>
      </w:r>
      <w:r w:rsidRPr="00BE5472">
        <w:rPr>
          <w:rFonts w:ascii="Times New Roman" w:hAnsi="Times New Roman" w:cs="Times New Roman"/>
          <w:sz w:val="24"/>
          <w:szCs w:val="24"/>
        </w:rPr>
        <w:t>ove faze istražiti učinke provedenih spajanja i preuzimanja kroz analizu ključnih financijskih, hotelskih i tržišnih pokazatelja uspješnosti (KPI) poduzeća preuzimatelja i meta. Analiza obuhvaća usporedbu pokazatelja u razdoblju prije i nakon integracije, kao i dodatnu usporedbu (</w:t>
      </w:r>
      <w:r w:rsidRPr="00BE5472">
        <w:rPr>
          <w:rFonts w:ascii="Times New Roman" w:hAnsi="Times New Roman" w:cs="Times New Roman"/>
          <w:i/>
          <w:sz w:val="24"/>
          <w:szCs w:val="24"/>
        </w:rPr>
        <w:t>benchmarking</w:t>
      </w:r>
      <w:r w:rsidRPr="00BE5472">
        <w:rPr>
          <w:rFonts w:ascii="Times New Roman" w:hAnsi="Times New Roman" w:cs="Times New Roman"/>
          <w:sz w:val="24"/>
          <w:szCs w:val="24"/>
        </w:rPr>
        <w:t>) s hotelskim poduzećima koja su se odlučila za organski rast. Podaci prikupljeni u svim fazama obrađeni su primjenom univarijantne, bivarijantne i multivarijantne statističke analize, uključujući napredne modele poput višerazinske regresijske analize kako bi se precizno testirale postavljene hipoteze.</w:t>
      </w:r>
    </w:p>
    <w:p w14:paraId="5BB7C680" w14:textId="77777777" w:rsidR="00651E97" w:rsidRPr="00BE5472" w:rsidRDefault="00651E97" w:rsidP="00B6668D">
      <w:pPr>
        <w:spacing w:line="360" w:lineRule="auto"/>
        <w:jc w:val="both"/>
        <w:rPr>
          <w:rFonts w:ascii="Times New Roman" w:hAnsi="Times New Roman" w:cs="Times New Roman"/>
          <w:color w:val="FF0000"/>
          <w:sz w:val="24"/>
          <w:szCs w:val="24"/>
        </w:rPr>
      </w:pPr>
    </w:p>
    <w:p w14:paraId="3FA4F02B" w14:textId="70A32356" w:rsidR="00B6668D" w:rsidRPr="00BE5472" w:rsidRDefault="00B6668D" w:rsidP="00651E97">
      <w:pPr>
        <w:pStyle w:val="Heading2"/>
        <w:rPr>
          <w:rFonts w:ascii="Times New Roman" w:hAnsi="Times New Roman" w:cs="Times New Roman"/>
          <w:sz w:val="24"/>
          <w:szCs w:val="24"/>
        </w:rPr>
      </w:pPr>
      <w:bookmarkStart w:id="18" w:name="_Toc241865127"/>
      <w:r w:rsidRPr="00BE5472">
        <w:rPr>
          <w:rStyle w:val="Heading2Char"/>
          <w:rFonts w:ascii="Times New Roman" w:hAnsi="Times New Roman" w:cs="Times New Roman"/>
        </w:rPr>
        <w:t>1.</w:t>
      </w:r>
      <w:r w:rsidR="00E72B03" w:rsidRPr="00BE5472">
        <w:rPr>
          <w:rStyle w:val="Heading2Char"/>
          <w:rFonts w:ascii="Times New Roman" w:hAnsi="Times New Roman" w:cs="Times New Roman"/>
        </w:rPr>
        <w:t>5</w:t>
      </w:r>
      <w:r w:rsidRPr="00BE5472">
        <w:rPr>
          <w:rStyle w:val="Heading2Char"/>
          <w:rFonts w:ascii="Times New Roman" w:hAnsi="Times New Roman" w:cs="Times New Roman"/>
        </w:rPr>
        <w:t>. Struktura rada</w:t>
      </w:r>
      <w:bookmarkEnd w:id="18"/>
      <w:r w:rsidRPr="00BE5472">
        <w:rPr>
          <w:rFonts w:ascii="Times New Roman" w:hAnsi="Times New Roman" w:cs="Times New Roman"/>
          <w:sz w:val="24"/>
          <w:szCs w:val="24"/>
        </w:rPr>
        <w:t xml:space="preserve"> </w:t>
      </w:r>
    </w:p>
    <w:p w14:paraId="47087179" w14:textId="77777777" w:rsidR="00651E97" w:rsidRPr="00BE5472" w:rsidRDefault="00651E97" w:rsidP="00651E97">
      <w:pPr>
        <w:rPr>
          <w:rFonts w:ascii="Times New Roman" w:hAnsi="Times New Roman" w:cs="Times New Roman"/>
        </w:rPr>
      </w:pPr>
    </w:p>
    <w:p w14:paraId="359E68E1" w14:textId="682ABCC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w:t>
      </w:r>
      <w:r w:rsidRPr="00BE5472">
        <w:rPr>
          <w:rFonts w:ascii="Times New Roman" w:hAnsi="Times New Roman" w:cs="Times New Roman"/>
          <w:iCs/>
          <w:sz w:val="24"/>
          <w:szCs w:val="24"/>
        </w:rPr>
        <w:t>prvom (uvodnom) dijelu</w:t>
      </w:r>
      <w:r w:rsidRPr="00BE5472">
        <w:rPr>
          <w:rFonts w:ascii="Times New Roman" w:hAnsi="Times New Roman" w:cs="Times New Roman"/>
          <w:sz w:val="24"/>
          <w:szCs w:val="24"/>
        </w:rPr>
        <w:t xml:space="preserve"> definiran je problem i predmet istraživanja </w:t>
      </w:r>
      <w:r w:rsidR="003D1B43" w:rsidRPr="00BE5472">
        <w:rPr>
          <w:rFonts w:ascii="Times New Roman" w:hAnsi="Times New Roman" w:cs="Times New Roman"/>
          <w:sz w:val="24"/>
          <w:szCs w:val="24"/>
        </w:rPr>
        <w:t>na temelju</w:t>
      </w:r>
      <w:r w:rsidRPr="00BE5472">
        <w:rPr>
          <w:rFonts w:ascii="Times New Roman" w:hAnsi="Times New Roman" w:cs="Times New Roman"/>
          <w:sz w:val="24"/>
          <w:szCs w:val="24"/>
        </w:rPr>
        <w:t xml:space="preserve"> detaljne i kritičke analize re</w:t>
      </w:r>
      <w:r w:rsidR="003D1B43" w:rsidRPr="00BE5472">
        <w:rPr>
          <w:rFonts w:ascii="Times New Roman" w:hAnsi="Times New Roman" w:cs="Times New Roman"/>
          <w:sz w:val="24"/>
          <w:szCs w:val="24"/>
        </w:rPr>
        <w:t>levantne i recentne literature te</w:t>
      </w:r>
      <w:r w:rsidRPr="00BE5472">
        <w:rPr>
          <w:rFonts w:ascii="Times New Roman" w:hAnsi="Times New Roman" w:cs="Times New Roman"/>
          <w:sz w:val="24"/>
          <w:szCs w:val="24"/>
        </w:rPr>
        <w:t xml:space="preserve"> izučavanja prethodno provedenih konceptualnih i empirijskih istraživanja. Definirana je svrha istraživanja, glavni ciljevi (znanstveni i aplikativni) te osobni ciljevi koji su motivirali doktoranda za odabir upravo ovog područja istraživanja. Postavljene su hipoteze, definirana istraživačka pitanja na koja se tražio odgovor te predstavljena metodologija istraživanja. Ukratko je opisana struktura doktorskog rada te definiran očekivani znanstveni doprinos.</w:t>
      </w:r>
    </w:p>
    <w:p w14:paraId="192A4F9D" w14:textId="2C477B53"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w:t>
      </w:r>
      <w:r w:rsidRPr="00BE5472">
        <w:rPr>
          <w:rFonts w:ascii="Times New Roman" w:hAnsi="Times New Roman" w:cs="Times New Roman"/>
          <w:iCs/>
          <w:sz w:val="24"/>
          <w:szCs w:val="24"/>
        </w:rPr>
        <w:t>drugom dijelu</w:t>
      </w:r>
      <w:r w:rsidRPr="00BE5472">
        <w:rPr>
          <w:rFonts w:ascii="Times New Roman" w:hAnsi="Times New Roman" w:cs="Times New Roman"/>
          <w:sz w:val="24"/>
          <w:szCs w:val="24"/>
        </w:rPr>
        <w:t xml:space="preserve"> se analiziraju glavna obilježja hotelske industrije. Uz povijesni razvoj industrije, kao polazište za </w:t>
      </w:r>
      <w:r w:rsidR="003D1B43"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razumijevanje istraživačkog problema, istražit će se dinamika razvoja i značaj hotelske industrije globalno, regionalno i na prostorima Republike Hrvatske. Posebna </w:t>
      </w:r>
      <w:r w:rsidR="003D1B43" w:rsidRPr="00BE5472">
        <w:rPr>
          <w:rFonts w:ascii="Times New Roman" w:hAnsi="Times New Roman" w:cs="Times New Roman"/>
          <w:sz w:val="24"/>
          <w:szCs w:val="24"/>
        </w:rPr>
        <w:t xml:space="preserve">je </w:t>
      </w:r>
      <w:r w:rsidRPr="00BE5472">
        <w:rPr>
          <w:rFonts w:ascii="Times New Roman" w:hAnsi="Times New Roman" w:cs="Times New Roman"/>
          <w:sz w:val="24"/>
          <w:szCs w:val="24"/>
        </w:rPr>
        <w:t>pozornost posvećena utvrđivanju i razumijevanju specifičnosti poslovanja hotelskog sektora i njegovog uslužnog koncepta. Iznesen je pregled važnijih suvremenih koncepcija hotelskog menadžmenta te identificirani glavni trendovi koji će utjecati na dinamiku razvoja hotelske industrije u budućnosti, posebice na donošenje odluka o odabiru razvojnih strategija.</w:t>
      </w:r>
    </w:p>
    <w:p w14:paraId="073D05A4" w14:textId="4A1FA22F"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Razvojne strategije hotelskih poduzeća bile su predmetom analize </w:t>
      </w:r>
      <w:r w:rsidRPr="00BE5472">
        <w:rPr>
          <w:rFonts w:ascii="Times New Roman" w:hAnsi="Times New Roman" w:cs="Times New Roman"/>
          <w:iCs/>
          <w:sz w:val="24"/>
          <w:szCs w:val="24"/>
        </w:rPr>
        <w:t>trećeg dijela</w:t>
      </w:r>
      <w:r w:rsidRPr="00BE5472">
        <w:rPr>
          <w:rFonts w:ascii="Times New Roman" w:hAnsi="Times New Roman" w:cs="Times New Roman"/>
          <w:i/>
          <w:sz w:val="24"/>
          <w:szCs w:val="24"/>
        </w:rPr>
        <w:t xml:space="preserve"> </w:t>
      </w:r>
      <w:r w:rsidRPr="00BE5472">
        <w:rPr>
          <w:rFonts w:ascii="Times New Roman" w:hAnsi="Times New Roman" w:cs="Times New Roman"/>
          <w:sz w:val="24"/>
          <w:szCs w:val="24"/>
        </w:rPr>
        <w:t>ove doktorske disertacije. Istražile su se osnovne razvojne strategije, i to one horizontalne, vertikalne i dij</w:t>
      </w:r>
      <w:r w:rsidR="003D1B43" w:rsidRPr="00BE5472">
        <w:rPr>
          <w:rFonts w:ascii="Times New Roman" w:hAnsi="Times New Roman" w:cs="Times New Roman"/>
          <w:sz w:val="24"/>
          <w:szCs w:val="24"/>
        </w:rPr>
        <w:t>agonalne,</w:t>
      </w:r>
      <w:r w:rsidRPr="00BE5472">
        <w:rPr>
          <w:rFonts w:ascii="Times New Roman" w:hAnsi="Times New Roman" w:cs="Times New Roman"/>
          <w:sz w:val="24"/>
          <w:szCs w:val="24"/>
        </w:rPr>
        <w:t xml:space="preserve"> moguć</w:t>
      </w:r>
      <w:r w:rsidR="003D1B43" w:rsidRPr="00BE5472">
        <w:rPr>
          <w:rFonts w:ascii="Times New Roman" w:hAnsi="Times New Roman" w:cs="Times New Roman"/>
          <w:sz w:val="24"/>
          <w:szCs w:val="24"/>
        </w:rPr>
        <w:t>i načini njihove provedbe te</w:t>
      </w:r>
      <w:r w:rsidRPr="00BE5472">
        <w:rPr>
          <w:rFonts w:ascii="Times New Roman" w:hAnsi="Times New Roman" w:cs="Times New Roman"/>
          <w:sz w:val="24"/>
          <w:szCs w:val="24"/>
        </w:rPr>
        <w:t xml:space="preserve"> izazovi u samom odabiru i kasnijoj provedi. Posebna </w:t>
      </w:r>
      <w:r w:rsidR="003D1B43" w:rsidRPr="00BE5472">
        <w:rPr>
          <w:rFonts w:ascii="Times New Roman" w:hAnsi="Times New Roman" w:cs="Times New Roman"/>
          <w:sz w:val="24"/>
          <w:szCs w:val="24"/>
        </w:rPr>
        <w:t xml:space="preserve">je </w:t>
      </w:r>
      <w:r w:rsidRPr="00BE5472">
        <w:rPr>
          <w:rFonts w:ascii="Times New Roman" w:hAnsi="Times New Roman" w:cs="Times New Roman"/>
          <w:sz w:val="24"/>
          <w:szCs w:val="24"/>
        </w:rPr>
        <w:t>pozornost posvećena procesima spajanja i  preuzimanja kao načinu provedbe horizontalne razvojne strategije hotelskih poduzeća pri čemu je naglasak stavljen na faze integracijs</w:t>
      </w:r>
      <w:r w:rsidR="003D1B43" w:rsidRPr="00BE5472">
        <w:rPr>
          <w:rFonts w:ascii="Times New Roman" w:hAnsi="Times New Roman" w:cs="Times New Roman"/>
          <w:sz w:val="24"/>
          <w:szCs w:val="24"/>
        </w:rPr>
        <w:t>kog procesa i njihova obilježja</w:t>
      </w:r>
      <w:r w:rsidRPr="00BE5472">
        <w:rPr>
          <w:rFonts w:ascii="Times New Roman" w:hAnsi="Times New Roman" w:cs="Times New Roman"/>
          <w:sz w:val="24"/>
          <w:szCs w:val="24"/>
        </w:rPr>
        <w:t xml:space="preserve"> te ključne čimbenike uspješnosti samog procesa. Poglavlje završava izučavanjem trendova, ali i izazova, koji utječu na provedbu procesa spajanja i preuzimanja u hotelskoj industriji.</w:t>
      </w:r>
    </w:p>
    <w:p w14:paraId="4B0E229E" w14:textId="09B7011F"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iCs/>
          <w:sz w:val="24"/>
          <w:szCs w:val="24"/>
        </w:rPr>
        <w:t>Četvrto poglavlje</w:t>
      </w:r>
      <w:r w:rsidRPr="00BE5472">
        <w:rPr>
          <w:rFonts w:ascii="Times New Roman" w:hAnsi="Times New Roman" w:cs="Times New Roman"/>
          <w:i/>
          <w:sz w:val="24"/>
          <w:szCs w:val="24"/>
        </w:rPr>
        <w:t xml:space="preserve"> </w:t>
      </w:r>
      <w:r w:rsidRPr="00BE5472">
        <w:rPr>
          <w:rFonts w:ascii="Times New Roman" w:hAnsi="Times New Roman" w:cs="Times New Roman"/>
          <w:sz w:val="24"/>
          <w:szCs w:val="24"/>
        </w:rPr>
        <w:t>posvećeno je konceptualizaciji cjelovitog istraživačkog pristupa za potrebe ove doktorske disertacije. U ovom se poglavlju pojašnjava pristup istraživanju. Detaljno je objašnjeno provođenje primarnih istraživanja (operacionalizacija izviđajnih i opisnih istraživanja).</w:t>
      </w:r>
    </w:p>
    <w:p w14:paraId="7852F085"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Glavni nalazi empirijskog istraživanja predstavljeni su u </w:t>
      </w:r>
      <w:r w:rsidRPr="00BE5472">
        <w:rPr>
          <w:rFonts w:ascii="Times New Roman" w:hAnsi="Times New Roman" w:cs="Times New Roman"/>
          <w:iCs/>
          <w:sz w:val="24"/>
          <w:szCs w:val="24"/>
        </w:rPr>
        <w:t>petom poglavlju</w:t>
      </w:r>
      <w:r w:rsidRPr="00BE5472">
        <w:rPr>
          <w:rFonts w:ascii="Times New Roman" w:hAnsi="Times New Roman" w:cs="Times New Roman"/>
          <w:sz w:val="24"/>
          <w:szCs w:val="24"/>
        </w:rPr>
        <w:t xml:space="preserve">. Uz detaljan prikaz rezultata provedenih istraživanja,  naglasak na glavne nalaze te kritički osvrt na dobivene rezultate, pojašnjen je glavni doprinos istraživanja, formulirane su smjernice za buduća istraživanja te su pojašnjena glavna ograničenja koja mogu utjecati na tumačenje i primjenu dobivenih rezultata istraživanja.  </w:t>
      </w:r>
    </w:p>
    <w:p w14:paraId="20E21874" w14:textId="77777777"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w:t>
      </w:r>
      <w:r w:rsidRPr="00BE5472">
        <w:rPr>
          <w:rFonts w:ascii="Times New Roman" w:hAnsi="Times New Roman" w:cs="Times New Roman"/>
          <w:iCs/>
          <w:sz w:val="24"/>
          <w:szCs w:val="24"/>
        </w:rPr>
        <w:t>šestom poglavlju</w:t>
      </w:r>
      <w:r w:rsidRPr="00BE5472">
        <w:rPr>
          <w:rFonts w:ascii="Times New Roman" w:hAnsi="Times New Roman" w:cs="Times New Roman"/>
          <w:sz w:val="24"/>
          <w:szCs w:val="24"/>
        </w:rPr>
        <w:t>, zaključnim razmatranjima, sistematično se i sažeto prikazuju svi relevantni rezultati i spoznaje do kojih se došlo u ovoj doktorskoj disertaciji, s posebnim naglaskom na moguću primjenu dobivenih rezultata u daljnjem razvoju teoretskih koncepata problema istraživanja, ali i njihovoj primjenu u praksi.</w:t>
      </w:r>
    </w:p>
    <w:p w14:paraId="1CD0D09E" w14:textId="6D34D4B5"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kraju rada nalazi </w:t>
      </w:r>
      <w:r w:rsidR="003D1B43" w:rsidRPr="00BE5472">
        <w:rPr>
          <w:rFonts w:ascii="Times New Roman" w:hAnsi="Times New Roman" w:cs="Times New Roman"/>
          <w:sz w:val="24"/>
          <w:szCs w:val="24"/>
        </w:rPr>
        <w:t xml:space="preserve">se </w:t>
      </w:r>
      <w:r w:rsidRPr="00BE5472">
        <w:rPr>
          <w:rFonts w:ascii="Times New Roman" w:hAnsi="Times New Roman" w:cs="Times New Roman"/>
          <w:sz w:val="24"/>
          <w:szCs w:val="24"/>
        </w:rPr>
        <w:t>popis literature koja je kor</w:t>
      </w:r>
      <w:r w:rsidR="003D1B43" w:rsidRPr="00BE5472">
        <w:rPr>
          <w:rFonts w:ascii="Times New Roman" w:hAnsi="Times New Roman" w:cs="Times New Roman"/>
          <w:sz w:val="24"/>
          <w:szCs w:val="24"/>
        </w:rPr>
        <w:t>ištena u doktorskoj disertaciji</w:t>
      </w:r>
      <w:r w:rsidRPr="00BE5472">
        <w:rPr>
          <w:rFonts w:ascii="Times New Roman" w:hAnsi="Times New Roman" w:cs="Times New Roman"/>
          <w:sz w:val="24"/>
          <w:szCs w:val="24"/>
        </w:rPr>
        <w:t xml:space="preserve"> te detaljan pregled tablica, slika i grafikona.</w:t>
      </w:r>
    </w:p>
    <w:p w14:paraId="3F1114DE" w14:textId="6A3ABB34" w:rsidR="00AD1E28" w:rsidRPr="00BE5472" w:rsidRDefault="008037B0" w:rsidP="008037B0">
      <w:pPr>
        <w:pStyle w:val="Heading2"/>
        <w:rPr>
          <w:rFonts w:ascii="Times New Roman" w:hAnsi="Times New Roman" w:cs="Times New Roman"/>
        </w:rPr>
      </w:pPr>
      <w:bookmarkStart w:id="19" w:name="_Toc241865128"/>
      <w:r w:rsidRPr="00BE5472">
        <w:rPr>
          <w:rFonts w:ascii="Times New Roman" w:hAnsi="Times New Roman" w:cs="Times New Roman"/>
        </w:rPr>
        <w:t>1.6. Znanstveni doprinos</w:t>
      </w:r>
      <w:bookmarkEnd w:id="19"/>
    </w:p>
    <w:p w14:paraId="30C4E6FB" w14:textId="77777777" w:rsidR="00B03DB0" w:rsidRPr="00BE5472" w:rsidRDefault="00B03DB0" w:rsidP="00B03DB0">
      <w:pPr>
        <w:rPr>
          <w:rFonts w:ascii="Times New Roman" w:hAnsi="Times New Roman" w:cs="Times New Roman"/>
        </w:rPr>
      </w:pPr>
    </w:p>
    <w:p w14:paraId="11DFF2E6" w14:textId="1ED1077C"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Znanstveni doprinos istraživanja</w:t>
      </w:r>
      <w:r w:rsidR="000C6C54" w:rsidRPr="00BE5472">
        <w:rPr>
          <w:rFonts w:ascii="Times New Roman" w:hAnsi="Times New Roman" w:cs="Times New Roman"/>
          <w:sz w:val="24"/>
          <w:szCs w:val="24"/>
        </w:rPr>
        <w:t xml:space="preserve"> s</w:t>
      </w:r>
      <w:r w:rsidRPr="00BE5472">
        <w:rPr>
          <w:rFonts w:ascii="Times New Roman" w:hAnsi="Times New Roman" w:cs="Times New Roman"/>
          <w:sz w:val="24"/>
          <w:szCs w:val="24"/>
        </w:rPr>
        <w:t>astoji se u sustavnom i kritičkom pregledu literature i dosadašnjih konceptualnih i empirijskih istraživanja u području razvojnih strategija poduzeća, razvojnih pravaca i načina njihove provedbe. Također</w:t>
      </w:r>
      <w:r w:rsidR="003D1B43" w:rsidRPr="00BE5472">
        <w:rPr>
          <w:rFonts w:ascii="Times New Roman" w:hAnsi="Times New Roman" w:cs="Times New Roman"/>
          <w:sz w:val="24"/>
          <w:szCs w:val="24"/>
        </w:rPr>
        <w:t>,</w:t>
      </w:r>
      <w:r w:rsidRPr="00BE5472">
        <w:rPr>
          <w:rFonts w:ascii="Times New Roman" w:hAnsi="Times New Roman" w:cs="Times New Roman"/>
          <w:sz w:val="24"/>
          <w:szCs w:val="24"/>
        </w:rPr>
        <w:t xml:space="preserve"> ova disertacija popunjava praznine koje postoje u istraživanju definiranog problema istraživanja (istraživanje procesa spajanja i preuzimanja u sektoru hotelijerstva u manje razvijenim zemljama, istraživanje elemenata samog </w:t>
      </w:r>
      <w:r w:rsidRPr="00BE5472">
        <w:rPr>
          <w:rFonts w:ascii="Times New Roman" w:hAnsi="Times New Roman" w:cs="Times New Roman"/>
          <w:sz w:val="24"/>
          <w:szCs w:val="24"/>
        </w:rPr>
        <w:lastRenderedPageBreak/>
        <w:t>procesa spajanja i preuzimanja). Istraživanje je rezultiralo modelom integracije ključnih čimbenika uspješnosti spajanja i preuzimanja u svim fazama procesa.</w:t>
      </w:r>
    </w:p>
    <w:p w14:paraId="57762F8E" w14:textId="1BFE7C2A"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Empirijski doprinos ove disertacij</w:t>
      </w:r>
      <w:r w:rsidR="003D1B43" w:rsidRPr="00BE5472">
        <w:rPr>
          <w:rFonts w:ascii="Times New Roman" w:hAnsi="Times New Roman" w:cs="Times New Roman"/>
          <w:sz w:val="24"/>
          <w:szCs w:val="24"/>
        </w:rPr>
        <w:t>e ogleda se u činjenici da se prvi put</w:t>
      </w:r>
      <w:r w:rsidRPr="00BE5472">
        <w:rPr>
          <w:rFonts w:ascii="Times New Roman" w:hAnsi="Times New Roman" w:cs="Times New Roman"/>
          <w:sz w:val="24"/>
          <w:szCs w:val="24"/>
        </w:rPr>
        <w:t xml:space="preserve"> sustavno istražuje prob</w:t>
      </w:r>
      <w:r w:rsidR="003D1B43" w:rsidRPr="00BE5472">
        <w:rPr>
          <w:rFonts w:ascii="Times New Roman" w:hAnsi="Times New Roman" w:cs="Times New Roman"/>
          <w:sz w:val="24"/>
          <w:szCs w:val="24"/>
        </w:rPr>
        <w:t>lematika spajanja i preuzimanja</w:t>
      </w:r>
      <w:r w:rsidRPr="00BE5472">
        <w:rPr>
          <w:rFonts w:ascii="Times New Roman" w:hAnsi="Times New Roman" w:cs="Times New Roman"/>
          <w:sz w:val="24"/>
          <w:szCs w:val="24"/>
        </w:rPr>
        <w:t xml:space="preserve"> na hotelskom tržištu u Republici Hrvatskoj, doprinosi se boljem razumijevanju elemenata procesa, identificiraju se motivi ulaska u integracijske procese</w:t>
      </w:r>
      <w:r w:rsidR="003D1B43" w:rsidRPr="00BE5472">
        <w:rPr>
          <w:rFonts w:ascii="Times New Roman" w:hAnsi="Times New Roman" w:cs="Times New Roman"/>
          <w:sz w:val="24"/>
          <w:szCs w:val="24"/>
        </w:rPr>
        <w:t xml:space="preserve"> i očekivani učinci integracija</w:t>
      </w:r>
      <w:r w:rsidRPr="00BE5472">
        <w:rPr>
          <w:rFonts w:ascii="Times New Roman" w:hAnsi="Times New Roman" w:cs="Times New Roman"/>
          <w:sz w:val="24"/>
          <w:szCs w:val="24"/>
        </w:rPr>
        <w:t xml:space="preserve"> te se ukazuje na trendove konsolidacijskih procesa u hotelijerstvu u Hrvatskoj. </w:t>
      </w:r>
    </w:p>
    <w:p w14:paraId="6C0B37CB" w14:textId="39873BF9" w:rsidR="00B6668D" w:rsidRPr="00BE5472" w:rsidRDefault="00B6668D" w:rsidP="00B6668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pogledu aplikativnog doprinosa</w:t>
      </w:r>
      <w:r w:rsidR="003865AC" w:rsidRPr="00BE5472">
        <w:rPr>
          <w:rFonts w:ascii="Times New Roman" w:hAnsi="Times New Roman" w:cs="Times New Roman"/>
          <w:sz w:val="24"/>
          <w:szCs w:val="24"/>
        </w:rPr>
        <w:t xml:space="preserve"> </w:t>
      </w:r>
      <w:r w:rsidRPr="00BE5472">
        <w:rPr>
          <w:rFonts w:ascii="Times New Roman" w:hAnsi="Times New Roman" w:cs="Times New Roman"/>
          <w:sz w:val="24"/>
          <w:szCs w:val="24"/>
        </w:rPr>
        <w:t>rezultati istraživanja koristit će menadžerima hotelskih poduzeća koji razmišljaju o realizaciji strategije rasta spajanjem i preuzimanjem, a ujedno mogu koristiti investitorima da uspješnije evaluiraju svoje buduće investicijske odluke. Rezultati istraživanja mogu poslužiti svim zainteresiranima u hotelijerstvu kako bi razjasnili učinkovitost strategija spajanja i preuzimanja. Također, rezultati mogu pomoći oko detektiranja onih čimbenika koj</w:t>
      </w:r>
      <w:r w:rsidR="00756006">
        <w:rPr>
          <w:rFonts w:ascii="Times New Roman" w:hAnsi="Times New Roman" w:cs="Times New Roman"/>
          <w:sz w:val="24"/>
          <w:szCs w:val="24"/>
        </w:rPr>
        <w:t>i</w:t>
      </w:r>
      <w:r w:rsidRPr="00BE5472">
        <w:rPr>
          <w:rFonts w:ascii="Times New Roman" w:hAnsi="Times New Roman" w:cs="Times New Roman"/>
          <w:sz w:val="24"/>
          <w:szCs w:val="24"/>
        </w:rPr>
        <w:t xml:space="preserve"> snažno utječu na učinkovitost i uspješnost provođenja procesa spajanja i preuzimanja.</w:t>
      </w:r>
    </w:p>
    <w:p w14:paraId="05686574" w14:textId="77777777" w:rsidR="00B6668D" w:rsidRPr="00BE5472" w:rsidRDefault="00B6668D" w:rsidP="00B6668D">
      <w:pPr>
        <w:spacing w:line="360" w:lineRule="auto"/>
        <w:jc w:val="both"/>
        <w:rPr>
          <w:rFonts w:ascii="Times New Roman" w:hAnsi="Times New Roman" w:cs="Times New Roman"/>
          <w:sz w:val="24"/>
          <w:szCs w:val="24"/>
        </w:rPr>
      </w:pPr>
    </w:p>
    <w:p w14:paraId="5E57FC8D" w14:textId="77777777" w:rsidR="004C7880" w:rsidRDefault="004C7880" w:rsidP="003D13C0">
      <w:pPr>
        <w:pStyle w:val="Heading1"/>
        <w:rPr>
          <w:rFonts w:ascii="Times New Roman" w:hAnsi="Times New Roman" w:cs="Times New Roman"/>
        </w:rPr>
        <w:sectPr w:rsidR="004C7880" w:rsidSect="00A61B92">
          <w:pgSz w:w="12240" w:h="15840"/>
          <w:pgMar w:top="1440" w:right="1440" w:bottom="1440" w:left="1440" w:header="708" w:footer="708" w:gutter="0"/>
          <w:cols w:space="708"/>
          <w:docGrid w:linePitch="360"/>
        </w:sectPr>
      </w:pPr>
      <w:bookmarkStart w:id="20" w:name="_Toc210381400"/>
    </w:p>
    <w:p w14:paraId="580A267E" w14:textId="77777777" w:rsidR="006E052A" w:rsidRPr="00BE5472" w:rsidRDefault="006E052A" w:rsidP="003D13C0">
      <w:pPr>
        <w:pStyle w:val="Heading1"/>
        <w:rPr>
          <w:rFonts w:ascii="Times New Roman" w:hAnsi="Times New Roman" w:cs="Times New Roman"/>
        </w:rPr>
      </w:pPr>
      <w:bookmarkStart w:id="21" w:name="_Toc241865129"/>
      <w:r w:rsidRPr="00BE5472">
        <w:rPr>
          <w:rFonts w:ascii="Times New Roman" w:hAnsi="Times New Roman" w:cs="Times New Roman"/>
        </w:rPr>
        <w:lastRenderedPageBreak/>
        <w:t>2. OBILJEŽJA HOTELSKE INDUSTRIJE</w:t>
      </w:r>
      <w:bookmarkEnd w:id="20"/>
      <w:bookmarkEnd w:id="21"/>
    </w:p>
    <w:p w14:paraId="412094E9" w14:textId="77777777" w:rsidR="00D07C16" w:rsidRPr="00BE5472" w:rsidRDefault="00D07C16" w:rsidP="00D07C16">
      <w:pPr>
        <w:rPr>
          <w:rFonts w:ascii="Times New Roman" w:hAnsi="Times New Roman" w:cs="Times New Roman"/>
        </w:rPr>
      </w:pPr>
    </w:p>
    <w:p w14:paraId="2E167278" w14:textId="3F59DED0" w:rsidR="00D07C16"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Poglavlje započinje osvrtom na povijesni razvoj hotelijerstva u svijetu i u Hrvatskoj te se analizira stanje hotelske industriju u svijetu i u Hrvatskoj. Nadalje, predstavljene su specifičnosti poslovanja poduzeća u hotelijerstvu te je holistički sagledan suvremeni koncept hotelskog menadžmenta. Posebno je poglavlje posvećeno predstavljanju trendova koji će značajno utjecati na hotelsku industriju u budućnosti. Na kraju poglavlja iznesena su doktorandova razmišljanja i osvrt na obilježja hotelske industrije.</w:t>
      </w:r>
    </w:p>
    <w:p w14:paraId="029DE22E" w14:textId="59902CE5" w:rsidR="004C0CF8" w:rsidRPr="00BE5472" w:rsidRDefault="006E052A" w:rsidP="000E4F78">
      <w:pPr>
        <w:pStyle w:val="Heading2"/>
        <w:rPr>
          <w:rFonts w:ascii="Times New Roman" w:hAnsi="Times New Roman" w:cs="Times New Roman"/>
        </w:rPr>
      </w:pPr>
      <w:bookmarkStart w:id="22" w:name="_Toc210381401"/>
      <w:bookmarkStart w:id="23" w:name="_Toc241865130"/>
      <w:r w:rsidRPr="00BE5472">
        <w:rPr>
          <w:rFonts w:ascii="Times New Roman" w:hAnsi="Times New Roman" w:cs="Times New Roman"/>
        </w:rPr>
        <w:t xml:space="preserve">2.1. </w:t>
      </w:r>
      <w:bookmarkEnd w:id="22"/>
      <w:r w:rsidR="0048684D" w:rsidRPr="00BE5472">
        <w:rPr>
          <w:rFonts w:ascii="Times New Roman" w:hAnsi="Times New Roman" w:cs="Times New Roman"/>
        </w:rPr>
        <w:t>Povijesni razvoj hotelijerstva</w:t>
      </w:r>
      <w:bookmarkEnd w:id="23"/>
      <w:r w:rsidRPr="00BE5472">
        <w:rPr>
          <w:rFonts w:ascii="Times New Roman" w:hAnsi="Times New Roman" w:cs="Times New Roman"/>
        </w:rPr>
        <w:t xml:space="preserve"> </w:t>
      </w:r>
    </w:p>
    <w:p w14:paraId="640978AF" w14:textId="77777777" w:rsidR="00BC3443" w:rsidRPr="00BE5472" w:rsidRDefault="00BC3443" w:rsidP="00BC3443">
      <w:pPr>
        <w:rPr>
          <w:rFonts w:ascii="Times New Roman" w:hAnsi="Times New Roman" w:cs="Times New Roman"/>
        </w:rPr>
      </w:pPr>
    </w:p>
    <w:p w14:paraId="0F9231A9" w14:textId="01E15BEC"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Prije analize razvoja hotelijerstva kroz vrijeme, potrebno je pojasniti što je hotelijerstvo u kontekstu šireg pojma – ugostiteljstva. Iako još uvijek ne postoji suglasnost oko jedinstvene definicije ugostiteljstva (Kirillova, Gilmetdinova i Lehto 2014)</w:t>
      </w:r>
      <w:r w:rsidR="004C0CF8" w:rsidRPr="00BE5472">
        <w:rPr>
          <w:rFonts w:ascii="Times New Roman" w:hAnsi="Times New Roman" w:cs="Times New Roman"/>
          <w:sz w:val="24"/>
          <w:szCs w:val="24"/>
        </w:rPr>
        <w:t>,</w:t>
      </w:r>
      <w:r w:rsidRPr="00BE5472">
        <w:rPr>
          <w:rFonts w:ascii="Times New Roman" w:hAnsi="Times New Roman" w:cs="Times New Roman"/>
          <w:sz w:val="24"/>
          <w:szCs w:val="24"/>
        </w:rPr>
        <w:t xml:space="preserve"> postoje mnogobrojne inicijative i pokušaji definiranja ugostiteljstva. Ipak, pojam ostaje apstraktan i fluidan (Wood 2015)  jer ga se interpretira na različite načine. U načelu definicije su vrlo bliske, iako se može zaključiti da postoje određene razlike, a one se najviše manifestiraju u zakonskoj regulativi kojom se regulira poslovanje ugostiteljskih objekata i njihova klasifikacija, kao i u samoj širini obuhvata djelatnosti unutar ugostiteljstva. Hrvatska enciklopedija (bez dat.) definira ugostitelj</w:t>
      </w:r>
      <w:r w:rsidR="003D1B43" w:rsidRPr="00BE5472">
        <w:rPr>
          <w:rFonts w:ascii="Times New Roman" w:hAnsi="Times New Roman" w:cs="Times New Roman"/>
          <w:sz w:val="24"/>
          <w:szCs w:val="24"/>
        </w:rPr>
        <w:t xml:space="preserve">stvo kao </w:t>
      </w:r>
      <w:r w:rsidRPr="00BE5472">
        <w:rPr>
          <w:rFonts w:ascii="Times New Roman" w:hAnsi="Times New Roman" w:cs="Times New Roman"/>
          <w:i/>
          <w:sz w:val="24"/>
          <w:szCs w:val="24"/>
        </w:rPr>
        <w:t>gospodarsku djelatnost koja se bavi pripremom i prodajom hrane i pića, pružanjem usluga smještaja te zabave i rekreacije u specijaliziranim objektima.</w:t>
      </w:r>
      <w:r w:rsidRPr="00BE5472">
        <w:rPr>
          <w:rFonts w:ascii="Times New Roman" w:hAnsi="Times New Roman" w:cs="Times New Roman"/>
          <w:sz w:val="24"/>
          <w:szCs w:val="24"/>
        </w:rPr>
        <w:t xml:space="preserve">  Smith (1978) na ugostiteljstvo gleda kao na interakciju domaćina i gosta. Stoga je pružanje ugostiteljskih usluga (</w:t>
      </w:r>
      <w:bookmarkStart w:id="24" w:name="_Hlk172709334"/>
      <w:r w:rsidRPr="00BE5472">
        <w:rPr>
          <w:rFonts w:ascii="Times New Roman" w:hAnsi="Times New Roman" w:cs="Times New Roman"/>
          <w:sz w:val="24"/>
          <w:szCs w:val="24"/>
        </w:rPr>
        <w:t>van der Wagen i Goonetilleke 2005</w:t>
      </w:r>
      <w:bookmarkEnd w:id="24"/>
      <w:r w:rsidRPr="00BE5472">
        <w:rPr>
          <w:rFonts w:ascii="Times New Roman" w:hAnsi="Times New Roman" w:cs="Times New Roman"/>
          <w:sz w:val="24"/>
          <w:szCs w:val="24"/>
        </w:rPr>
        <w:t xml:space="preserve">:5) stvaranje ugodnog okruženja i prijazne dobrodošlice gostima. Linch, Morrison i Lashley (2006:34) na ugostiteljstvo gledaju kao na složenu djelatnost koja obuhvaća pripremu hrane i pića (proizvodni karakter), posluživanje hrane i pića i uslugu smještaja (uslužni karakter), prodaju trgovačke robe (trgovački karakter), organizaciju seminara, kongresa, radionica (organizacijski karakter), rekreaciju (rekreacijski karakter) i zdravstvene usluge (zdravstveni  karakter). Van der Wagen i Goonetilleke (2005:9) ugostiteljsku industriju klasificiraju sukladno vrstama objekata koji nude usluge pa tako razlikuju: smještajne objekte, objekte koji osiguravaju hranu, potom one koji osiguravaju piće gostima te kockarnice. Prema </w:t>
      </w:r>
      <w:bookmarkStart w:id="25" w:name="_Hlk172133287"/>
      <w:bookmarkStart w:id="26" w:name="_Hlk172133085"/>
      <w:r w:rsidRPr="00BE5472">
        <w:rPr>
          <w:rFonts w:ascii="Times New Roman" w:hAnsi="Times New Roman" w:cs="Times New Roman"/>
          <w:sz w:val="24"/>
          <w:szCs w:val="24"/>
        </w:rPr>
        <w:t xml:space="preserve">Oleksiivna i Anatoliiovych </w:t>
      </w:r>
      <w:bookmarkEnd w:id="25"/>
      <w:r w:rsidRPr="00BE5472">
        <w:rPr>
          <w:rFonts w:ascii="Times New Roman" w:hAnsi="Times New Roman" w:cs="Times New Roman"/>
          <w:sz w:val="24"/>
          <w:szCs w:val="24"/>
        </w:rPr>
        <w:t xml:space="preserve">(2022) </w:t>
      </w:r>
      <w:bookmarkEnd w:id="26"/>
      <w:r w:rsidRPr="00BE5472">
        <w:rPr>
          <w:rFonts w:ascii="Times New Roman" w:hAnsi="Times New Roman" w:cs="Times New Roman"/>
          <w:sz w:val="24"/>
          <w:szCs w:val="24"/>
        </w:rPr>
        <w:t xml:space="preserve">ugostiteljstvo je ključno u kreiranju suvremenog turističkog proizvoda jer pruža sustav mjera i </w:t>
      </w:r>
      <w:r w:rsidRPr="00BE5472">
        <w:rPr>
          <w:rFonts w:ascii="Times New Roman" w:hAnsi="Times New Roman" w:cs="Times New Roman"/>
          <w:sz w:val="24"/>
          <w:szCs w:val="24"/>
        </w:rPr>
        <w:lastRenderedPageBreak/>
        <w:t xml:space="preserve">postupaka kojima se zadovoljavaju različitih potrebe gostiju, pružanjem kvalitetnih i raznolikih usluga. Istovremeno ono obavlja više funkcija: ideološke, komunikativne, obrazovne i rekreativne. Razvoj ugostiteljstva, prema istom izvoru, potiče međukulturnu komunikaciju s predstavnicima drugih kultura, civilizacija i ljudi koji su odrasli i žive u različitim kulturnim okruženjima. Ivanović (2012) prema vrsti usluge i tehnološkom procesu rada ugostiteljskog objekta, dijeli ugostiteljstvo na restoraterstvo i hotelijerstvo, a ugostiteljske usluge na osnovne, pomoćne i dopunske. </w:t>
      </w:r>
      <w:r w:rsidRPr="00BE5472">
        <w:rPr>
          <w:rFonts w:ascii="Times New Roman" w:hAnsi="Times New Roman" w:cs="Times New Roman"/>
          <w:i/>
          <w:sz w:val="24"/>
          <w:szCs w:val="24"/>
        </w:rPr>
        <w:t>Hrvatska enciklopedija</w:t>
      </w:r>
      <w:r w:rsidRPr="00BE5472">
        <w:rPr>
          <w:rFonts w:ascii="Times New Roman" w:hAnsi="Times New Roman" w:cs="Times New Roman"/>
          <w:sz w:val="24"/>
          <w:szCs w:val="24"/>
        </w:rPr>
        <w:t xml:space="preserve"> (bez dat.) na hotelijerstvo gleda kao na specifični oblik ugostiteljstva. Hotelijerstvo obuhvaća sva poduzeća koja se bave pružanjem usluge smještaja, hrane i pića i zabave u kategoriziranim smještajnim objektima. Vrlo se često ugostiteljstvo i hotelijerstvo, kao pojmovi, poistovjećuju, no hotelijerstvo je ipak uže i odnosi se prvenstveno na pružanje usluge smještaja i drugih povezanih usluga (prehrane, pića, animacije i sl.) u za to kategoriziranim objektima. Prema hrvatskom Pravilniku o razvrstavanju, kategorizaciji i posebnim standardima ugostiteljskih objekata iz skupine hoteli (N</w:t>
      </w:r>
      <w:r w:rsidR="004C0CF8" w:rsidRPr="00BE5472">
        <w:rPr>
          <w:rFonts w:ascii="Times New Roman" w:hAnsi="Times New Roman" w:cs="Times New Roman"/>
          <w:sz w:val="24"/>
          <w:szCs w:val="24"/>
        </w:rPr>
        <w:t xml:space="preserve">.N., 56/2016, čl.2), hotel je </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poslovni objekt u kojem ugostitelj obavlja ugostiteljsku djelatnost odnosno pruža ugostiteljske usluge (smještaja, prehrane, pića i napitaka) u ugostiteljskim sadržajima (recepcija, sanitarni čvorovi, smještajne jedinice, sadržaji za prehranu i drugo)</w:t>
      </w:r>
      <w:r w:rsidRPr="00BE5472">
        <w:rPr>
          <w:rFonts w:ascii="Times New Roman" w:hAnsi="Times New Roman" w:cs="Times New Roman"/>
          <w:sz w:val="24"/>
          <w:szCs w:val="24"/>
        </w:rPr>
        <w:t>. Pravilnik razlikuje sljedeće vrste objekata iz skupine hoteli (N.N., 56/2016, čl.27): hotel baština (</w:t>
      </w:r>
      <w:r w:rsidRPr="00BE5472">
        <w:rPr>
          <w:rFonts w:ascii="Times New Roman" w:hAnsi="Times New Roman" w:cs="Times New Roman"/>
          <w:i/>
          <w:sz w:val="24"/>
          <w:szCs w:val="24"/>
        </w:rPr>
        <w:t>heritage</w:t>
      </w:r>
      <w:r w:rsidRPr="00BE5472">
        <w:rPr>
          <w:rFonts w:ascii="Times New Roman" w:hAnsi="Times New Roman" w:cs="Times New Roman"/>
          <w:sz w:val="24"/>
          <w:szCs w:val="24"/>
        </w:rPr>
        <w:t xml:space="preserve">), difuzni hotel, hotel, aparthotel, turističko naselje, turistički apartmani, pansion, integralni hotel (udruženi), lječilišne vrste (lječilišni hotel baština, lječilišni hotel, lječilišni aparthotel, lječilišno turističko naselje, lječilišni turistički apartmani, lječilišni pansion, lječilišni difuzni hotel i lječilišni integralni hotel), hoteli posebnog standarda (hotel </w:t>
      </w:r>
      <w:r w:rsidRPr="00BE5472">
        <w:rPr>
          <w:rFonts w:ascii="Times New Roman" w:hAnsi="Times New Roman" w:cs="Times New Roman"/>
          <w:i/>
          <w:sz w:val="24"/>
          <w:szCs w:val="24"/>
        </w:rPr>
        <w:t>business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meetings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congress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club</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casino</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holiday resort</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coastal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holiday resort</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family</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small &amp; friendly</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senior citizens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health &amp; fitness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wellness</w:t>
      </w:r>
      <w:r w:rsidRPr="00BE5472">
        <w:rPr>
          <w:rFonts w:ascii="Times New Roman" w:hAnsi="Times New Roman" w:cs="Times New Roman"/>
          <w:sz w:val="24"/>
          <w:szCs w:val="24"/>
        </w:rPr>
        <w:t xml:space="preserve">, hotel </w:t>
      </w:r>
      <w:r w:rsidRPr="00BE5472">
        <w:rPr>
          <w:rFonts w:ascii="Times New Roman" w:hAnsi="Times New Roman" w:cs="Times New Roman"/>
          <w:i/>
          <w:sz w:val="24"/>
          <w:szCs w:val="24"/>
        </w:rPr>
        <w:t>diving club</w:t>
      </w:r>
      <w:r w:rsidRPr="00BE5472">
        <w:rPr>
          <w:rFonts w:ascii="Times New Roman" w:hAnsi="Times New Roman" w:cs="Times New Roman"/>
          <w:sz w:val="24"/>
          <w:szCs w:val="24"/>
        </w:rPr>
        <w:t xml:space="preserve">, hotel motel, hotel ski, hotel za osobe s invaliditetom i hotel </w:t>
      </w:r>
      <w:r w:rsidRPr="00BE5472">
        <w:rPr>
          <w:rFonts w:ascii="Times New Roman" w:hAnsi="Times New Roman" w:cs="Times New Roman"/>
          <w:i/>
          <w:sz w:val="24"/>
          <w:szCs w:val="24"/>
        </w:rPr>
        <w:t>bike</w:t>
      </w:r>
      <w:r w:rsidRPr="00BE5472">
        <w:rPr>
          <w:rFonts w:ascii="Times New Roman" w:hAnsi="Times New Roman" w:cs="Times New Roman"/>
          <w:sz w:val="24"/>
          <w:szCs w:val="24"/>
        </w:rPr>
        <w:t xml:space="preserve">. Prema Čavlek i sur. (2011). hoteli se mogu razvrstati prema nekoliko različitih kriterija što je prikazano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C94463" w:rsidRPr="00BE5472">
        <w:rPr>
          <w:rFonts w:ascii="Times New Roman" w:hAnsi="Times New Roman" w:cs="Times New Roman"/>
          <w:sz w:val="24"/>
          <w:szCs w:val="24"/>
        </w:rPr>
        <w:t>1</w:t>
      </w:r>
      <w:r w:rsidRPr="00BE5472">
        <w:rPr>
          <w:rFonts w:ascii="Times New Roman" w:hAnsi="Times New Roman" w:cs="Times New Roman"/>
          <w:sz w:val="24"/>
          <w:szCs w:val="24"/>
        </w:rPr>
        <w:t xml:space="preserve">. </w:t>
      </w:r>
    </w:p>
    <w:p w14:paraId="5752C5BB" w14:textId="1D7869BB" w:rsidR="00BC3443" w:rsidRPr="00BE5472" w:rsidRDefault="00BC3443" w:rsidP="006E052A">
      <w:pPr>
        <w:spacing w:after="120" w:line="360" w:lineRule="auto"/>
        <w:jc w:val="both"/>
        <w:rPr>
          <w:rFonts w:ascii="Times New Roman" w:hAnsi="Times New Roman" w:cs="Times New Roman"/>
          <w:sz w:val="24"/>
          <w:szCs w:val="24"/>
        </w:rPr>
      </w:pPr>
    </w:p>
    <w:p w14:paraId="63B52ED4" w14:textId="77777777" w:rsidR="0005076D" w:rsidRDefault="0005076D" w:rsidP="006E052A">
      <w:pPr>
        <w:spacing w:after="120" w:line="360" w:lineRule="auto"/>
        <w:jc w:val="both"/>
        <w:rPr>
          <w:rFonts w:ascii="Times New Roman" w:hAnsi="Times New Roman" w:cs="Times New Roman"/>
          <w:sz w:val="24"/>
          <w:szCs w:val="24"/>
        </w:rPr>
        <w:sectPr w:rsidR="0005076D" w:rsidSect="0005076D">
          <w:pgSz w:w="12240" w:h="15840"/>
          <w:pgMar w:top="1440" w:right="1440" w:bottom="1440" w:left="1440" w:header="708" w:footer="708" w:gutter="0"/>
          <w:cols w:space="708"/>
          <w:docGrid w:linePitch="360"/>
        </w:sectPr>
      </w:pPr>
    </w:p>
    <w:p w14:paraId="27347833" w14:textId="39F937AE" w:rsidR="006E052A" w:rsidRPr="00C87D90" w:rsidRDefault="00C87D90" w:rsidP="00C87D90">
      <w:pPr>
        <w:pStyle w:val="Caption"/>
        <w:rPr>
          <w:rFonts w:ascii="Times New Roman" w:hAnsi="Times New Roman" w:cs="Times New Roman"/>
          <w:sz w:val="24"/>
          <w:szCs w:val="24"/>
        </w:rPr>
      </w:pPr>
      <w:bookmarkStart w:id="27" w:name="_Toc241865195"/>
      <w:r w:rsidRPr="00C87D90">
        <w:rPr>
          <w:rFonts w:ascii="Times New Roman" w:hAnsi="Times New Roman" w:cs="Times New Roman"/>
          <w:sz w:val="24"/>
          <w:szCs w:val="24"/>
        </w:rPr>
        <w:lastRenderedPageBreak/>
        <w:t xml:space="preserve">Tablica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Tablica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1</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Različiti kriteriji razvrstavanja hotela</w:t>
      </w:r>
      <w:bookmarkEnd w:id="27"/>
    </w:p>
    <w:tbl>
      <w:tblPr>
        <w:tblStyle w:val="TableGrid"/>
        <w:tblW w:w="0" w:type="auto"/>
        <w:tblLook w:val="04A0" w:firstRow="1" w:lastRow="0" w:firstColumn="1" w:lastColumn="0" w:noHBand="0" w:noVBand="1"/>
      </w:tblPr>
      <w:tblGrid>
        <w:gridCol w:w="1110"/>
        <w:gridCol w:w="1763"/>
        <w:gridCol w:w="1111"/>
        <w:gridCol w:w="1160"/>
        <w:gridCol w:w="1387"/>
        <w:gridCol w:w="1379"/>
        <w:gridCol w:w="1440"/>
      </w:tblGrid>
      <w:tr w:rsidR="006E052A" w:rsidRPr="00BE5472" w14:paraId="0677837A" w14:textId="77777777" w:rsidTr="001657A1">
        <w:trPr>
          <w:trHeight w:val="1302"/>
        </w:trPr>
        <w:tc>
          <w:tcPr>
            <w:tcW w:w="0" w:type="auto"/>
            <w:vAlign w:val="center"/>
          </w:tcPr>
          <w:p w14:paraId="22F40F66"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PREMA LOKACIJI</w:t>
            </w:r>
          </w:p>
        </w:tc>
        <w:tc>
          <w:tcPr>
            <w:tcW w:w="0" w:type="auto"/>
            <w:vAlign w:val="center"/>
          </w:tcPr>
          <w:p w14:paraId="07FF91DA"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PREMA MIKROLOKACIJI</w:t>
            </w:r>
          </w:p>
        </w:tc>
        <w:tc>
          <w:tcPr>
            <w:tcW w:w="0" w:type="auto"/>
            <w:vAlign w:val="center"/>
          </w:tcPr>
          <w:p w14:paraId="728B0AD8" w14:textId="6FB65B04"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 xml:space="preserve"> </w:t>
            </w:r>
            <w:r w:rsidR="000653CD" w:rsidRPr="00BE5472">
              <w:rPr>
                <w:rFonts w:ascii="Times New Roman" w:hAnsi="Times New Roman" w:cs="Times New Roman"/>
                <w:b/>
                <w:sz w:val="18"/>
                <w:szCs w:val="18"/>
              </w:rPr>
              <w:t xml:space="preserve"> </w:t>
            </w:r>
            <w:r w:rsidR="00D17B3F" w:rsidRPr="00BE5472">
              <w:rPr>
                <w:rFonts w:ascii="Times New Roman" w:hAnsi="Times New Roman" w:cs="Times New Roman"/>
                <w:b/>
                <w:sz w:val="18"/>
                <w:szCs w:val="18"/>
              </w:rPr>
              <w:t xml:space="preserve">S </w:t>
            </w:r>
            <w:r w:rsidRPr="00BE5472">
              <w:rPr>
                <w:rFonts w:ascii="Times New Roman" w:hAnsi="Times New Roman" w:cs="Times New Roman"/>
                <w:b/>
                <w:sz w:val="18"/>
                <w:szCs w:val="18"/>
              </w:rPr>
              <w:t>OBZIROM NA MOTIVE GOSTIJU</w:t>
            </w:r>
          </w:p>
        </w:tc>
        <w:tc>
          <w:tcPr>
            <w:tcW w:w="0" w:type="auto"/>
            <w:vAlign w:val="center"/>
          </w:tcPr>
          <w:p w14:paraId="5B2BF894"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PREMA VRSTI USLUGE</w:t>
            </w:r>
          </w:p>
        </w:tc>
        <w:tc>
          <w:tcPr>
            <w:tcW w:w="0" w:type="auto"/>
            <w:vAlign w:val="center"/>
          </w:tcPr>
          <w:p w14:paraId="40EC2633"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S OBZIROM NA RAZINU KVALITETE</w:t>
            </w:r>
          </w:p>
        </w:tc>
        <w:tc>
          <w:tcPr>
            <w:tcW w:w="0" w:type="auto"/>
            <w:vAlign w:val="center"/>
          </w:tcPr>
          <w:p w14:paraId="3E82439A"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PREMA VLASNIŠTVU</w:t>
            </w:r>
          </w:p>
        </w:tc>
        <w:tc>
          <w:tcPr>
            <w:tcW w:w="0" w:type="auto"/>
            <w:vAlign w:val="center"/>
          </w:tcPr>
          <w:p w14:paraId="266832F4" w14:textId="77777777" w:rsidR="006E052A" w:rsidRPr="00BE5472" w:rsidRDefault="006E052A" w:rsidP="001657A1">
            <w:pPr>
              <w:spacing w:after="120" w:line="360" w:lineRule="auto"/>
              <w:jc w:val="center"/>
              <w:rPr>
                <w:rFonts w:ascii="Times New Roman" w:hAnsi="Times New Roman" w:cs="Times New Roman"/>
                <w:b/>
                <w:sz w:val="18"/>
                <w:szCs w:val="18"/>
              </w:rPr>
            </w:pPr>
            <w:r w:rsidRPr="00BE5472">
              <w:rPr>
                <w:rFonts w:ascii="Times New Roman" w:hAnsi="Times New Roman" w:cs="Times New Roman"/>
                <w:b/>
                <w:sz w:val="18"/>
                <w:szCs w:val="18"/>
              </w:rPr>
              <w:t>PREMA RAZDOBLJU POSLOVANJA</w:t>
            </w:r>
          </w:p>
        </w:tc>
      </w:tr>
      <w:tr w:rsidR="006E052A" w:rsidRPr="00BE5472" w14:paraId="3C4DB10B" w14:textId="77777777" w:rsidTr="001657A1">
        <w:tc>
          <w:tcPr>
            <w:tcW w:w="0" w:type="auto"/>
            <w:vAlign w:val="center"/>
          </w:tcPr>
          <w:p w14:paraId="31FB81B7" w14:textId="77777777" w:rsidR="006E052A" w:rsidRPr="00BE5472" w:rsidRDefault="006E052A" w:rsidP="001657A1">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gradski, primorski, planinski i seoski hoteli</w:t>
            </w:r>
          </w:p>
        </w:tc>
        <w:tc>
          <w:tcPr>
            <w:tcW w:w="0" w:type="auto"/>
            <w:vAlign w:val="center"/>
          </w:tcPr>
          <w:p w14:paraId="18AC0B45" w14:textId="77777777" w:rsidR="006E052A" w:rsidRPr="00BE5472" w:rsidRDefault="006E052A" w:rsidP="001657A1">
            <w:pPr>
              <w:spacing w:line="360" w:lineRule="auto"/>
              <w:jc w:val="center"/>
              <w:rPr>
                <w:rFonts w:ascii="Times New Roman" w:hAnsi="Times New Roman" w:cs="Times New Roman"/>
                <w:sz w:val="18"/>
                <w:szCs w:val="18"/>
              </w:rPr>
            </w:pPr>
            <w:r w:rsidRPr="00BE5472">
              <w:rPr>
                <w:rFonts w:ascii="Times New Roman" w:hAnsi="Times New Roman" w:cs="Times New Roman"/>
                <w:sz w:val="18"/>
                <w:szCs w:val="18"/>
              </w:rPr>
              <w:t>hoteli uz zračnu luku, u središtu ili predgrađu grada, uz glavne prometnice</w:t>
            </w:r>
          </w:p>
          <w:p w14:paraId="1B391BFA" w14:textId="77777777" w:rsidR="006E052A" w:rsidRPr="00BE5472" w:rsidRDefault="006E052A" w:rsidP="001657A1">
            <w:pPr>
              <w:spacing w:line="360" w:lineRule="auto"/>
              <w:jc w:val="center"/>
              <w:rPr>
                <w:rFonts w:ascii="Times New Roman" w:hAnsi="Times New Roman" w:cs="Times New Roman"/>
                <w:sz w:val="18"/>
                <w:szCs w:val="18"/>
              </w:rPr>
            </w:pPr>
            <w:r w:rsidRPr="00BE5472">
              <w:rPr>
                <w:rFonts w:ascii="Times New Roman" w:hAnsi="Times New Roman" w:cs="Times New Roman"/>
                <w:sz w:val="18"/>
                <w:szCs w:val="18"/>
              </w:rPr>
              <w:t>ili na plaži</w:t>
            </w:r>
          </w:p>
        </w:tc>
        <w:tc>
          <w:tcPr>
            <w:tcW w:w="0" w:type="auto"/>
            <w:vAlign w:val="center"/>
          </w:tcPr>
          <w:p w14:paraId="2F07B7D2" w14:textId="08A7BD8D" w:rsidR="00D76B74" w:rsidRPr="00BE5472" w:rsidRDefault="006E052A" w:rsidP="00D76B74">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poslovn</w:t>
            </w:r>
            <w:r w:rsidR="00907A28">
              <w:rPr>
                <w:rFonts w:ascii="Times New Roman" w:hAnsi="Times New Roman" w:cs="Times New Roman"/>
                <w:sz w:val="18"/>
                <w:szCs w:val="18"/>
              </w:rPr>
              <w:t>i</w:t>
            </w:r>
            <w:r w:rsidRPr="00BE5472">
              <w:rPr>
                <w:rFonts w:ascii="Times New Roman" w:hAnsi="Times New Roman" w:cs="Times New Roman"/>
                <w:sz w:val="18"/>
                <w:szCs w:val="18"/>
              </w:rPr>
              <w:t>, kongresn</w:t>
            </w:r>
            <w:r w:rsidR="00907A28">
              <w:rPr>
                <w:rFonts w:ascii="Times New Roman" w:hAnsi="Times New Roman" w:cs="Times New Roman"/>
                <w:sz w:val="18"/>
                <w:szCs w:val="18"/>
              </w:rPr>
              <w:t>i</w:t>
            </w:r>
            <w:r w:rsidR="00D76B74" w:rsidRPr="00BE5472">
              <w:rPr>
                <w:rFonts w:ascii="Times New Roman" w:hAnsi="Times New Roman" w:cs="Times New Roman"/>
                <w:sz w:val="18"/>
                <w:szCs w:val="18"/>
              </w:rPr>
              <w:t>,</w:t>
            </w:r>
          </w:p>
          <w:p w14:paraId="1F076B1E" w14:textId="1D352FC0" w:rsidR="006E052A" w:rsidRPr="00BE5472" w:rsidRDefault="006E052A" w:rsidP="00D76B74">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odmorišn</w:t>
            </w:r>
            <w:r w:rsidR="00907A28">
              <w:rPr>
                <w:rFonts w:ascii="Times New Roman" w:hAnsi="Times New Roman" w:cs="Times New Roman"/>
                <w:sz w:val="18"/>
                <w:szCs w:val="18"/>
              </w:rPr>
              <w:t>i</w:t>
            </w:r>
            <w:r w:rsidRPr="00BE5472">
              <w:rPr>
                <w:rFonts w:ascii="Times New Roman" w:hAnsi="Times New Roman" w:cs="Times New Roman"/>
                <w:sz w:val="18"/>
                <w:szCs w:val="18"/>
              </w:rPr>
              <w:t>, obiteljsk</w:t>
            </w:r>
            <w:r w:rsidR="00907A28">
              <w:rPr>
                <w:rFonts w:ascii="Times New Roman" w:hAnsi="Times New Roman" w:cs="Times New Roman"/>
                <w:sz w:val="18"/>
                <w:szCs w:val="18"/>
              </w:rPr>
              <w:t>i</w:t>
            </w:r>
            <w:r w:rsidRPr="00BE5472">
              <w:rPr>
                <w:rFonts w:ascii="Times New Roman" w:hAnsi="Times New Roman" w:cs="Times New Roman"/>
                <w:sz w:val="18"/>
                <w:szCs w:val="18"/>
              </w:rPr>
              <w:t xml:space="preserve">, </w:t>
            </w:r>
            <w:r w:rsidRPr="00BE5472">
              <w:rPr>
                <w:rFonts w:ascii="Times New Roman" w:hAnsi="Times New Roman" w:cs="Times New Roman"/>
                <w:i/>
                <w:sz w:val="18"/>
                <w:szCs w:val="18"/>
              </w:rPr>
              <w:t>wellness</w:t>
            </w:r>
            <w:r w:rsidRPr="00BE5472">
              <w:rPr>
                <w:rFonts w:ascii="Times New Roman" w:hAnsi="Times New Roman" w:cs="Times New Roman"/>
                <w:sz w:val="18"/>
                <w:szCs w:val="18"/>
              </w:rPr>
              <w:t xml:space="preserve"> i kasino hotele</w:t>
            </w:r>
          </w:p>
        </w:tc>
        <w:tc>
          <w:tcPr>
            <w:tcW w:w="0" w:type="auto"/>
            <w:vAlign w:val="center"/>
          </w:tcPr>
          <w:p w14:paraId="7AA51544" w14:textId="77777777" w:rsidR="006E052A" w:rsidRPr="00BE5472" w:rsidRDefault="006E052A" w:rsidP="001657A1">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hoteli s punom ili ograničenom uslugom aparthotel</w:t>
            </w:r>
          </w:p>
        </w:tc>
        <w:tc>
          <w:tcPr>
            <w:tcW w:w="0" w:type="auto"/>
            <w:vAlign w:val="center"/>
          </w:tcPr>
          <w:p w14:paraId="2A2DDAD3" w14:textId="792BA5B3" w:rsidR="006E052A" w:rsidRPr="00BE5472" w:rsidRDefault="006E052A" w:rsidP="001657A1">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(luksuzni ili visokokvalitetni hoteli, hoteli srednje (</w:t>
            </w:r>
            <w:r w:rsidRPr="00BE5472">
              <w:rPr>
                <w:rFonts w:ascii="Times New Roman" w:hAnsi="Times New Roman" w:cs="Times New Roman"/>
                <w:i/>
                <w:sz w:val="18"/>
                <w:szCs w:val="18"/>
              </w:rPr>
              <w:t>mid</w:t>
            </w:r>
            <w:r w:rsidRPr="00BE5472">
              <w:rPr>
                <w:rFonts w:ascii="Times New Roman" w:hAnsi="Times New Roman" w:cs="Times New Roman"/>
                <w:sz w:val="18"/>
                <w:szCs w:val="18"/>
              </w:rPr>
              <w:t>-</w:t>
            </w:r>
            <w:r w:rsidRPr="00BE5472">
              <w:rPr>
                <w:rFonts w:ascii="Times New Roman" w:hAnsi="Times New Roman" w:cs="Times New Roman"/>
                <w:i/>
                <w:sz w:val="18"/>
                <w:szCs w:val="18"/>
              </w:rPr>
              <w:t>price</w:t>
            </w:r>
            <w:r w:rsidRPr="00BE5472">
              <w:rPr>
                <w:rFonts w:ascii="Times New Roman" w:hAnsi="Times New Roman" w:cs="Times New Roman"/>
                <w:sz w:val="18"/>
                <w:szCs w:val="18"/>
              </w:rPr>
              <w:t>), srednje niže (</w:t>
            </w:r>
            <w:r w:rsidRPr="00BE5472">
              <w:rPr>
                <w:rFonts w:ascii="Times New Roman" w:hAnsi="Times New Roman" w:cs="Times New Roman"/>
                <w:i/>
                <w:sz w:val="18"/>
                <w:szCs w:val="18"/>
              </w:rPr>
              <w:t>economy</w:t>
            </w:r>
            <w:r w:rsidRPr="00BE5472">
              <w:rPr>
                <w:rFonts w:ascii="Times New Roman" w:hAnsi="Times New Roman" w:cs="Times New Roman"/>
                <w:sz w:val="18"/>
                <w:szCs w:val="18"/>
              </w:rPr>
              <w:t>) i niske (</w:t>
            </w:r>
            <w:r w:rsidRPr="00BE5472">
              <w:rPr>
                <w:rFonts w:ascii="Times New Roman" w:hAnsi="Times New Roman" w:cs="Times New Roman"/>
                <w:i/>
                <w:sz w:val="18"/>
                <w:szCs w:val="18"/>
              </w:rPr>
              <w:t>budget</w:t>
            </w:r>
            <w:r w:rsidRPr="00BE5472">
              <w:rPr>
                <w:rFonts w:ascii="Times New Roman" w:hAnsi="Times New Roman" w:cs="Times New Roman"/>
                <w:sz w:val="18"/>
                <w:szCs w:val="18"/>
              </w:rPr>
              <w:t>) cijene</w:t>
            </w:r>
          </w:p>
        </w:tc>
        <w:tc>
          <w:tcPr>
            <w:tcW w:w="0" w:type="auto"/>
            <w:vAlign w:val="center"/>
          </w:tcPr>
          <w:p w14:paraId="3C3093B7" w14:textId="30E51F4B" w:rsidR="006E052A" w:rsidRPr="00BE5472" w:rsidRDefault="006E052A" w:rsidP="001657A1">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privatni i državni, institucionalni</w:t>
            </w:r>
          </w:p>
        </w:tc>
        <w:tc>
          <w:tcPr>
            <w:tcW w:w="0" w:type="auto"/>
            <w:vAlign w:val="center"/>
          </w:tcPr>
          <w:p w14:paraId="2E9F9CC3" w14:textId="5DA04E64" w:rsidR="006E052A" w:rsidRPr="00BE5472" w:rsidRDefault="006E052A" w:rsidP="001657A1">
            <w:pPr>
              <w:spacing w:after="120" w:line="360" w:lineRule="auto"/>
              <w:jc w:val="center"/>
              <w:rPr>
                <w:rFonts w:ascii="Times New Roman" w:hAnsi="Times New Roman" w:cs="Times New Roman"/>
                <w:sz w:val="18"/>
                <w:szCs w:val="18"/>
              </w:rPr>
            </w:pPr>
            <w:r w:rsidRPr="00BE5472">
              <w:rPr>
                <w:rFonts w:ascii="Times New Roman" w:hAnsi="Times New Roman" w:cs="Times New Roman"/>
                <w:sz w:val="18"/>
                <w:szCs w:val="18"/>
              </w:rPr>
              <w:t>sezonsk</w:t>
            </w:r>
            <w:r w:rsidR="00907A28">
              <w:rPr>
                <w:rFonts w:ascii="Times New Roman" w:hAnsi="Times New Roman" w:cs="Times New Roman"/>
                <w:sz w:val="18"/>
                <w:szCs w:val="18"/>
              </w:rPr>
              <w:t>i</w:t>
            </w:r>
            <w:r w:rsidRPr="00BE5472">
              <w:rPr>
                <w:rFonts w:ascii="Times New Roman" w:hAnsi="Times New Roman" w:cs="Times New Roman"/>
                <w:sz w:val="18"/>
                <w:szCs w:val="18"/>
              </w:rPr>
              <w:t xml:space="preserve"> i cjelogodišnj</w:t>
            </w:r>
            <w:r w:rsidR="00907A28">
              <w:rPr>
                <w:rFonts w:ascii="Times New Roman" w:hAnsi="Times New Roman" w:cs="Times New Roman"/>
                <w:sz w:val="18"/>
                <w:szCs w:val="18"/>
              </w:rPr>
              <w:t>i</w:t>
            </w:r>
          </w:p>
        </w:tc>
      </w:tr>
    </w:tbl>
    <w:p w14:paraId="0B8DC26C"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Čavlek, N. i sur. (2011). </w:t>
      </w:r>
      <w:r w:rsidRPr="00BE5472">
        <w:rPr>
          <w:rFonts w:ascii="Times New Roman" w:hAnsi="Times New Roman" w:cs="Times New Roman"/>
          <w:i/>
          <w:sz w:val="24"/>
          <w:szCs w:val="24"/>
        </w:rPr>
        <w:t>Turizam: ekonomske osnove i organizacijski sustav</w:t>
      </w:r>
      <w:r w:rsidRPr="00BE5472">
        <w:rPr>
          <w:rFonts w:ascii="Times New Roman" w:hAnsi="Times New Roman" w:cs="Times New Roman"/>
          <w:sz w:val="24"/>
          <w:szCs w:val="24"/>
        </w:rPr>
        <w:t>. Zagreb: Školska knjiga, str. 165.</w:t>
      </w:r>
    </w:p>
    <w:p w14:paraId="39D2E019" w14:textId="436BEF5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Uz navedeno valja kratko pojasniti etimologiju riječi ugostiteljstvo.</w:t>
      </w:r>
      <w:r w:rsidR="00143E9F">
        <w:rPr>
          <w:rFonts w:ascii="Times New Roman" w:hAnsi="Times New Roman" w:cs="Times New Roman"/>
          <w:sz w:val="24"/>
          <w:szCs w:val="24"/>
        </w:rPr>
        <w:t xml:space="preserve"> </w:t>
      </w:r>
      <w:r w:rsidR="004C0CF8" w:rsidRPr="00BE5472">
        <w:rPr>
          <w:rFonts w:ascii="Times New Roman" w:hAnsi="Times New Roman" w:cs="Times New Roman"/>
          <w:sz w:val="24"/>
          <w:szCs w:val="24"/>
        </w:rPr>
        <w:t xml:space="preserve">Riječ </w:t>
      </w:r>
      <w:r w:rsidRPr="00BE5472">
        <w:rPr>
          <w:rFonts w:ascii="Times New Roman" w:hAnsi="Times New Roman" w:cs="Times New Roman"/>
          <w:i/>
          <w:sz w:val="24"/>
          <w:szCs w:val="24"/>
        </w:rPr>
        <w:t>gost</w:t>
      </w:r>
      <w:r w:rsidRPr="00BE5472">
        <w:rPr>
          <w:rFonts w:ascii="Times New Roman" w:hAnsi="Times New Roman" w:cs="Times New Roman"/>
          <w:sz w:val="24"/>
          <w:szCs w:val="24"/>
        </w:rPr>
        <w:t xml:space="preserve">  pot</w:t>
      </w:r>
      <w:r w:rsidR="004C0CF8" w:rsidRPr="00BE5472">
        <w:rPr>
          <w:rFonts w:ascii="Times New Roman" w:hAnsi="Times New Roman" w:cs="Times New Roman"/>
          <w:sz w:val="24"/>
          <w:szCs w:val="24"/>
        </w:rPr>
        <w:t xml:space="preserve">ječe iz srednjoengleske riječi </w:t>
      </w:r>
      <w:r w:rsidR="004C0CF8" w:rsidRPr="00BE5472">
        <w:rPr>
          <w:rFonts w:ascii="Times New Roman" w:hAnsi="Times New Roman" w:cs="Times New Roman"/>
          <w:i/>
          <w:sz w:val="24"/>
          <w:szCs w:val="24"/>
        </w:rPr>
        <w:t>gest</w:t>
      </w:r>
      <w:r w:rsidRPr="00BE5472">
        <w:rPr>
          <w:rFonts w:ascii="Times New Roman" w:hAnsi="Times New Roman" w:cs="Times New Roman"/>
          <w:sz w:val="24"/>
          <w:szCs w:val="24"/>
        </w:rPr>
        <w:t>, koja je kroz vrijem</w:t>
      </w:r>
      <w:r w:rsidR="004C0CF8" w:rsidRPr="00BE5472">
        <w:rPr>
          <w:rFonts w:ascii="Times New Roman" w:hAnsi="Times New Roman" w:cs="Times New Roman"/>
          <w:sz w:val="24"/>
          <w:szCs w:val="24"/>
        </w:rPr>
        <w:t xml:space="preserve">e evoluirala iz staronorveškog </w:t>
      </w:r>
      <w:r w:rsidRPr="00BE5472">
        <w:rPr>
          <w:rFonts w:ascii="Times New Roman" w:hAnsi="Times New Roman" w:cs="Times New Roman"/>
          <w:i/>
          <w:sz w:val="24"/>
          <w:szCs w:val="24"/>
        </w:rPr>
        <w:t>gestr</w:t>
      </w:r>
      <w:r w:rsidR="004C0CF8" w:rsidRPr="00BE5472">
        <w:rPr>
          <w:rFonts w:ascii="Times New Roman" w:hAnsi="Times New Roman" w:cs="Times New Roman"/>
          <w:sz w:val="24"/>
          <w:szCs w:val="24"/>
        </w:rPr>
        <w:t xml:space="preserve"> i iz starovisokonjemačkog </w:t>
      </w:r>
      <w:r w:rsidR="004C0CF8" w:rsidRPr="00BE5472">
        <w:rPr>
          <w:rFonts w:ascii="Times New Roman" w:hAnsi="Times New Roman" w:cs="Times New Roman"/>
          <w:i/>
          <w:sz w:val="24"/>
          <w:szCs w:val="24"/>
        </w:rPr>
        <w:t>gast</w:t>
      </w:r>
      <w:r w:rsidRPr="00BE5472">
        <w:rPr>
          <w:rFonts w:ascii="Times New Roman" w:hAnsi="Times New Roman" w:cs="Times New Roman"/>
          <w:sz w:val="24"/>
          <w:szCs w:val="24"/>
        </w:rPr>
        <w:t>. Obje riječi potječu iz germanskog izr</w:t>
      </w:r>
      <w:r w:rsidR="004C0CF8" w:rsidRPr="00BE5472">
        <w:rPr>
          <w:rFonts w:ascii="Times New Roman" w:hAnsi="Times New Roman" w:cs="Times New Roman"/>
          <w:sz w:val="24"/>
          <w:szCs w:val="24"/>
        </w:rPr>
        <w:t xml:space="preserve">aza </w:t>
      </w:r>
      <w:r w:rsidRPr="00BE5472">
        <w:rPr>
          <w:rFonts w:ascii="Times New Roman" w:hAnsi="Times New Roman" w:cs="Times New Roman"/>
          <w:i/>
          <w:sz w:val="24"/>
          <w:szCs w:val="24"/>
        </w:rPr>
        <w:t>gastiz</w:t>
      </w:r>
      <w:r w:rsidR="004C0CF8" w:rsidRPr="00BE5472">
        <w:rPr>
          <w:rFonts w:ascii="Times New Roman" w:hAnsi="Times New Roman" w:cs="Times New Roman"/>
          <w:sz w:val="24"/>
          <w:szCs w:val="24"/>
        </w:rPr>
        <w:t xml:space="preserve">.  </w:t>
      </w:r>
      <w:r w:rsidRPr="00BE5472">
        <w:rPr>
          <w:rFonts w:ascii="Times New Roman" w:hAnsi="Times New Roman" w:cs="Times New Roman"/>
          <w:i/>
          <w:sz w:val="24"/>
          <w:szCs w:val="24"/>
        </w:rPr>
        <w:t>Ghos-ti</w:t>
      </w:r>
      <w:r w:rsidR="004C0CF8" w:rsidRPr="00BE5472">
        <w:rPr>
          <w:rFonts w:ascii="Times New Roman" w:hAnsi="Times New Roman" w:cs="Times New Roman"/>
          <w:sz w:val="24"/>
          <w:szCs w:val="24"/>
        </w:rPr>
        <w:t xml:space="preserve"> ima latinski korijen </w:t>
      </w:r>
      <w:r w:rsidR="004C0CF8" w:rsidRPr="00BE5472">
        <w:rPr>
          <w:rFonts w:ascii="Times New Roman" w:hAnsi="Times New Roman" w:cs="Times New Roman"/>
          <w:i/>
          <w:sz w:val="24"/>
          <w:szCs w:val="24"/>
        </w:rPr>
        <w:t>hostis</w:t>
      </w:r>
      <w:r w:rsidRPr="00BE5472">
        <w:rPr>
          <w:rFonts w:ascii="Times New Roman" w:hAnsi="Times New Roman" w:cs="Times New Roman"/>
          <w:sz w:val="24"/>
          <w:szCs w:val="24"/>
        </w:rPr>
        <w:t>, što znači neprijatelj, v</w:t>
      </w:r>
      <w:r w:rsidR="004C0CF8" w:rsidRPr="00BE5472">
        <w:rPr>
          <w:rFonts w:ascii="Times New Roman" w:hAnsi="Times New Roman" w:cs="Times New Roman"/>
          <w:sz w:val="24"/>
          <w:szCs w:val="24"/>
        </w:rPr>
        <w:t xml:space="preserve">ojska. Odavde potječu i riječi </w:t>
      </w:r>
      <w:r w:rsidRPr="00BE5472">
        <w:rPr>
          <w:rFonts w:ascii="Times New Roman" w:hAnsi="Times New Roman" w:cs="Times New Roman"/>
          <w:i/>
          <w:sz w:val="24"/>
          <w:szCs w:val="24"/>
        </w:rPr>
        <w:t>host</w:t>
      </w:r>
      <w:r w:rsidR="004C0CF8" w:rsidRPr="00BE5472">
        <w:rPr>
          <w:rFonts w:ascii="Times New Roman" w:hAnsi="Times New Roman" w:cs="Times New Roman"/>
          <w:sz w:val="24"/>
          <w:szCs w:val="24"/>
        </w:rPr>
        <w:t xml:space="preserve"> (mnoštvo), </w:t>
      </w:r>
      <w:r w:rsidRPr="00BE5472">
        <w:rPr>
          <w:rFonts w:ascii="Times New Roman" w:hAnsi="Times New Roman" w:cs="Times New Roman"/>
          <w:i/>
          <w:sz w:val="24"/>
          <w:szCs w:val="24"/>
        </w:rPr>
        <w:t>hostile</w:t>
      </w:r>
      <w:r w:rsidR="004C0CF8" w:rsidRPr="00BE5472">
        <w:rPr>
          <w:rFonts w:ascii="Times New Roman" w:hAnsi="Times New Roman" w:cs="Times New Roman"/>
          <w:sz w:val="24"/>
          <w:szCs w:val="24"/>
        </w:rPr>
        <w:t xml:space="preserve"> (neprijateljski) i </w:t>
      </w:r>
      <w:r w:rsidRPr="00BE5472">
        <w:rPr>
          <w:rFonts w:ascii="Times New Roman" w:hAnsi="Times New Roman" w:cs="Times New Roman"/>
          <w:i/>
          <w:sz w:val="24"/>
          <w:szCs w:val="24"/>
        </w:rPr>
        <w:t>hostia</w:t>
      </w:r>
      <w:r w:rsidR="004C0CF8" w:rsidRPr="00BE5472">
        <w:rPr>
          <w:rFonts w:ascii="Times New Roman" w:hAnsi="Times New Roman" w:cs="Times New Roman"/>
          <w:sz w:val="24"/>
          <w:szCs w:val="24"/>
        </w:rPr>
        <w:t xml:space="preserve"> (žrtva, domaćin). Kombinacija </w:t>
      </w:r>
      <w:r w:rsidRPr="00BE5472">
        <w:rPr>
          <w:rFonts w:ascii="Times New Roman" w:hAnsi="Times New Roman" w:cs="Times New Roman"/>
          <w:i/>
          <w:sz w:val="24"/>
          <w:szCs w:val="24"/>
        </w:rPr>
        <w:t>ghos-ti</w:t>
      </w:r>
      <w:r w:rsidR="004C0CF8" w:rsidRPr="00BE5472">
        <w:rPr>
          <w:rFonts w:ascii="Times New Roman" w:hAnsi="Times New Roman" w:cs="Times New Roman"/>
          <w:sz w:val="24"/>
          <w:szCs w:val="24"/>
        </w:rPr>
        <w:t xml:space="preserve"> i protoindoeuropskog korijena </w:t>
      </w:r>
      <w:r w:rsidRPr="00BE5472">
        <w:rPr>
          <w:rFonts w:ascii="Times New Roman" w:hAnsi="Times New Roman" w:cs="Times New Roman"/>
          <w:i/>
          <w:sz w:val="24"/>
          <w:szCs w:val="24"/>
        </w:rPr>
        <w:t>poti</w:t>
      </w:r>
      <w:r w:rsidRPr="00BE5472">
        <w:rPr>
          <w:rFonts w:ascii="Times New Roman" w:hAnsi="Times New Roman" w:cs="Times New Roman"/>
          <w:sz w:val="24"/>
          <w:szCs w:val="24"/>
        </w:rPr>
        <w:t>, dala je slo</w:t>
      </w:r>
      <w:r w:rsidR="004C0CF8" w:rsidRPr="00BE5472">
        <w:rPr>
          <w:rFonts w:ascii="Times New Roman" w:hAnsi="Times New Roman" w:cs="Times New Roman"/>
          <w:sz w:val="24"/>
          <w:szCs w:val="24"/>
        </w:rPr>
        <w:t xml:space="preserve">ženi korijen </w:t>
      </w:r>
      <w:r w:rsidRPr="00BE5472">
        <w:rPr>
          <w:rFonts w:ascii="Times New Roman" w:hAnsi="Times New Roman" w:cs="Times New Roman"/>
          <w:i/>
          <w:sz w:val="24"/>
          <w:szCs w:val="24"/>
        </w:rPr>
        <w:t>ghos-pot</w:t>
      </w:r>
      <w:r w:rsidR="004C0CF8" w:rsidRPr="00BE5472">
        <w:rPr>
          <w:rFonts w:ascii="Times New Roman" w:hAnsi="Times New Roman" w:cs="Times New Roman"/>
          <w:sz w:val="24"/>
          <w:szCs w:val="24"/>
        </w:rPr>
        <w:t xml:space="preserve"> i </w:t>
      </w:r>
      <w:r w:rsidR="004C0CF8" w:rsidRPr="00BE5472">
        <w:rPr>
          <w:rFonts w:ascii="Times New Roman" w:hAnsi="Times New Roman" w:cs="Times New Roman"/>
          <w:i/>
          <w:sz w:val="24"/>
          <w:szCs w:val="24"/>
        </w:rPr>
        <w:t>ghos-po(d)</w:t>
      </w:r>
      <w:r w:rsidRPr="00BE5472">
        <w:rPr>
          <w:rFonts w:ascii="Times New Roman" w:hAnsi="Times New Roman" w:cs="Times New Roman"/>
          <w:i/>
          <w:sz w:val="24"/>
          <w:szCs w:val="24"/>
        </w:rPr>
        <w:t>,</w:t>
      </w:r>
      <w:r w:rsidR="004C0CF8" w:rsidRPr="00BE5472">
        <w:rPr>
          <w:rFonts w:ascii="Times New Roman" w:hAnsi="Times New Roman" w:cs="Times New Roman"/>
          <w:sz w:val="24"/>
          <w:szCs w:val="24"/>
        </w:rPr>
        <w:t xml:space="preserve"> koji je evoluirao u latinski </w:t>
      </w:r>
      <w:r w:rsidRPr="00BE5472">
        <w:rPr>
          <w:rFonts w:ascii="Times New Roman" w:hAnsi="Times New Roman" w:cs="Times New Roman"/>
          <w:i/>
          <w:sz w:val="24"/>
          <w:szCs w:val="24"/>
        </w:rPr>
        <w:t>hospes</w:t>
      </w:r>
      <w:r w:rsidR="004C0CF8" w:rsidRPr="00BE5472">
        <w:rPr>
          <w:rFonts w:ascii="Times New Roman" w:hAnsi="Times New Roman" w:cs="Times New Roman"/>
          <w:sz w:val="24"/>
          <w:szCs w:val="24"/>
        </w:rPr>
        <w:t xml:space="preserve"> i naposljetku u </w:t>
      </w:r>
      <w:r w:rsidRPr="00BE5472">
        <w:rPr>
          <w:rFonts w:ascii="Times New Roman" w:hAnsi="Times New Roman" w:cs="Times New Roman"/>
          <w:i/>
          <w:sz w:val="24"/>
          <w:szCs w:val="24"/>
        </w:rPr>
        <w:t>hospice</w:t>
      </w:r>
      <w:r w:rsidR="004C0CF8"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hospitable</w:t>
      </w:r>
      <w:r w:rsidR="004C0CF8"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hospital</w:t>
      </w:r>
      <w:r w:rsidR="004C0CF8" w:rsidRPr="00BE5472">
        <w:rPr>
          <w:rFonts w:ascii="Times New Roman" w:hAnsi="Times New Roman" w:cs="Times New Roman"/>
          <w:sz w:val="24"/>
          <w:szCs w:val="24"/>
        </w:rPr>
        <w:t xml:space="preserve">, odnosno engleske riječi </w:t>
      </w:r>
      <w:r w:rsidRPr="00BE5472">
        <w:rPr>
          <w:rFonts w:ascii="Times New Roman" w:hAnsi="Times New Roman" w:cs="Times New Roman"/>
          <w:i/>
          <w:sz w:val="24"/>
          <w:szCs w:val="24"/>
        </w:rPr>
        <w:t>hospitality</w:t>
      </w:r>
      <w:r w:rsidR="004C0CF8"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host</w:t>
      </w:r>
      <w:r w:rsidR="004C0CF8" w:rsidRPr="00BE5472">
        <w:rPr>
          <w:rFonts w:ascii="Times New Roman" w:hAnsi="Times New Roman" w:cs="Times New Roman"/>
          <w:sz w:val="24"/>
          <w:szCs w:val="24"/>
        </w:rPr>
        <w:t xml:space="preserve"> (domaćin), </w:t>
      </w:r>
      <w:r w:rsidRPr="00BE5472">
        <w:rPr>
          <w:rFonts w:ascii="Times New Roman" w:hAnsi="Times New Roman" w:cs="Times New Roman"/>
          <w:i/>
          <w:sz w:val="24"/>
          <w:szCs w:val="24"/>
        </w:rPr>
        <w:t>hostage</w:t>
      </w:r>
      <w:r w:rsidR="004C0CF8"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hostel</w:t>
      </w:r>
      <w:r w:rsidRPr="00BE5472">
        <w:rPr>
          <w:rFonts w:ascii="Times New Roman" w:hAnsi="Times New Roman" w:cs="Times New Roman"/>
          <w:sz w:val="24"/>
          <w:szCs w:val="24"/>
        </w:rPr>
        <w:t>.  Grčki jezici također su evoluirali iz istog p</w:t>
      </w:r>
      <w:r w:rsidR="004C0CF8" w:rsidRPr="00BE5472">
        <w:rPr>
          <w:rFonts w:ascii="Times New Roman" w:hAnsi="Times New Roman" w:cs="Times New Roman"/>
          <w:sz w:val="24"/>
          <w:szCs w:val="24"/>
        </w:rPr>
        <w:t xml:space="preserve">rotoindoeuropskog korijena. Iz </w:t>
      </w:r>
      <w:r w:rsidRPr="00BE5472">
        <w:rPr>
          <w:rFonts w:ascii="Times New Roman" w:hAnsi="Times New Roman" w:cs="Times New Roman"/>
          <w:i/>
          <w:sz w:val="24"/>
          <w:szCs w:val="24"/>
        </w:rPr>
        <w:t>ghos-ti</w:t>
      </w:r>
      <w:r w:rsidR="004C0CF8" w:rsidRPr="00BE5472">
        <w:rPr>
          <w:rFonts w:ascii="Times New Roman" w:hAnsi="Times New Roman" w:cs="Times New Roman"/>
          <w:sz w:val="24"/>
          <w:szCs w:val="24"/>
        </w:rPr>
        <w:t xml:space="preserve"> potječe grčki </w:t>
      </w:r>
      <w:r w:rsidRPr="00BE5472">
        <w:rPr>
          <w:rFonts w:ascii="Times New Roman" w:hAnsi="Times New Roman" w:cs="Times New Roman"/>
          <w:i/>
          <w:sz w:val="24"/>
          <w:szCs w:val="24"/>
        </w:rPr>
        <w:t>xenos</w:t>
      </w:r>
      <w:r w:rsidRPr="00BE5472">
        <w:rPr>
          <w:rFonts w:ascii="Times New Roman" w:hAnsi="Times New Roman" w:cs="Times New Roman"/>
          <w:sz w:val="24"/>
          <w:szCs w:val="24"/>
        </w:rPr>
        <w:t xml:space="preserve"> (gost, domaćin ili s</w:t>
      </w:r>
      <w:r w:rsidR="004C0CF8" w:rsidRPr="00BE5472">
        <w:rPr>
          <w:rFonts w:ascii="Times New Roman" w:hAnsi="Times New Roman" w:cs="Times New Roman"/>
          <w:sz w:val="24"/>
          <w:szCs w:val="24"/>
        </w:rPr>
        <w:t xml:space="preserve">tranac).Ugostiteljstvo, dakle, </w:t>
      </w:r>
      <w:r w:rsidRPr="00BE5472">
        <w:rPr>
          <w:rFonts w:ascii="Times New Roman" w:hAnsi="Times New Roman" w:cs="Times New Roman"/>
          <w:i/>
          <w:sz w:val="24"/>
          <w:szCs w:val="24"/>
        </w:rPr>
        <w:t>predstavlja vrstu jamstva recipročne zaštite — jedan štiti stranca kako bi bio zaštićen od njega</w:t>
      </w:r>
      <w:r w:rsidRPr="00BE5472">
        <w:rPr>
          <w:rFonts w:ascii="Times New Roman" w:hAnsi="Times New Roman" w:cs="Times New Roman"/>
          <w:sz w:val="24"/>
          <w:szCs w:val="24"/>
        </w:rPr>
        <w:t xml:space="preserve"> (Muhlmann 1932).</w:t>
      </w:r>
    </w:p>
    <w:p w14:paraId="69EBDF98" w14:textId="0A2F7C1C"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Kada se promatra razvoj ugostiteljstva i hotelijerstva kroz povijest, mogu se prepoznati </w:t>
      </w:r>
      <w:r w:rsidR="009B2F6D" w:rsidRPr="00BE5472">
        <w:rPr>
          <w:rFonts w:ascii="Times New Roman" w:hAnsi="Times New Roman" w:cs="Times New Roman"/>
          <w:sz w:val="24"/>
          <w:szCs w:val="24"/>
        </w:rPr>
        <w:t>pet</w:t>
      </w:r>
      <w:r w:rsidRPr="00BE5472">
        <w:rPr>
          <w:rFonts w:ascii="Times New Roman" w:hAnsi="Times New Roman" w:cs="Times New Roman"/>
          <w:sz w:val="24"/>
          <w:szCs w:val="24"/>
        </w:rPr>
        <w:t xml:space="preserve"> značajn</w:t>
      </w:r>
      <w:r w:rsidR="00C72F1F" w:rsidRPr="00BE5472">
        <w:rPr>
          <w:rFonts w:ascii="Times New Roman" w:hAnsi="Times New Roman" w:cs="Times New Roman"/>
          <w:sz w:val="24"/>
          <w:szCs w:val="24"/>
        </w:rPr>
        <w:t>ih</w:t>
      </w:r>
      <w:r w:rsidRPr="00BE5472">
        <w:rPr>
          <w:rFonts w:ascii="Times New Roman" w:hAnsi="Times New Roman" w:cs="Times New Roman"/>
          <w:sz w:val="24"/>
          <w:szCs w:val="24"/>
        </w:rPr>
        <w:t xml:space="preserve"> razdoblja: </w:t>
      </w:r>
    </w:p>
    <w:p w14:paraId="18EDB31F" w14:textId="3D6FDEAE" w:rsidR="006E052A" w:rsidRPr="00BE5472" w:rsidRDefault="005A6B6D" w:rsidP="006E052A">
      <w:pPr>
        <w:numPr>
          <w:ilvl w:val="0"/>
          <w:numId w:val="1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a</w:t>
      </w:r>
      <w:r w:rsidR="006E052A" w:rsidRPr="00BE5472">
        <w:rPr>
          <w:rFonts w:ascii="Times New Roman" w:hAnsi="Times New Roman" w:cs="Times New Roman"/>
          <w:sz w:val="24"/>
          <w:szCs w:val="24"/>
        </w:rPr>
        <w:t>ntika (Grčka i Rim),</w:t>
      </w:r>
    </w:p>
    <w:p w14:paraId="71FD6B20" w14:textId="3561284B" w:rsidR="006E052A" w:rsidRPr="00BE5472" w:rsidRDefault="005A6B6D" w:rsidP="006E052A">
      <w:pPr>
        <w:numPr>
          <w:ilvl w:val="0"/>
          <w:numId w:val="1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w:t>
      </w:r>
      <w:r w:rsidR="006E052A" w:rsidRPr="00BE5472">
        <w:rPr>
          <w:rFonts w:ascii="Times New Roman" w:hAnsi="Times New Roman" w:cs="Times New Roman"/>
          <w:sz w:val="24"/>
          <w:szCs w:val="24"/>
        </w:rPr>
        <w:t>rednji vijek (5. do 15. stoljeće)</w:t>
      </w:r>
    </w:p>
    <w:p w14:paraId="220393AD" w14:textId="7EA6C7B8" w:rsidR="006E052A" w:rsidRPr="00BE5472" w:rsidRDefault="005A6B6D" w:rsidP="006E052A">
      <w:pPr>
        <w:numPr>
          <w:ilvl w:val="0"/>
          <w:numId w:val="1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w:t>
      </w:r>
      <w:r w:rsidR="006E052A" w:rsidRPr="00BE5472">
        <w:rPr>
          <w:rFonts w:ascii="Times New Roman" w:hAnsi="Times New Roman" w:cs="Times New Roman"/>
          <w:sz w:val="24"/>
          <w:szCs w:val="24"/>
        </w:rPr>
        <w:t>ovi vijek (renesansa i francuska revolucija od 16. do 19. stoljeća),</w:t>
      </w:r>
    </w:p>
    <w:p w14:paraId="7E4520CC" w14:textId="0633E9E0" w:rsidR="006E052A" w:rsidRPr="00BE5472" w:rsidRDefault="005A6B6D" w:rsidP="006E052A">
      <w:pPr>
        <w:numPr>
          <w:ilvl w:val="0"/>
          <w:numId w:val="1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m</w:t>
      </w:r>
      <w:r w:rsidR="006E052A" w:rsidRPr="00BE5472">
        <w:rPr>
          <w:rFonts w:ascii="Times New Roman" w:hAnsi="Times New Roman" w:cs="Times New Roman"/>
          <w:sz w:val="24"/>
          <w:szCs w:val="24"/>
        </w:rPr>
        <w:t>oderno doba (20. stoljeće) i</w:t>
      </w:r>
    </w:p>
    <w:p w14:paraId="3D0820DB" w14:textId="5F31E084" w:rsidR="006E052A" w:rsidRPr="00BE5472" w:rsidRDefault="005A6B6D" w:rsidP="006E052A">
      <w:pPr>
        <w:numPr>
          <w:ilvl w:val="0"/>
          <w:numId w:val="1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w:t>
      </w:r>
      <w:r w:rsidR="006E052A" w:rsidRPr="00BE5472">
        <w:rPr>
          <w:rFonts w:ascii="Times New Roman" w:hAnsi="Times New Roman" w:cs="Times New Roman"/>
          <w:sz w:val="24"/>
          <w:szCs w:val="24"/>
        </w:rPr>
        <w:t xml:space="preserve">uvremeno doba (21. stoljeće). </w:t>
      </w:r>
    </w:p>
    <w:p w14:paraId="7BE13704" w14:textId="77777777" w:rsidR="006E052A" w:rsidRPr="00BE5472" w:rsidRDefault="006E052A" w:rsidP="006E052A">
      <w:pPr>
        <w:spacing w:after="120" w:line="360" w:lineRule="auto"/>
        <w:jc w:val="both"/>
        <w:rPr>
          <w:rFonts w:ascii="Times New Roman" w:hAnsi="Times New Roman" w:cs="Times New Roman"/>
          <w:sz w:val="24"/>
          <w:szCs w:val="24"/>
        </w:rPr>
      </w:pPr>
    </w:p>
    <w:p w14:paraId="0A087CE8"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Svako od razdoblja analizira se u nastavku uz značajniji naglasak na razvoj hotelijerstva.</w:t>
      </w:r>
    </w:p>
    <w:p w14:paraId="02AC8BDA" w14:textId="77777777" w:rsidR="006E052A" w:rsidRPr="00BE5472" w:rsidRDefault="006E052A" w:rsidP="006E052A">
      <w:pPr>
        <w:spacing w:after="120" w:line="360" w:lineRule="auto"/>
        <w:jc w:val="both"/>
        <w:rPr>
          <w:rFonts w:ascii="Times New Roman" w:hAnsi="Times New Roman" w:cs="Times New Roman"/>
          <w:sz w:val="24"/>
          <w:szCs w:val="24"/>
        </w:rPr>
      </w:pPr>
    </w:p>
    <w:p w14:paraId="307DED2F" w14:textId="472C53A0" w:rsidR="006E052A" w:rsidRPr="00BE5472" w:rsidRDefault="00117185" w:rsidP="00F86301">
      <w:pPr>
        <w:rPr>
          <w:rFonts w:ascii="Times New Roman" w:hAnsi="Times New Roman" w:cs="Times New Roman"/>
          <w:sz w:val="24"/>
          <w:szCs w:val="24"/>
        </w:rPr>
      </w:pPr>
      <w:r w:rsidRPr="00BE5472">
        <w:rPr>
          <w:rFonts w:ascii="Times New Roman" w:hAnsi="Times New Roman" w:cs="Times New Roman"/>
          <w:sz w:val="24"/>
          <w:szCs w:val="24"/>
        </w:rPr>
        <w:t>Antičko razdoblje</w:t>
      </w:r>
    </w:p>
    <w:p w14:paraId="06CEAC69" w14:textId="77777777" w:rsidR="00BC3443" w:rsidRPr="00BE5472" w:rsidRDefault="00BC3443" w:rsidP="00BC3443">
      <w:pPr>
        <w:rPr>
          <w:rFonts w:ascii="Times New Roman" w:hAnsi="Times New Roman" w:cs="Times New Roman"/>
        </w:rPr>
      </w:pPr>
    </w:p>
    <w:p w14:paraId="6A00E663" w14:textId="561E0F0D"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U star</w:t>
      </w:r>
      <w:r w:rsidR="004C0CF8" w:rsidRPr="00BE5472">
        <w:rPr>
          <w:rFonts w:ascii="Times New Roman" w:hAnsi="Times New Roman" w:cs="Times New Roman"/>
          <w:sz w:val="24"/>
          <w:szCs w:val="24"/>
        </w:rPr>
        <w:t xml:space="preserve">oj Grčkoj, gostoljubivost, ili </w:t>
      </w:r>
      <w:r w:rsidRPr="00BE5472">
        <w:rPr>
          <w:rFonts w:ascii="Times New Roman" w:hAnsi="Times New Roman" w:cs="Times New Roman"/>
          <w:i/>
          <w:sz w:val="24"/>
          <w:szCs w:val="24"/>
        </w:rPr>
        <w:t>ksenija</w:t>
      </w:r>
      <w:r w:rsidRPr="00BE5472">
        <w:rPr>
          <w:rFonts w:ascii="Times New Roman" w:hAnsi="Times New Roman" w:cs="Times New Roman"/>
          <w:sz w:val="24"/>
          <w:szCs w:val="24"/>
        </w:rPr>
        <w:t>, bila je sveta praksa pod utjecajem vjerovanja da gosti mogu biti prerušeni bogovi. Bila je bitna za civilizirani život, što se vidi u Homerovim epovima gdje se očekivalo da domaćini pomažu putnicima na njihovim misijama, s nagradama od bogova za časno ponašanje. Gostoljubivost je bila recipročna i nasljedna. Kršenja, poput onih od strane Kiklopâ, bila su strogo osuđena. Javna gostoljubivost uključivala je formalne zakone za različite vrste gostiju, kako je opisao Platon. Proksenos je služio kao diplomats</w:t>
      </w:r>
      <w:r w:rsidR="004C0CF8" w:rsidRPr="00BE5472">
        <w:rPr>
          <w:rFonts w:ascii="Times New Roman" w:hAnsi="Times New Roman" w:cs="Times New Roman"/>
          <w:sz w:val="24"/>
          <w:szCs w:val="24"/>
        </w:rPr>
        <w:t>ki „prijatelj gosta“</w:t>
      </w:r>
      <w:r w:rsidRPr="00BE5472">
        <w:rPr>
          <w:rFonts w:ascii="Times New Roman" w:hAnsi="Times New Roman" w:cs="Times New Roman"/>
          <w:sz w:val="24"/>
          <w:szCs w:val="24"/>
        </w:rPr>
        <w:t xml:space="preserve"> za strane države, poboljšavajući međugradske odnose. Komercijalna gostoljubivost bila je ograničena, ali prisutna, </w:t>
      </w:r>
      <w:r w:rsidR="00E9732F" w:rsidRPr="00BE5472">
        <w:rPr>
          <w:rFonts w:ascii="Times New Roman" w:hAnsi="Times New Roman" w:cs="Times New Roman"/>
          <w:sz w:val="24"/>
          <w:szCs w:val="24"/>
        </w:rPr>
        <w:t>u</w:t>
      </w:r>
      <w:r w:rsidRPr="00BE5472">
        <w:rPr>
          <w:rFonts w:ascii="Times New Roman" w:hAnsi="Times New Roman" w:cs="Times New Roman"/>
          <w:sz w:val="24"/>
          <w:szCs w:val="24"/>
        </w:rPr>
        <w:t xml:space="preserve"> gostionicama poput </w:t>
      </w:r>
      <w:r w:rsidRPr="00BE5472">
        <w:rPr>
          <w:rFonts w:ascii="Times New Roman" w:hAnsi="Times New Roman" w:cs="Times New Roman"/>
          <w:i/>
          <w:sz w:val="24"/>
          <w:szCs w:val="24"/>
        </w:rPr>
        <w:t>katagogeiona</w:t>
      </w:r>
      <w:r w:rsidRPr="00BE5472">
        <w:rPr>
          <w:rFonts w:ascii="Times New Roman" w:hAnsi="Times New Roman" w:cs="Times New Roman"/>
          <w:sz w:val="24"/>
          <w:szCs w:val="24"/>
        </w:rPr>
        <w:t xml:space="preserve"> koje su služile putnicima i doprinosile državnim prihodima (O'Gorman 2005:142 – 145). Važnu ulogu u razvoju ugostiteljstva u staroj Grčkoj imale su Olimpijske igre koje su se održavale svake četiri godine kao simbol jedinstva i harmonije među grčkim polisima. Olimpijske igre bile su praznik za narod, okupljanje vladara, filozofa, kipara, pjesnika, dramatičara i pjevača (Oleksiivna i Anatoliiovych 2022:11).</w:t>
      </w:r>
      <w:r w:rsidRPr="00BE5472">
        <w:rPr>
          <w:rFonts w:ascii="Times New Roman" w:hAnsi="Times New Roman" w:cs="Times New Roman"/>
        </w:rPr>
        <w:t xml:space="preserve"> </w:t>
      </w:r>
      <w:r w:rsidR="004C0CF8" w:rsidRPr="00BE5472">
        <w:rPr>
          <w:rFonts w:ascii="Times New Roman" w:hAnsi="Times New Roman" w:cs="Times New Roman"/>
          <w:sz w:val="24"/>
          <w:szCs w:val="24"/>
        </w:rPr>
        <w:t xml:space="preserve">Stari Grci </w:t>
      </w:r>
      <w:r w:rsidRPr="00BE5472">
        <w:rPr>
          <w:rFonts w:ascii="Times New Roman" w:hAnsi="Times New Roman" w:cs="Times New Roman"/>
          <w:sz w:val="24"/>
          <w:szCs w:val="24"/>
        </w:rPr>
        <w:t>započeli</w:t>
      </w:r>
      <w:r w:rsidR="004C0CF8" w:rsidRPr="00BE5472">
        <w:rPr>
          <w:rFonts w:ascii="Times New Roman" w:hAnsi="Times New Roman" w:cs="Times New Roman"/>
          <w:sz w:val="24"/>
          <w:szCs w:val="24"/>
        </w:rPr>
        <w:t xml:space="preserve"> su</w:t>
      </w:r>
      <w:r w:rsidRPr="00BE5472">
        <w:rPr>
          <w:rFonts w:ascii="Times New Roman" w:hAnsi="Times New Roman" w:cs="Times New Roman"/>
          <w:sz w:val="24"/>
          <w:szCs w:val="24"/>
        </w:rPr>
        <w:t xml:space="preserve"> s otvaranjem termalnih kupki u selima, koristeći ljekovita svojstva prirodnih toplih izvora. Ove kupke su bile namijenjene za odmor, oporavak i druženje (Levy-Bonvin 2003).</w:t>
      </w:r>
    </w:p>
    <w:p w14:paraId="3F934B4B" w14:textId="0FDE020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starom Rimu, gostoljubivost, koju je nadgledao Jupiter, bila je sveta praksa slična onoj u staroj Grčkoj. Kršenja su bila ozbiljni prekršaji, </w:t>
      </w:r>
      <w:r w:rsidR="004C0CF8" w:rsidRPr="00BE5472">
        <w:rPr>
          <w:rFonts w:ascii="Times New Roman" w:hAnsi="Times New Roman" w:cs="Times New Roman"/>
          <w:sz w:val="24"/>
          <w:szCs w:val="24"/>
        </w:rPr>
        <w:t>kako je prikazano u Ovidijevim „Metamorfozama“</w:t>
      </w:r>
      <w:r w:rsidRPr="00BE5472">
        <w:rPr>
          <w:rFonts w:ascii="Times New Roman" w:hAnsi="Times New Roman" w:cs="Times New Roman"/>
          <w:sz w:val="24"/>
          <w:szCs w:val="24"/>
        </w:rPr>
        <w:t>, gdje su bogovi nagradili gostoljubive Baukidu i Filemona, dok su druge kaznili. Za razliku od Grka, rimska gostoljubivost bila je više strukturirana i formalnija. Domaća gostoljubivost bila je časna dužnost koja je često dovodila do dugotrajnih prijateljstava i pravnih obveza. Javna gostoljubivost uključivala je formalne sporazume između gradov</w:t>
      </w:r>
      <w:r w:rsidR="004C0CF8" w:rsidRPr="00BE5472">
        <w:rPr>
          <w:rFonts w:ascii="Times New Roman" w:hAnsi="Times New Roman" w:cs="Times New Roman"/>
          <w:sz w:val="24"/>
          <w:szCs w:val="24"/>
        </w:rPr>
        <w:t xml:space="preserve">a, poput dodjeljivanja statusa </w:t>
      </w:r>
      <w:r w:rsidR="004C0CF8" w:rsidRPr="00BE5472">
        <w:rPr>
          <w:rFonts w:ascii="Times New Roman" w:hAnsi="Times New Roman" w:cs="Times New Roman"/>
          <w:i/>
          <w:sz w:val="24"/>
          <w:szCs w:val="24"/>
        </w:rPr>
        <w:t>hospes publicus</w:t>
      </w:r>
      <w:r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uglednim strancima. Komercijalna gostoljubivost u Rimu obuhvaćala je razne ustanove poput </w:t>
      </w:r>
      <w:r w:rsidRPr="00BE5472">
        <w:rPr>
          <w:rFonts w:ascii="Times New Roman" w:hAnsi="Times New Roman" w:cs="Times New Roman"/>
          <w:i/>
          <w:sz w:val="24"/>
          <w:szCs w:val="24"/>
        </w:rPr>
        <w:t>hospitia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stabula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tabernae</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popinae</w:t>
      </w:r>
      <w:r w:rsidRPr="00BE5472">
        <w:rPr>
          <w:rFonts w:ascii="Times New Roman" w:hAnsi="Times New Roman" w:cs="Times New Roman"/>
          <w:sz w:val="24"/>
          <w:szCs w:val="24"/>
        </w:rPr>
        <w:t>, koje su služile putnicima, trgovcima i mornarima, iako su ta mjesta često imala reputaciju neudobnosti i opasnosti (O'Gorman 2005:145 – 146).</w:t>
      </w:r>
      <w:r w:rsidRPr="00BE5472">
        <w:rPr>
          <w:rFonts w:ascii="Times New Roman" w:hAnsi="Times New Roman" w:cs="Times New Roman"/>
        </w:rPr>
        <w:t xml:space="preserve"> </w:t>
      </w:r>
      <w:r w:rsidRPr="00BE5472">
        <w:rPr>
          <w:rFonts w:ascii="Times New Roman" w:hAnsi="Times New Roman" w:cs="Times New Roman"/>
          <w:sz w:val="24"/>
          <w:szCs w:val="24"/>
        </w:rPr>
        <w:t xml:space="preserve">Rimski masovni spektakli također su potaknuli razvoj ugostiteljstva. Amfiteatri su korišteni za razne masovne događaje, s arenom okruženom gledalištima. Najpopularnije su bile borbe gladijatora i </w:t>
      </w:r>
      <w:r w:rsidRPr="00BE5472">
        <w:rPr>
          <w:rFonts w:ascii="Times New Roman" w:hAnsi="Times New Roman" w:cs="Times New Roman"/>
          <w:sz w:val="24"/>
          <w:szCs w:val="24"/>
        </w:rPr>
        <w:lastRenderedPageBreak/>
        <w:t>cirkuske predstave. Borbe gladijatora zamijenjene su dvobojima s lavovima, tigrovima, slonovima i drugim životinjama. U blizini amfiteatra gradili su se hoteli, taverne, restorani, trgovine, pekare i slično (Oleksiivna i Anatoliiovych 2022:11).</w:t>
      </w:r>
      <w:r w:rsidRPr="00BE5472">
        <w:rPr>
          <w:rFonts w:ascii="Times New Roman" w:hAnsi="Times New Roman" w:cs="Times New Roman"/>
        </w:rPr>
        <w:t xml:space="preserve"> </w:t>
      </w:r>
      <w:r w:rsidRPr="00BE5472">
        <w:rPr>
          <w:rFonts w:ascii="Times New Roman" w:hAnsi="Times New Roman" w:cs="Times New Roman"/>
          <w:sz w:val="24"/>
          <w:szCs w:val="24"/>
        </w:rPr>
        <w:t>Rimljani su prvi razvili termalne kupke u Engleskoj, Švicarskoj i na Bliskom Istoku (Levy-Bonvin 2003).</w:t>
      </w:r>
    </w:p>
    <w:p w14:paraId="10BC423B" w14:textId="5D3C08C6"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O'Gorman (2005) je identificirao </w:t>
      </w:r>
      <w:r w:rsidR="004C0CF8" w:rsidRPr="00BE5472">
        <w:rPr>
          <w:rFonts w:ascii="Times New Roman" w:hAnsi="Times New Roman" w:cs="Times New Roman"/>
          <w:sz w:val="24"/>
          <w:szCs w:val="24"/>
        </w:rPr>
        <w:t>pet</w:t>
      </w:r>
      <w:r w:rsidRPr="00BE5472">
        <w:rPr>
          <w:rFonts w:ascii="Times New Roman" w:hAnsi="Times New Roman" w:cs="Times New Roman"/>
          <w:sz w:val="24"/>
          <w:szCs w:val="24"/>
        </w:rPr>
        <w:t xml:space="preserve"> di</w:t>
      </w:r>
      <w:r w:rsidR="005A6B6D" w:rsidRPr="00BE5472">
        <w:rPr>
          <w:rFonts w:ascii="Times New Roman" w:hAnsi="Times New Roman" w:cs="Times New Roman"/>
          <w:sz w:val="24"/>
          <w:szCs w:val="24"/>
        </w:rPr>
        <w:t>menzija ugostiteljstva u a</w:t>
      </w:r>
      <w:r w:rsidRPr="00BE5472">
        <w:rPr>
          <w:rFonts w:ascii="Times New Roman" w:hAnsi="Times New Roman" w:cs="Times New Roman"/>
          <w:sz w:val="24"/>
          <w:szCs w:val="24"/>
        </w:rPr>
        <w:t xml:space="preserve">ntici, u sklopu kojega se promatra i hotelijerstvo, a koje su detaljnije predstavljene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E9732F" w:rsidRPr="00BE5472">
        <w:rPr>
          <w:rFonts w:ascii="Times New Roman" w:hAnsi="Times New Roman" w:cs="Times New Roman"/>
          <w:sz w:val="24"/>
          <w:szCs w:val="24"/>
        </w:rPr>
        <w:t>2</w:t>
      </w:r>
      <w:r w:rsidRPr="00BE5472">
        <w:rPr>
          <w:rFonts w:ascii="Times New Roman" w:hAnsi="Times New Roman" w:cs="Times New Roman"/>
          <w:sz w:val="24"/>
          <w:szCs w:val="24"/>
        </w:rPr>
        <w:t xml:space="preserve">. </w:t>
      </w:r>
    </w:p>
    <w:p w14:paraId="21459DF0" w14:textId="7FC5F7FF" w:rsidR="006E052A" w:rsidRPr="00C87D90" w:rsidRDefault="00C87D90" w:rsidP="00C87D90">
      <w:pPr>
        <w:pStyle w:val="Caption"/>
        <w:rPr>
          <w:rFonts w:ascii="Times New Roman" w:hAnsi="Times New Roman" w:cs="Times New Roman"/>
          <w:sz w:val="24"/>
          <w:szCs w:val="24"/>
        </w:rPr>
      </w:pPr>
      <w:bookmarkStart w:id="28" w:name="_Toc241865196"/>
      <w:r w:rsidRPr="00C87D90">
        <w:rPr>
          <w:rFonts w:ascii="Times New Roman" w:hAnsi="Times New Roman" w:cs="Times New Roman"/>
          <w:sz w:val="24"/>
          <w:szCs w:val="24"/>
        </w:rPr>
        <w:t xml:space="preserve">Tablica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Tablica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2</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Pet ključ</w:t>
      </w:r>
      <w:r w:rsidR="005A6B6D" w:rsidRPr="00C87D90">
        <w:rPr>
          <w:rFonts w:ascii="Times New Roman" w:hAnsi="Times New Roman" w:cs="Times New Roman"/>
          <w:sz w:val="24"/>
          <w:szCs w:val="24"/>
        </w:rPr>
        <w:t>nih dimenzija ugostiteljstva u a</w:t>
      </w:r>
      <w:r w:rsidR="006E052A" w:rsidRPr="00C87D90">
        <w:rPr>
          <w:rFonts w:ascii="Times New Roman" w:hAnsi="Times New Roman" w:cs="Times New Roman"/>
          <w:sz w:val="24"/>
          <w:szCs w:val="24"/>
        </w:rPr>
        <w:t>ntici</w:t>
      </w:r>
      <w:bookmarkEnd w:id="28"/>
    </w:p>
    <w:tbl>
      <w:tblPr>
        <w:tblStyle w:val="TableGrid"/>
        <w:tblW w:w="0" w:type="auto"/>
        <w:tblLook w:val="04A0" w:firstRow="1" w:lastRow="0" w:firstColumn="1" w:lastColumn="0" w:noHBand="0" w:noVBand="1"/>
      </w:tblPr>
      <w:tblGrid>
        <w:gridCol w:w="2263"/>
        <w:gridCol w:w="7087"/>
      </w:tblGrid>
      <w:tr w:rsidR="006E052A" w:rsidRPr="00BE5472" w14:paraId="11FA7FE1" w14:textId="77777777" w:rsidTr="00547448">
        <w:trPr>
          <w:cantSplit/>
          <w:trHeight w:val="303"/>
        </w:trPr>
        <w:tc>
          <w:tcPr>
            <w:tcW w:w="2263" w:type="dxa"/>
            <w:vAlign w:val="center"/>
          </w:tcPr>
          <w:p w14:paraId="06C8C520" w14:textId="2BCAFBE2" w:rsidR="006E052A" w:rsidRPr="00BE5472" w:rsidRDefault="00E9732F" w:rsidP="00E9732F">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DIMENZIJE UGOSTITELJSTVA</w:t>
            </w:r>
          </w:p>
        </w:tc>
        <w:tc>
          <w:tcPr>
            <w:tcW w:w="7087" w:type="dxa"/>
            <w:vAlign w:val="center"/>
          </w:tcPr>
          <w:p w14:paraId="5F3F144C" w14:textId="689A35F2" w:rsidR="006E052A" w:rsidRPr="00BE5472" w:rsidRDefault="00E9732F" w:rsidP="00E9732F">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OBILJEŽJA</w:t>
            </w:r>
          </w:p>
        </w:tc>
      </w:tr>
      <w:tr w:rsidR="006E052A" w:rsidRPr="00BE5472" w14:paraId="4282593C" w14:textId="77777777" w:rsidTr="00547448">
        <w:tc>
          <w:tcPr>
            <w:tcW w:w="2263" w:type="dxa"/>
            <w:vAlign w:val="center"/>
          </w:tcPr>
          <w:p w14:paraId="52088D2A" w14:textId="77777777" w:rsidR="006E052A" w:rsidRPr="00BE5472" w:rsidRDefault="006E052A" w:rsidP="00547448">
            <w:pPr>
              <w:spacing w:after="120" w:line="360" w:lineRule="auto"/>
              <w:jc w:val="center"/>
              <w:rPr>
                <w:rFonts w:ascii="Times New Roman" w:hAnsi="Times New Roman" w:cs="Times New Roman"/>
                <w:sz w:val="24"/>
                <w:szCs w:val="24"/>
              </w:rPr>
            </w:pPr>
            <w:r w:rsidRPr="00BE5472">
              <w:rPr>
                <w:rFonts w:ascii="Times New Roman" w:hAnsi="Times New Roman" w:cs="Times New Roman"/>
                <w:bCs/>
                <w:sz w:val="24"/>
                <w:szCs w:val="24"/>
              </w:rPr>
              <w:t>Časna tradicija</w:t>
            </w:r>
          </w:p>
        </w:tc>
        <w:tc>
          <w:tcPr>
            <w:tcW w:w="7087" w:type="dxa"/>
          </w:tcPr>
          <w:p w14:paraId="2D1C6777" w14:textId="77777777" w:rsidR="006E052A" w:rsidRPr="00BE5472" w:rsidRDefault="006E052A" w:rsidP="006E052A">
            <w:pPr>
              <w:numPr>
                <w:ilvl w:val="0"/>
                <w:numId w:val="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Pojmovi gosta, stranca i domaćina su usko povezani.</w:t>
            </w:r>
          </w:p>
          <w:p w14:paraId="35BA0697" w14:textId="77777777" w:rsidR="006E052A" w:rsidRPr="00BE5472" w:rsidRDefault="006E052A" w:rsidP="006E052A">
            <w:pPr>
              <w:numPr>
                <w:ilvl w:val="0"/>
                <w:numId w:val="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Ugostiteljstvo se smatra bitnim dijelom kulturnih vrijednosti i vjerovanja društava.</w:t>
            </w:r>
          </w:p>
          <w:p w14:paraId="3C9B97D6" w14:textId="0D9F69D6" w:rsidR="006E052A" w:rsidRPr="00BE5472" w:rsidRDefault="006E052A" w:rsidP="006E052A">
            <w:pPr>
              <w:numPr>
                <w:ilvl w:val="0"/>
                <w:numId w:val="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Recipročnost ugostiteljstva </w:t>
            </w:r>
            <w:r w:rsidR="005A6B6D" w:rsidRPr="00BE5472">
              <w:rPr>
                <w:rFonts w:ascii="Times New Roman" w:hAnsi="Times New Roman" w:cs="Times New Roman"/>
                <w:sz w:val="24"/>
                <w:szCs w:val="24"/>
              </w:rPr>
              <w:t>posta</w:t>
            </w:r>
            <w:r w:rsidRPr="00BE5472">
              <w:rPr>
                <w:rFonts w:ascii="Times New Roman" w:hAnsi="Times New Roman" w:cs="Times New Roman"/>
                <w:sz w:val="24"/>
                <w:szCs w:val="24"/>
              </w:rPr>
              <w:t>je uspostavljen princip.</w:t>
            </w:r>
          </w:p>
          <w:p w14:paraId="381CC36F" w14:textId="77777777" w:rsidR="006E052A" w:rsidRPr="00BE5472" w:rsidRDefault="006E052A" w:rsidP="006E052A">
            <w:pPr>
              <w:numPr>
                <w:ilvl w:val="0"/>
                <w:numId w:val="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Pružanje usluga je čin odavanja počasti bogovima, a neuspjeh se osuđuje u ljudskom i duhovnom svijetu.</w:t>
            </w:r>
          </w:p>
        </w:tc>
      </w:tr>
      <w:tr w:rsidR="006E052A" w:rsidRPr="00BE5472" w14:paraId="3DFCF650" w14:textId="77777777" w:rsidTr="00547448">
        <w:tc>
          <w:tcPr>
            <w:tcW w:w="2263" w:type="dxa"/>
            <w:vAlign w:val="center"/>
          </w:tcPr>
          <w:p w14:paraId="1DA61975" w14:textId="77777777" w:rsidR="006E052A" w:rsidRPr="00BE5472" w:rsidRDefault="006E052A" w:rsidP="00547448">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Fundamentalna za ljudsku egzistenciju</w:t>
            </w:r>
          </w:p>
        </w:tc>
        <w:tc>
          <w:tcPr>
            <w:tcW w:w="7087" w:type="dxa"/>
          </w:tcPr>
          <w:p w14:paraId="082B5BFF" w14:textId="77777777" w:rsidR="006E052A" w:rsidRPr="00BE5472" w:rsidRDefault="006E052A" w:rsidP="006E052A">
            <w:pPr>
              <w:numPr>
                <w:ilvl w:val="0"/>
                <w:numId w:val="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Ugostiteljstvo uključuje hranu, piće i smještaj te pristup koji je gostoljubiv, pun poštovanja i iskren.</w:t>
            </w:r>
          </w:p>
          <w:p w14:paraId="02750BD9" w14:textId="77777777" w:rsidR="006E052A" w:rsidRPr="00BE5472" w:rsidRDefault="006E052A" w:rsidP="006E052A">
            <w:pPr>
              <w:numPr>
                <w:ilvl w:val="0"/>
                <w:numId w:val="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Opseg ugostiteljstva temelji se na potrebama i svrsi gostiju/stranaca.</w:t>
            </w:r>
          </w:p>
          <w:p w14:paraId="5F543EE0" w14:textId="77777777" w:rsidR="006E052A" w:rsidRPr="00BE5472" w:rsidRDefault="006E052A" w:rsidP="006E052A">
            <w:pPr>
              <w:numPr>
                <w:ilvl w:val="0"/>
                <w:numId w:val="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Savezi se razvijaju kroz ugostiteljstva između prijatelja, domaćinstava i država, i jačaju kroz uzajamnu gostoljubivost.</w:t>
            </w:r>
          </w:p>
        </w:tc>
      </w:tr>
      <w:tr w:rsidR="006E052A" w:rsidRPr="00BE5472" w14:paraId="1A19B4D8" w14:textId="77777777" w:rsidTr="00547448">
        <w:tc>
          <w:tcPr>
            <w:tcW w:w="2263" w:type="dxa"/>
            <w:vAlign w:val="center"/>
          </w:tcPr>
          <w:p w14:paraId="2C822ADD" w14:textId="77777777" w:rsidR="006E052A" w:rsidRPr="00BE5472" w:rsidRDefault="006E052A" w:rsidP="00547448">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Stratifikacija</w:t>
            </w:r>
          </w:p>
        </w:tc>
        <w:tc>
          <w:tcPr>
            <w:tcW w:w="7087" w:type="dxa"/>
          </w:tcPr>
          <w:p w14:paraId="18B324EC" w14:textId="77777777" w:rsidR="006E052A" w:rsidRPr="00BE5472" w:rsidRDefault="006E052A" w:rsidP="006E052A">
            <w:pPr>
              <w:numPr>
                <w:ilvl w:val="0"/>
                <w:numId w:val="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Razvoj društava doveo je do formalne stratifikacije ugostiteljstva: privatno, građansko i poslovno ugostiteljstvo.</w:t>
            </w:r>
          </w:p>
          <w:p w14:paraId="2B9C33E6" w14:textId="77777777" w:rsidR="006E052A" w:rsidRPr="00BE5472" w:rsidRDefault="006E052A" w:rsidP="006E052A">
            <w:pPr>
              <w:numPr>
                <w:ilvl w:val="0"/>
                <w:numId w:val="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Recipročnost ugostiteljstva postaje pravno definirana.</w:t>
            </w:r>
          </w:p>
          <w:p w14:paraId="227FC0F1" w14:textId="77777777" w:rsidR="006E052A" w:rsidRPr="00BE5472" w:rsidRDefault="006E052A" w:rsidP="006E052A">
            <w:pPr>
              <w:numPr>
                <w:ilvl w:val="0"/>
                <w:numId w:val="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Građansko i poslovno ugostiteljstvo razvijaju se iz privatne gostoljubivosti, zadržavajući ključne osnove.</w:t>
            </w:r>
          </w:p>
        </w:tc>
      </w:tr>
      <w:tr w:rsidR="006E052A" w:rsidRPr="00BE5472" w14:paraId="56410981" w14:textId="77777777" w:rsidTr="00547448">
        <w:tc>
          <w:tcPr>
            <w:tcW w:w="2263" w:type="dxa"/>
            <w:vAlign w:val="center"/>
          </w:tcPr>
          <w:p w14:paraId="673B8D65" w14:textId="77777777" w:rsidR="006E052A" w:rsidRPr="00BE5472" w:rsidRDefault="006E052A" w:rsidP="00547448">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Diversifikacija</w:t>
            </w:r>
          </w:p>
        </w:tc>
        <w:tc>
          <w:tcPr>
            <w:tcW w:w="7087" w:type="dxa"/>
          </w:tcPr>
          <w:p w14:paraId="72AC4E1B" w14:textId="2A0302D6" w:rsidR="006E052A" w:rsidRPr="00BE5472" w:rsidRDefault="006E052A" w:rsidP="006E052A">
            <w:pPr>
              <w:numPr>
                <w:ilvl w:val="0"/>
                <w:numId w:val="9"/>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Mjesta pružanja ugostiteljskih usluga </w:t>
            </w:r>
            <w:r w:rsidR="004C0CF8" w:rsidRPr="00BE5472">
              <w:rPr>
                <w:rFonts w:ascii="Times New Roman" w:hAnsi="Times New Roman" w:cs="Times New Roman"/>
                <w:sz w:val="24"/>
                <w:szCs w:val="24"/>
              </w:rPr>
              <w:t xml:space="preserve">razlikovala </w:t>
            </w:r>
            <w:r w:rsidRPr="00BE5472">
              <w:rPr>
                <w:rFonts w:ascii="Times New Roman" w:hAnsi="Times New Roman" w:cs="Times New Roman"/>
                <w:sz w:val="24"/>
                <w:szCs w:val="24"/>
              </w:rPr>
              <w:t>su se prema postojanju ili nepostojanju smještaja za noćenje.</w:t>
            </w:r>
          </w:p>
          <w:p w14:paraId="573D49A8" w14:textId="5569F69D" w:rsidR="006E052A" w:rsidRPr="00BE5472" w:rsidRDefault="006E052A" w:rsidP="006E052A">
            <w:pPr>
              <w:numPr>
                <w:ilvl w:val="0"/>
                <w:numId w:val="9"/>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Pojedina mjesta pružanja ugostiteljskih usluga nudila su povezane usluge </w:t>
            </w:r>
            <w:r w:rsidR="004C0CF8" w:rsidRPr="00BE5472">
              <w:rPr>
                <w:rFonts w:ascii="Times New Roman" w:hAnsi="Times New Roman" w:cs="Times New Roman"/>
                <w:sz w:val="24"/>
                <w:szCs w:val="24"/>
              </w:rPr>
              <w:t>ili su bila</w:t>
            </w:r>
            <w:r w:rsidRPr="00BE5472">
              <w:rPr>
                <w:rFonts w:ascii="Times New Roman" w:hAnsi="Times New Roman" w:cs="Times New Roman"/>
                <w:sz w:val="24"/>
                <w:szCs w:val="24"/>
              </w:rPr>
              <w:t xml:space="preserve"> smještena blizu drugih mjesta pružanja ugostiteljskih usluga.</w:t>
            </w:r>
          </w:p>
          <w:p w14:paraId="653FA8F1" w14:textId="77777777" w:rsidR="006E052A" w:rsidRPr="00BE5472" w:rsidRDefault="006E052A" w:rsidP="006E052A">
            <w:pPr>
              <w:numPr>
                <w:ilvl w:val="0"/>
                <w:numId w:val="9"/>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Prvobitno su mjesta pružanja ugostiteljskih usluga bila namijenjena nižim klasama.</w:t>
            </w:r>
          </w:p>
        </w:tc>
      </w:tr>
      <w:tr w:rsidR="006E052A" w:rsidRPr="00BE5472" w14:paraId="1AFB1CF4" w14:textId="77777777" w:rsidTr="00547448">
        <w:tc>
          <w:tcPr>
            <w:tcW w:w="2263" w:type="dxa"/>
            <w:vAlign w:val="center"/>
          </w:tcPr>
          <w:p w14:paraId="18167F8B" w14:textId="77777777" w:rsidR="006E052A" w:rsidRPr="00BE5472" w:rsidRDefault="006E052A" w:rsidP="00547448">
            <w:pPr>
              <w:spacing w:after="120" w:line="360" w:lineRule="auto"/>
              <w:jc w:val="center"/>
              <w:rPr>
                <w:rFonts w:ascii="Times New Roman" w:hAnsi="Times New Roman" w:cs="Times New Roman"/>
                <w:sz w:val="24"/>
                <w:szCs w:val="24"/>
              </w:rPr>
            </w:pPr>
            <w:r w:rsidRPr="00BE5472">
              <w:rPr>
                <w:rFonts w:ascii="Times New Roman" w:hAnsi="Times New Roman" w:cs="Times New Roman"/>
                <w:bCs/>
                <w:sz w:val="24"/>
                <w:szCs w:val="24"/>
              </w:rPr>
              <w:lastRenderedPageBreak/>
              <w:t>Centralna za ljudski napor</w:t>
            </w:r>
          </w:p>
        </w:tc>
        <w:tc>
          <w:tcPr>
            <w:tcW w:w="7087" w:type="dxa"/>
          </w:tcPr>
          <w:p w14:paraId="3227BDA1" w14:textId="77777777" w:rsidR="006E052A" w:rsidRPr="00BE5472" w:rsidRDefault="006E052A" w:rsidP="006E052A">
            <w:pPr>
              <w:numPr>
                <w:ilvl w:val="0"/>
                <w:numId w:val="1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Gostoljubivost je vitalan i integralan dio društava.</w:t>
            </w:r>
          </w:p>
          <w:p w14:paraId="39A2A3ED" w14:textId="77777777" w:rsidR="006E052A" w:rsidRPr="00BE5472" w:rsidRDefault="006E052A" w:rsidP="006E052A">
            <w:pPr>
              <w:numPr>
                <w:ilvl w:val="0"/>
                <w:numId w:val="1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Ugostiteljstvo je ključno u razvoju i održavanju prijateljstava i saveza.</w:t>
            </w:r>
          </w:p>
          <w:p w14:paraId="2F779E27" w14:textId="5E83382E" w:rsidR="006E052A" w:rsidRPr="00BE5472" w:rsidRDefault="006E052A" w:rsidP="004C0CF8">
            <w:pPr>
              <w:numPr>
                <w:ilvl w:val="0"/>
                <w:numId w:val="1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Ugostiteljstvo je značajno u organizaciji </w:t>
            </w:r>
            <w:r w:rsidR="004C0CF8" w:rsidRPr="00BE5472">
              <w:rPr>
                <w:rFonts w:ascii="Times New Roman" w:hAnsi="Times New Roman" w:cs="Times New Roman"/>
                <w:sz w:val="24"/>
                <w:szCs w:val="24"/>
              </w:rPr>
              <w:t xml:space="preserve">privatnih i građanskih </w:t>
            </w:r>
            <w:r w:rsidRPr="00BE5472">
              <w:rPr>
                <w:rFonts w:ascii="Times New Roman" w:hAnsi="Times New Roman" w:cs="Times New Roman"/>
                <w:sz w:val="24"/>
                <w:szCs w:val="24"/>
              </w:rPr>
              <w:t xml:space="preserve">proslava </w:t>
            </w:r>
            <w:r w:rsidR="004C0CF8" w:rsidRPr="00BE5472">
              <w:rPr>
                <w:rFonts w:ascii="Times New Roman" w:hAnsi="Times New Roman" w:cs="Times New Roman"/>
                <w:sz w:val="24"/>
                <w:szCs w:val="24"/>
              </w:rPr>
              <w:t>te</w:t>
            </w:r>
            <w:r w:rsidRPr="00BE5472">
              <w:rPr>
                <w:rFonts w:ascii="Times New Roman" w:hAnsi="Times New Roman" w:cs="Times New Roman"/>
                <w:sz w:val="24"/>
                <w:szCs w:val="24"/>
              </w:rPr>
              <w:t xml:space="preserve"> poslovnih događaja i postignuća kroz život.</w:t>
            </w:r>
          </w:p>
        </w:tc>
      </w:tr>
    </w:tbl>
    <w:p w14:paraId="2E928DDD"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O'Gorman, K. D. (2006). Modern Hospitality: Lessons From the Past. </w:t>
      </w:r>
      <w:r w:rsidRPr="00BE5472">
        <w:rPr>
          <w:rFonts w:ascii="Times New Roman" w:hAnsi="Times New Roman" w:cs="Times New Roman"/>
          <w:i/>
          <w:sz w:val="24"/>
          <w:szCs w:val="24"/>
        </w:rPr>
        <w:t>Journal of Hospitality and Tourism Management</w:t>
      </w:r>
      <w:r w:rsidRPr="00BE5472">
        <w:rPr>
          <w:rFonts w:ascii="Times New Roman" w:hAnsi="Times New Roman" w:cs="Times New Roman"/>
          <w:sz w:val="24"/>
          <w:szCs w:val="24"/>
        </w:rPr>
        <w:t xml:space="preserve">, 12(2), str. 148 – 149. </w:t>
      </w:r>
    </w:p>
    <w:p w14:paraId="4328F106" w14:textId="77777777" w:rsidR="006E052A" w:rsidRPr="00BE5472" w:rsidRDefault="006E052A" w:rsidP="006E052A">
      <w:pPr>
        <w:spacing w:after="120" w:line="360" w:lineRule="auto"/>
        <w:jc w:val="both"/>
        <w:rPr>
          <w:rFonts w:ascii="Times New Roman" w:hAnsi="Times New Roman" w:cs="Times New Roman"/>
          <w:b/>
          <w:sz w:val="24"/>
          <w:szCs w:val="24"/>
        </w:rPr>
      </w:pPr>
    </w:p>
    <w:p w14:paraId="14B33CB0" w14:textId="7F518D38" w:rsidR="006E052A" w:rsidRPr="00BE5472" w:rsidRDefault="005A6B6D" w:rsidP="007705B5">
      <w:pPr>
        <w:rPr>
          <w:rFonts w:ascii="Times New Roman" w:hAnsi="Times New Roman" w:cs="Times New Roman"/>
          <w:sz w:val="24"/>
          <w:szCs w:val="24"/>
        </w:rPr>
      </w:pPr>
      <w:bookmarkStart w:id="29" w:name="_Toc210381403"/>
      <w:bookmarkStart w:id="30" w:name="_Toc210381988"/>
      <w:r w:rsidRPr="00BE5472">
        <w:rPr>
          <w:rFonts w:ascii="Times New Roman" w:hAnsi="Times New Roman" w:cs="Times New Roman"/>
          <w:sz w:val="24"/>
          <w:szCs w:val="24"/>
        </w:rPr>
        <w:t>Razdoblje s</w:t>
      </w:r>
      <w:r w:rsidR="006E052A" w:rsidRPr="00BE5472">
        <w:rPr>
          <w:rFonts w:ascii="Times New Roman" w:hAnsi="Times New Roman" w:cs="Times New Roman"/>
          <w:sz w:val="24"/>
          <w:szCs w:val="24"/>
        </w:rPr>
        <w:t>rednjeg</w:t>
      </w:r>
      <w:r w:rsidR="004C0CF8" w:rsidRPr="00BE5472">
        <w:rPr>
          <w:rFonts w:ascii="Times New Roman" w:hAnsi="Times New Roman" w:cs="Times New Roman"/>
          <w:sz w:val="24"/>
          <w:szCs w:val="24"/>
        </w:rPr>
        <w:t>a</w:t>
      </w:r>
      <w:r w:rsidR="006E052A" w:rsidRPr="00BE5472">
        <w:rPr>
          <w:rFonts w:ascii="Times New Roman" w:hAnsi="Times New Roman" w:cs="Times New Roman"/>
          <w:sz w:val="24"/>
          <w:szCs w:val="24"/>
        </w:rPr>
        <w:t xml:space="preserve"> vijeka (5. – 15. stoljeće)</w:t>
      </w:r>
      <w:bookmarkEnd w:id="29"/>
      <w:bookmarkEnd w:id="30"/>
    </w:p>
    <w:p w14:paraId="6FB5331A" w14:textId="77777777" w:rsidR="00BC3443" w:rsidRPr="00BE5472" w:rsidRDefault="00BC3443" w:rsidP="00BC3443">
      <w:pPr>
        <w:rPr>
          <w:rFonts w:ascii="Times New Roman" w:hAnsi="Times New Roman" w:cs="Times New Roman"/>
        </w:rPr>
      </w:pPr>
    </w:p>
    <w:p w14:paraId="3B2BE6AF" w14:textId="48487980"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Oleksiivna i Anatoliiovych (2022: 12) vjerske tradicije imale su velik utjecaj na razvoj uslužnog sektora. Sve veći broj hodočasnika stvara potrebu za otvaranjem gostionica blizu hramova i samostana. Besplatne usluge koje su pružale vjerske institucije ometale su razvoj privatnog smještaja i ugostiteljstva općenito. Hrana u samostanima bila je skromna, ali bolj</w:t>
      </w:r>
      <w:r w:rsidR="00F758F1" w:rsidRPr="00BE5472">
        <w:rPr>
          <w:rFonts w:ascii="Times New Roman" w:hAnsi="Times New Roman" w:cs="Times New Roman"/>
          <w:sz w:val="24"/>
          <w:szCs w:val="24"/>
        </w:rPr>
        <w:t>a nego u gostionicama kraj cesta</w:t>
      </w:r>
      <w:r w:rsidRPr="00BE5472">
        <w:rPr>
          <w:rFonts w:ascii="Times New Roman" w:hAnsi="Times New Roman" w:cs="Times New Roman"/>
          <w:sz w:val="24"/>
          <w:szCs w:val="24"/>
        </w:rPr>
        <w:t xml:space="preserve"> koje su pak nudile vrlo skromne uvjete i usluge. Madraci su, primjerice, bili punjeni sijenom i nalazili su se na podu jedne zajedničke veće prostorije. Putnici/gosti jeli su vlastitu hranu i koristili</w:t>
      </w:r>
      <w:r w:rsidR="00F758F1" w:rsidRPr="00BE5472">
        <w:rPr>
          <w:rFonts w:ascii="Times New Roman" w:hAnsi="Times New Roman" w:cs="Times New Roman"/>
          <w:sz w:val="24"/>
          <w:szCs w:val="24"/>
        </w:rPr>
        <w:t xml:space="preserve"> se drugim uslugama</w:t>
      </w:r>
      <w:r w:rsidRPr="00BE5472">
        <w:rPr>
          <w:rFonts w:ascii="Times New Roman" w:hAnsi="Times New Roman" w:cs="Times New Roman"/>
          <w:sz w:val="24"/>
          <w:szCs w:val="24"/>
        </w:rPr>
        <w:t xml:space="preserve"> vlasnika gostionice ili taverne. Privatne gostionice bile su često bučna mjesta u kojima se prekomjerno konzumirao alkohol, a nerijetke su bile i tuče među putnicima. Postoji zapis da su u 15. stoljeću stranci gostovali u privatnoj gostionici u Dubrovniku (Vukonić 2005: 27). U Engleskoj je značajan poticaj razvoju privatnih gostionica došao s reformacijom, kada je kralj Henrik VIII. sekularizirao samostane. Putnici su tada morali plaćati smještaj u privatnim gostionicama. U 15. stoljeću se u Francuskoj donosi zakon kojim </w:t>
      </w:r>
      <w:r w:rsidR="00A43F46" w:rsidRPr="00BE5472">
        <w:rPr>
          <w:rFonts w:ascii="Times New Roman" w:hAnsi="Times New Roman" w:cs="Times New Roman"/>
          <w:sz w:val="24"/>
          <w:szCs w:val="24"/>
        </w:rPr>
        <w:t xml:space="preserve">se </w:t>
      </w:r>
      <w:r w:rsidRPr="00BE5472">
        <w:rPr>
          <w:rFonts w:ascii="Times New Roman" w:hAnsi="Times New Roman" w:cs="Times New Roman"/>
          <w:sz w:val="24"/>
          <w:szCs w:val="24"/>
        </w:rPr>
        <w:t>propisuj</w:t>
      </w:r>
      <w:r w:rsidR="00A43F46" w:rsidRPr="00BE5472">
        <w:rPr>
          <w:rFonts w:ascii="Times New Roman" w:hAnsi="Times New Roman" w:cs="Times New Roman"/>
          <w:sz w:val="24"/>
          <w:szCs w:val="24"/>
        </w:rPr>
        <w:t>e</w:t>
      </w:r>
      <w:r w:rsidRPr="00BE5472">
        <w:rPr>
          <w:rFonts w:ascii="Times New Roman" w:hAnsi="Times New Roman" w:cs="Times New Roman"/>
          <w:sz w:val="24"/>
          <w:szCs w:val="24"/>
        </w:rPr>
        <w:t xml:space="preserve"> da sva hotelska poduzeća moraju biti registrirana, a u Engleskoj se na vrlo sličan na</w:t>
      </w:r>
      <w:r w:rsidR="00F758F1" w:rsidRPr="00BE5472">
        <w:rPr>
          <w:rFonts w:ascii="Times New Roman" w:hAnsi="Times New Roman" w:cs="Times New Roman"/>
          <w:sz w:val="24"/>
          <w:szCs w:val="24"/>
        </w:rPr>
        <w:t xml:space="preserve">čin regulira registracija tzv. </w:t>
      </w:r>
      <w:r w:rsidRPr="00BE5472">
        <w:rPr>
          <w:rFonts w:ascii="Times New Roman" w:hAnsi="Times New Roman" w:cs="Times New Roman"/>
          <w:i/>
          <w:sz w:val="24"/>
          <w:szCs w:val="24"/>
        </w:rPr>
        <w:t>innova</w:t>
      </w:r>
      <w:r w:rsidR="00F758F1" w:rsidRPr="00BE5472">
        <w:rPr>
          <w:rFonts w:ascii="Times New Roman" w:hAnsi="Times New Roman" w:cs="Times New Roman"/>
          <w:i/>
          <w:sz w:val="24"/>
          <w:szCs w:val="24"/>
        </w:rPr>
        <w:t>,</w:t>
      </w:r>
      <w:r w:rsidRPr="00BE5472">
        <w:rPr>
          <w:rFonts w:ascii="Times New Roman" w:hAnsi="Times New Roman" w:cs="Times New Roman"/>
          <w:sz w:val="24"/>
          <w:szCs w:val="24"/>
        </w:rPr>
        <w:t xml:space="preserve"> kojih u to vrijeme ima preko 600 (Levy-Bonvin 2003). U Europi </w:t>
      </w:r>
      <w:r w:rsidRPr="00BE5472">
        <w:rPr>
          <w:rFonts w:ascii="Times New Roman" w:hAnsi="Times New Roman" w:cs="Times New Roman"/>
          <w:sz w:val="24"/>
          <w:szCs w:val="24"/>
        </w:rPr>
        <w:lastRenderedPageBreak/>
        <w:t>se sve više otvaraju objekti fine kuhin</w:t>
      </w:r>
      <w:r w:rsidR="005A6B6D" w:rsidRPr="00BE5472">
        <w:rPr>
          <w:rFonts w:ascii="Times New Roman" w:hAnsi="Times New Roman" w:cs="Times New Roman"/>
          <w:sz w:val="24"/>
          <w:szCs w:val="24"/>
        </w:rPr>
        <w:t xml:space="preserve">je, a klubovi slični engleskim </w:t>
      </w:r>
      <w:r w:rsidRPr="00BE5472">
        <w:rPr>
          <w:rFonts w:ascii="Times New Roman" w:hAnsi="Times New Roman" w:cs="Times New Roman"/>
          <w:i/>
          <w:sz w:val="24"/>
          <w:szCs w:val="24"/>
        </w:rPr>
        <w:t>Gentleman clubs</w:t>
      </w:r>
      <w:r w:rsidRPr="00BE5472">
        <w:rPr>
          <w:rFonts w:ascii="Times New Roman" w:hAnsi="Times New Roman" w:cs="Times New Roman"/>
          <w:sz w:val="24"/>
          <w:szCs w:val="24"/>
        </w:rPr>
        <w:t xml:space="preserve"> otvaraju se i u Americi. </w:t>
      </w:r>
    </w:p>
    <w:p w14:paraId="1E3D8AA3" w14:textId="77777777" w:rsidR="006E052A" w:rsidRPr="00BE5472" w:rsidRDefault="006E052A" w:rsidP="006E052A">
      <w:pPr>
        <w:spacing w:after="120" w:line="360" w:lineRule="auto"/>
        <w:jc w:val="both"/>
        <w:rPr>
          <w:rFonts w:ascii="Times New Roman" w:hAnsi="Times New Roman" w:cs="Times New Roman"/>
          <w:color w:val="FF0000"/>
          <w:sz w:val="24"/>
          <w:szCs w:val="24"/>
        </w:rPr>
      </w:pPr>
    </w:p>
    <w:p w14:paraId="39FC587F" w14:textId="27DFAB58" w:rsidR="006E052A" w:rsidRPr="00BE5472" w:rsidRDefault="006E052A" w:rsidP="00A43F46">
      <w:pPr>
        <w:rPr>
          <w:rFonts w:ascii="Times New Roman" w:hAnsi="Times New Roman" w:cs="Times New Roman"/>
          <w:sz w:val="24"/>
          <w:szCs w:val="24"/>
        </w:rPr>
      </w:pPr>
      <w:bookmarkStart w:id="31" w:name="_Toc210381404"/>
      <w:bookmarkStart w:id="32" w:name="_Toc210381989"/>
      <w:r w:rsidRPr="00BE5472">
        <w:rPr>
          <w:rFonts w:ascii="Times New Roman" w:hAnsi="Times New Roman" w:cs="Times New Roman"/>
          <w:sz w:val="24"/>
          <w:szCs w:val="24"/>
        </w:rPr>
        <w:t>Novi vijek  (renesansa</w:t>
      </w:r>
      <w:r w:rsidR="005A6B6D" w:rsidRPr="00BE5472">
        <w:rPr>
          <w:rFonts w:ascii="Times New Roman" w:hAnsi="Times New Roman" w:cs="Times New Roman"/>
          <w:sz w:val="24"/>
          <w:szCs w:val="24"/>
        </w:rPr>
        <w:t xml:space="preserve"> i francuska revolucija od 16. do</w:t>
      </w:r>
      <w:r w:rsidRPr="00BE5472">
        <w:rPr>
          <w:rFonts w:ascii="Times New Roman" w:hAnsi="Times New Roman" w:cs="Times New Roman"/>
          <w:sz w:val="24"/>
          <w:szCs w:val="24"/>
        </w:rPr>
        <w:t xml:space="preserve"> 19. stoljeća)</w:t>
      </w:r>
      <w:bookmarkEnd w:id="31"/>
      <w:bookmarkEnd w:id="32"/>
    </w:p>
    <w:p w14:paraId="78DD08F3" w14:textId="77777777" w:rsidR="00BC3443" w:rsidRPr="00BE5472" w:rsidRDefault="00BC3443" w:rsidP="00BC3443">
      <w:pPr>
        <w:rPr>
          <w:rFonts w:ascii="Times New Roman" w:hAnsi="Times New Roman" w:cs="Times New Roman"/>
        </w:rPr>
      </w:pPr>
    </w:p>
    <w:p w14:paraId="20DBCC57" w14:textId="69AD1753" w:rsidR="006E052A" w:rsidRPr="00BE5472" w:rsidRDefault="006E052A" w:rsidP="00D72D39">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Razdoblje od 16. do kraja 19. stoljeća bilo je ključno za društvene odnose u Europi, a obilježila ga je kulturološka i ekonomska transformacija. Gospodarstvo se revitalizira, a s time raste i broj putnika</w:t>
      </w:r>
      <w:r w:rsidR="005A6B6D"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dovodi do sve snažnijeg razvoja ugostiteljstva. Raste broj svratišta i gostionica uz glavne trgovačke putove i ceste</w:t>
      </w:r>
      <w:r w:rsidR="005A6B6D" w:rsidRPr="00BE5472">
        <w:rPr>
          <w:rFonts w:ascii="Times New Roman" w:hAnsi="Times New Roman" w:cs="Times New Roman"/>
          <w:sz w:val="24"/>
          <w:szCs w:val="24"/>
        </w:rPr>
        <w:t>,</w:t>
      </w:r>
      <w:r w:rsidRPr="00BE5472">
        <w:rPr>
          <w:rFonts w:ascii="Times New Roman" w:hAnsi="Times New Roman" w:cs="Times New Roman"/>
          <w:sz w:val="24"/>
          <w:szCs w:val="24"/>
        </w:rPr>
        <w:t xml:space="preserve"> no kvaliteta usluge ostaje niska. S vremenom vlasnici ugostiteljskih objekata započinju ulagati u svoje objekte kako bi poboljšali kvalitetu usluge.  Od 16. stoljeća se subvencioniraju privatne gostionice s osiguranim smještajem (Vukonić 2005: 28). Započinju se otvarati i prvi hoteli u Europi. U Francu</w:t>
      </w:r>
      <w:r w:rsidR="005A6B6D" w:rsidRPr="00BE5472">
        <w:rPr>
          <w:rFonts w:ascii="Times New Roman" w:hAnsi="Times New Roman" w:cs="Times New Roman"/>
          <w:sz w:val="24"/>
          <w:szCs w:val="24"/>
        </w:rPr>
        <w:t>skoj se u  17. stoljeću, pojam „hotel“</w:t>
      </w:r>
      <w:r w:rsidRPr="00BE5472">
        <w:rPr>
          <w:rFonts w:ascii="Times New Roman" w:hAnsi="Times New Roman" w:cs="Times New Roman"/>
          <w:sz w:val="24"/>
          <w:szCs w:val="24"/>
        </w:rPr>
        <w:t xml:space="preserve"> odnosio na gradske kuć</w:t>
      </w:r>
      <w:r w:rsidR="005A6B6D" w:rsidRPr="00BE5472">
        <w:rPr>
          <w:rFonts w:ascii="Times New Roman" w:hAnsi="Times New Roman" w:cs="Times New Roman"/>
          <w:sz w:val="24"/>
          <w:szCs w:val="24"/>
        </w:rPr>
        <w:t>e za plemiće. Do 18. stoljeća, „hotel“</w:t>
      </w:r>
      <w:r w:rsidRPr="00BE5472">
        <w:rPr>
          <w:rFonts w:ascii="Times New Roman" w:hAnsi="Times New Roman" w:cs="Times New Roman"/>
          <w:sz w:val="24"/>
          <w:szCs w:val="24"/>
        </w:rPr>
        <w:t xml:space="preserve"> je pretpostavljao visoke zgrade u kojim</w:t>
      </w:r>
      <w:r w:rsidR="005A6B6D" w:rsidRPr="00BE5472">
        <w:rPr>
          <w:rFonts w:ascii="Times New Roman" w:hAnsi="Times New Roman" w:cs="Times New Roman"/>
          <w:sz w:val="24"/>
          <w:szCs w:val="24"/>
        </w:rPr>
        <w:t>a su se iznajmljivale sobe stanovnicima grada</w:t>
      </w:r>
      <w:r w:rsidRPr="00BE5472">
        <w:rPr>
          <w:rFonts w:ascii="Times New Roman" w:hAnsi="Times New Roman" w:cs="Times New Roman"/>
          <w:sz w:val="24"/>
          <w:szCs w:val="24"/>
        </w:rPr>
        <w:t xml:space="preserve"> i putnicima. Hotel tada nudi visoke standarde usluge. Industrijska je revolucija potaknula izgradnju novih hotela u Europi, Engleskoj i Americi. Jedan od prvih hotela koji </w:t>
      </w:r>
      <w:r w:rsidR="009E32BE" w:rsidRPr="00BE5472">
        <w:rPr>
          <w:rFonts w:ascii="Times New Roman" w:hAnsi="Times New Roman" w:cs="Times New Roman"/>
          <w:sz w:val="24"/>
          <w:szCs w:val="24"/>
        </w:rPr>
        <w:t>je</w:t>
      </w:r>
      <w:r w:rsidRPr="00BE5472">
        <w:rPr>
          <w:rFonts w:ascii="Times New Roman" w:hAnsi="Times New Roman" w:cs="Times New Roman"/>
          <w:sz w:val="24"/>
          <w:szCs w:val="24"/>
        </w:rPr>
        <w:t xml:space="preserve"> otvor</w:t>
      </w:r>
      <w:r w:rsidR="009E32BE" w:rsidRPr="00BE5472">
        <w:rPr>
          <w:rFonts w:ascii="Times New Roman" w:hAnsi="Times New Roman" w:cs="Times New Roman"/>
          <w:sz w:val="24"/>
          <w:szCs w:val="24"/>
        </w:rPr>
        <w:t>en</w:t>
      </w:r>
      <w:r w:rsidRPr="00BE5472">
        <w:rPr>
          <w:rFonts w:ascii="Times New Roman" w:hAnsi="Times New Roman" w:cs="Times New Roman"/>
          <w:sz w:val="24"/>
          <w:szCs w:val="24"/>
        </w:rPr>
        <w:t xml:space="preserve"> u Europi je bio </w:t>
      </w:r>
      <w:r w:rsidRPr="00BE5472">
        <w:rPr>
          <w:rFonts w:ascii="Times New Roman" w:hAnsi="Times New Roman" w:cs="Times New Roman"/>
          <w:i/>
          <w:sz w:val="24"/>
          <w:szCs w:val="24"/>
        </w:rPr>
        <w:t>Hotel Henri IV</w:t>
      </w:r>
      <w:r w:rsidRPr="00BE5472">
        <w:rPr>
          <w:rFonts w:ascii="Times New Roman" w:hAnsi="Times New Roman" w:cs="Times New Roman"/>
          <w:sz w:val="24"/>
          <w:szCs w:val="24"/>
        </w:rPr>
        <w:t xml:space="preserve"> u Nantesu, Francuskoj koji je izgrađen 1788. godine. U Engleskoj se prvi restoran otvara 1798. godine, a 1831. pokreće se </w:t>
      </w:r>
      <w:r w:rsidRPr="00BE5472">
        <w:rPr>
          <w:rFonts w:ascii="Times New Roman" w:hAnsi="Times New Roman" w:cs="Times New Roman"/>
          <w:i/>
          <w:sz w:val="24"/>
          <w:szCs w:val="24"/>
        </w:rPr>
        <w:t>Delmonico</w:t>
      </w:r>
      <w:r w:rsidRPr="00BE5472">
        <w:rPr>
          <w:rFonts w:ascii="Times New Roman" w:hAnsi="Times New Roman" w:cs="Times New Roman"/>
          <w:sz w:val="24"/>
          <w:szCs w:val="24"/>
        </w:rPr>
        <w:t xml:space="preserve"> u New Yorku</w:t>
      </w:r>
      <w:r w:rsidR="005A6B6D" w:rsidRPr="00BE5472">
        <w:rPr>
          <w:rFonts w:ascii="Times New Roman" w:hAnsi="Times New Roman" w:cs="Times New Roman"/>
          <w:sz w:val="24"/>
          <w:szCs w:val="24"/>
        </w:rPr>
        <w:t>,</w:t>
      </w:r>
      <w:r w:rsidRPr="00BE5472">
        <w:rPr>
          <w:rFonts w:ascii="Times New Roman" w:hAnsi="Times New Roman" w:cs="Times New Roman"/>
          <w:sz w:val="24"/>
          <w:szCs w:val="24"/>
        </w:rPr>
        <w:t xml:space="preserve"> čiji šef kuhinje stiže iz Francuske (Šergo 2007). Hoteli niču u središtu gradova. Prema Levy-Bonvin (2003) početkom 1800-ih izgrađen je </w:t>
      </w:r>
      <w:r w:rsidRPr="00BE5472">
        <w:rPr>
          <w:rFonts w:ascii="Times New Roman" w:hAnsi="Times New Roman" w:cs="Times New Roman"/>
          <w:i/>
          <w:sz w:val="24"/>
          <w:szCs w:val="24"/>
        </w:rPr>
        <w:t>Royal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u Londonu, a odmarališta su procvjetala duž francuske i talijanske riv</w:t>
      </w:r>
      <w:r w:rsidR="005A6B6D" w:rsidRPr="00BE5472">
        <w:rPr>
          <w:rFonts w:ascii="Times New Roman" w:hAnsi="Times New Roman" w:cs="Times New Roman"/>
          <w:sz w:val="24"/>
          <w:szCs w:val="24"/>
        </w:rPr>
        <w:t xml:space="preserve">ijere. U Japanu su se pojavile </w:t>
      </w:r>
      <w:r w:rsidRPr="00BE5472">
        <w:rPr>
          <w:rFonts w:ascii="Times New Roman" w:hAnsi="Times New Roman" w:cs="Times New Roman"/>
          <w:i/>
          <w:sz w:val="24"/>
          <w:szCs w:val="24"/>
        </w:rPr>
        <w:t>Ryokan</w:t>
      </w:r>
      <w:r w:rsidRPr="00BE5472">
        <w:rPr>
          <w:rFonts w:ascii="Times New Roman" w:hAnsi="Times New Roman" w:cs="Times New Roman"/>
          <w:sz w:val="24"/>
          <w:szCs w:val="24"/>
        </w:rPr>
        <w:t xml:space="preserve"> gostionice, do</w:t>
      </w:r>
      <w:r w:rsidR="005A6B6D" w:rsidRPr="00BE5472">
        <w:rPr>
          <w:rFonts w:ascii="Times New Roman" w:hAnsi="Times New Roman" w:cs="Times New Roman"/>
          <w:sz w:val="24"/>
          <w:szCs w:val="24"/>
        </w:rPr>
        <w:t xml:space="preserve">k se smještaj u Indiji nudio u </w:t>
      </w:r>
      <w:r w:rsidRPr="00BE5472">
        <w:rPr>
          <w:rFonts w:ascii="Times New Roman" w:hAnsi="Times New Roman" w:cs="Times New Roman"/>
          <w:i/>
          <w:sz w:val="24"/>
          <w:szCs w:val="24"/>
        </w:rPr>
        <w:t>Dak</w:t>
      </w:r>
      <w:r w:rsidRPr="00BE5472">
        <w:rPr>
          <w:rFonts w:ascii="Times New Roman" w:hAnsi="Times New Roman" w:cs="Times New Roman"/>
          <w:sz w:val="24"/>
          <w:szCs w:val="24"/>
        </w:rPr>
        <w:t xml:space="preserve"> bungalovima. </w:t>
      </w:r>
      <w:r w:rsidRPr="00BE5472">
        <w:rPr>
          <w:rFonts w:ascii="Times New Roman" w:hAnsi="Times New Roman" w:cs="Times New Roman"/>
          <w:i/>
          <w:sz w:val="24"/>
          <w:szCs w:val="24"/>
        </w:rPr>
        <w:t>Tremont House</w:t>
      </w:r>
      <w:r w:rsidRPr="00BE5472">
        <w:rPr>
          <w:rFonts w:ascii="Times New Roman" w:hAnsi="Times New Roman" w:cs="Times New Roman"/>
          <w:sz w:val="24"/>
          <w:szCs w:val="24"/>
        </w:rPr>
        <w:t xml:space="preserve"> u Bostonu, prvi luksuzni gradski hotel, imao je unutarn</w:t>
      </w:r>
      <w:r w:rsidR="00F758F1" w:rsidRPr="00BE5472">
        <w:rPr>
          <w:rFonts w:ascii="Times New Roman" w:hAnsi="Times New Roman" w:cs="Times New Roman"/>
          <w:sz w:val="24"/>
          <w:szCs w:val="24"/>
        </w:rPr>
        <w:t xml:space="preserve">je toalete, brave na vratima i </w:t>
      </w:r>
      <w:r w:rsidRPr="00BE5472">
        <w:rPr>
          <w:rFonts w:ascii="Times New Roman" w:hAnsi="Times New Roman" w:cs="Times New Roman"/>
          <w:i/>
          <w:sz w:val="24"/>
          <w:szCs w:val="24"/>
        </w:rPr>
        <w:t>à la carte</w:t>
      </w:r>
      <w:r w:rsidRPr="00BE5472">
        <w:rPr>
          <w:rFonts w:ascii="Times New Roman" w:hAnsi="Times New Roman" w:cs="Times New Roman"/>
          <w:sz w:val="24"/>
          <w:szCs w:val="24"/>
        </w:rPr>
        <w:t xml:space="preserve"> jelovnik. </w:t>
      </w:r>
      <w:r w:rsidRPr="00BE5472">
        <w:rPr>
          <w:rFonts w:ascii="Times New Roman" w:hAnsi="Times New Roman" w:cs="Times New Roman"/>
          <w:i/>
          <w:sz w:val="24"/>
          <w:szCs w:val="24"/>
        </w:rPr>
        <w:t>Holt Hotel</w:t>
      </w:r>
      <w:r w:rsidRPr="00BE5472">
        <w:rPr>
          <w:rFonts w:ascii="Times New Roman" w:hAnsi="Times New Roman" w:cs="Times New Roman"/>
          <w:sz w:val="24"/>
          <w:szCs w:val="24"/>
        </w:rPr>
        <w:t xml:space="preserve"> u New Yorku prvi je nudio dizalo za prtljagu. Godine 1822. Giuseppe Dal Niel je staru v</w:t>
      </w:r>
      <w:r w:rsidR="00F758F1" w:rsidRPr="00BE5472">
        <w:rPr>
          <w:rFonts w:ascii="Times New Roman" w:hAnsi="Times New Roman" w:cs="Times New Roman"/>
          <w:sz w:val="24"/>
          <w:szCs w:val="24"/>
        </w:rPr>
        <w:t xml:space="preserve">enecijansku palaču pretvorio u </w:t>
      </w:r>
      <w:r w:rsidR="00F758F1" w:rsidRPr="00BE5472">
        <w:rPr>
          <w:rFonts w:ascii="Times New Roman" w:hAnsi="Times New Roman" w:cs="Times New Roman"/>
          <w:i/>
          <w:sz w:val="24"/>
          <w:szCs w:val="24"/>
        </w:rPr>
        <w:t>Le</w:t>
      </w:r>
      <w:r w:rsidR="00F758F1" w:rsidRPr="00BE5472">
        <w:rPr>
          <w:rFonts w:ascii="Times New Roman" w:hAnsi="Times New Roman" w:cs="Times New Roman"/>
          <w:sz w:val="24"/>
          <w:szCs w:val="24"/>
        </w:rPr>
        <w:t xml:space="preserve"> </w:t>
      </w:r>
      <w:r w:rsidR="00F758F1" w:rsidRPr="00BE5472">
        <w:rPr>
          <w:rFonts w:ascii="Times New Roman" w:hAnsi="Times New Roman" w:cs="Times New Roman"/>
          <w:i/>
          <w:sz w:val="24"/>
          <w:szCs w:val="24"/>
        </w:rPr>
        <w:t>Danieli</w:t>
      </w:r>
      <w:r w:rsidRPr="00BE5472">
        <w:rPr>
          <w:rFonts w:ascii="Times New Roman" w:hAnsi="Times New Roman" w:cs="Times New Roman"/>
          <w:sz w:val="24"/>
          <w:szCs w:val="24"/>
        </w:rPr>
        <w:t xml:space="preserve"> (hotelijer bez dat.). </w:t>
      </w:r>
      <w:r w:rsidRPr="00BE5472">
        <w:rPr>
          <w:rFonts w:ascii="Times New Roman" w:hAnsi="Times New Roman" w:cs="Times New Roman"/>
          <w:i/>
          <w:sz w:val="24"/>
          <w:szCs w:val="24"/>
        </w:rPr>
        <w:t>Shepheards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u Kairu otvoren je nakon transformacije starog harema. Godine 1834. izgrađen je </w:t>
      </w:r>
      <w:r w:rsidRPr="00BE5472">
        <w:rPr>
          <w:rFonts w:ascii="Times New Roman" w:hAnsi="Times New Roman" w:cs="Times New Roman"/>
          <w:i/>
          <w:sz w:val="24"/>
          <w:szCs w:val="24"/>
        </w:rPr>
        <w:t>Hôtel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des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Bergues</w:t>
      </w:r>
      <w:r w:rsidRPr="00BE5472">
        <w:rPr>
          <w:rFonts w:ascii="Times New Roman" w:hAnsi="Times New Roman" w:cs="Times New Roman"/>
          <w:sz w:val="24"/>
          <w:szCs w:val="24"/>
        </w:rPr>
        <w:t xml:space="preserve"> u Ženevi, a 1840. </w:t>
      </w:r>
      <w:r w:rsidRPr="00BE5472">
        <w:rPr>
          <w:rFonts w:ascii="Times New Roman" w:hAnsi="Times New Roman" w:cs="Times New Roman"/>
          <w:i/>
          <w:sz w:val="24"/>
          <w:szCs w:val="24"/>
        </w:rPr>
        <w:t>l'Hôtel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des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Trois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Couronnes</w:t>
      </w:r>
      <w:r w:rsidRPr="00BE5472">
        <w:rPr>
          <w:rFonts w:ascii="Times New Roman" w:hAnsi="Times New Roman" w:cs="Times New Roman"/>
          <w:sz w:val="24"/>
          <w:szCs w:val="24"/>
        </w:rPr>
        <w:t xml:space="preserve"> u Veveyu i </w:t>
      </w:r>
      <w:r w:rsidRPr="00BE5472">
        <w:rPr>
          <w:rFonts w:ascii="Times New Roman" w:hAnsi="Times New Roman" w:cs="Times New Roman"/>
          <w:i/>
          <w:sz w:val="24"/>
          <w:szCs w:val="24"/>
        </w:rPr>
        <w:t>Baur</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au</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Lac</w:t>
      </w:r>
      <w:r w:rsidRPr="00BE5472">
        <w:rPr>
          <w:rFonts w:ascii="Times New Roman" w:hAnsi="Times New Roman" w:cs="Times New Roman"/>
          <w:sz w:val="24"/>
          <w:szCs w:val="24"/>
        </w:rPr>
        <w:t xml:space="preserve"> u Zürichu. </w:t>
      </w:r>
      <w:r w:rsidRPr="00BE5472">
        <w:rPr>
          <w:rFonts w:ascii="Times New Roman" w:hAnsi="Times New Roman" w:cs="Times New Roman"/>
          <w:i/>
          <w:sz w:val="24"/>
          <w:szCs w:val="24"/>
        </w:rPr>
        <w:t>New</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York</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bio je prvi s privatnim kupaonicama. U Münchenu su otvoreni </w:t>
      </w:r>
      <w:r w:rsidRPr="00BE5472">
        <w:rPr>
          <w:rFonts w:ascii="Times New Roman" w:hAnsi="Times New Roman" w:cs="Times New Roman"/>
          <w:i/>
          <w:sz w:val="24"/>
          <w:szCs w:val="24"/>
        </w:rPr>
        <w:t>Bayerischer</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Hof</w:t>
      </w:r>
      <w:r w:rsidRPr="00BE5472">
        <w:rPr>
          <w:rFonts w:ascii="Times New Roman" w:hAnsi="Times New Roman" w:cs="Times New Roman"/>
          <w:sz w:val="24"/>
          <w:szCs w:val="24"/>
        </w:rPr>
        <w:t xml:space="preserve"> 1841. i </w:t>
      </w:r>
      <w:r w:rsidRPr="00BE5472">
        <w:rPr>
          <w:rFonts w:ascii="Times New Roman" w:hAnsi="Times New Roman" w:cs="Times New Roman"/>
          <w:i/>
          <w:sz w:val="24"/>
          <w:szCs w:val="24"/>
        </w:rPr>
        <w:t>Vier</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Jahreszeiten</w:t>
      </w:r>
      <w:r w:rsidRPr="00BE5472">
        <w:rPr>
          <w:rFonts w:ascii="Times New Roman" w:hAnsi="Times New Roman" w:cs="Times New Roman"/>
          <w:sz w:val="24"/>
          <w:szCs w:val="24"/>
        </w:rPr>
        <w:t xml:space="preserve"> 1852. </w:t>
      </w:r>
      <w:r w:rsidRPr="00BE5472">
        <w:rPr>
          <w:rFonts w:ascii="Times New Roman" w:hAnsi="Times New Roman" w:cs="Times New Roman"/>
          <w:i/>
          <w:sz w:val="24"/>
          <w:szCs w:val="24"/>
        </w:rPr>
        <w:t>Le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Grand</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Hôtel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Paris</w:t>
      </w:r>
      <w:r w:rsidRPr="00BE5472">
        <w:rPr>
          <w:rFonts w:ascii="Times New Roman" w:hAnsi="Times New Roman" w:cs="Times New Roman"/>
          <w:sz w:val="24"/>
          <w:szCs w:val="24"/>
        </w:rPr>
        <w:t>, otvoren 5. svibnja 1862., imao je luksuzne sadržaje, uključujući prvi hidraulički lift. Do 1890. imao je električnu rasvjetu, a 1901. parno centralno grijanje.</w:t>
      </w:r>
      <w:r w:rsidRPr="00BE5472">
        <w:rPr>
          <w:rFonts w:ascii="Times New Roman" w:hAnsi="Times New Roman" w:cs="Times New Roman"/>
        </w:rPr>
        <w:t xml:space="preserve"> </w:t>
      </w:r>
      <w:r w:rsidRPr="00BE5472">
        <w:rPr>
          <w:rFonts w:ascii="Times New Roman" w:hAnsi="Times New Roman" w:cs="Times New Roman"/>
          <w:sz w:val="24"/>
          <w:szCs w:val="24"/>
        </w:rPr>
        <w:t xml:space="preserve">Godine 1870. </w:t>
      </w:r>
      <w:r w:rsidRPr="00BE5472">
        <w:rPr>
          <w:rFonts w:ascii="Times New Roman" w:hAnsi="Times New Roman" w:cs="Times New Roman"/>
          <w:i/>
          <w:sz w:val="24"/>
          <w:szCs w:val="24"/>
        </w:rPr>
        <w:t>Palmer</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House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u Chicagu bio je najveći hotel, s vatrootpornom konstrukcijom. Godine </w:t>
      </w:r>
      <w:r w:rsidRPr="00BE5472">
        <w:rPr>
          <w:rFonts w:ascii="Times New Roman" w:hAnsi="Times New Roman" w:cs="Times New Roman"/>
          <w:sz w:val="24"/>
          <w:szCs w:val="24"/>
        </w:rPr>
        <w:lastRenderedPageBreak/>
        <w:t xml:space="preserve">1873. </w:t>
      </w:r>
      <w:r w:rsidRPr="00BE5472">
        <w:rPr>
          <w:rFonts w:ascii="Times New Roman" w:hAnsi="Times New Roman" w:cs="Times New Roman"/>
          <w:i/>
          <w:sz w:val="24"/>
          <w:szCs w:val="24"/>
        </w:rPr>
        <w:t>Palais</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de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Würtemberg</w:t>
      </w:r>
      <w:r w:rsidRPr="00BE5472">
        <w:rPr>
          <w:rFonts w:ascii="Times New Roman" w:hAnsi="Times New Roman" w:cs="Times New Roman"/>
          <w:sz w:val="24"/>
          <w:szCs w:val="24"/>
        </w:rPr>
        <w:t xml:space="preserve"> u Beču postao je luksuzni </w:t>
      </w:r>
      <w:r w:rsidRPr="00BE5472">
        <w:rPr>
          <w:rFonts w:ascii="Times New Roman" w:hAnsi="Times New Roman" w:cs="Times New Roman"/>
          <w:i/>
          <w:sz w:val="24"/>
          <w:szCs w:val="24"/>
        </w:rPr>
        <w:t>Hôtel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Impérial</w:t>
      </w:r>
      <w:r w:rsidRPr="00BE5472">
        <w:rPr>
          <w:rFonts w:ascii="Times New Roman" w:hAnsi="Times New Roman" w:cs="Times New Roman"/>
          <w:sz w:val="24"/>
          <w:szCs w:val="24"/>
        </w:rPr>
        <w:t xml:space="preserve">, koji je posjećivala kraljevska obitelj. </w:t>
      </w:r>
      <w:r w:rsidRPr="00BE5472">
        <w:rPr>
          <w:rFonts w:ascii="Times New Roman" w:hAnsi="Times New Roman" w:cs="Times New Roman"/>
          <w:i/>
          <w:sz w:val="24"/>
          <w:szCs w:val="24"/>
        </w:rPr>
        <w:t>Grand</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Europe</w:t>
      </w:r>
      <w:r w:rsidRPr="00BE5472">
        <w:rPr>
          <w:rFonts w:ascii="Times New Roman" w:hAnsi="Times New Roman" w:cs="Times New Roman"/>
          <w:sz w:val="24"/>
          <w:szCs w:val="24"/>
        </w:rPr>
        <w:t xml:space="preserve"> otvoren je u Sankt Peter</w:t>
      </w:r>
      <w:r w:rsidR="00F758F1" w:rsidRPr="00BE5472">
        <w:rPr>
          <w:rFonts w:ascii="Times New Roman" w:hAnsi="Times New Roman" w:cs="Times New Roman"/>
          <w:sz w:val="24"/>
          <w:szCs w:val="24"/>
        </w:rPr>
        <w:t>s</w:t>
      </w:r>
      <w:r w:rsidRPr="00BE5472">
        <w:rPr>
          <w:rFonts w:ascii="Times New Roman" w:hAnsi="Times New Roman" w:cs="Times New Roman"/>
          <w:sz w:val="24"/>
          <w:szCs w:val="24"/>
        </w:rPr>
        <w:t xml:space="preserve">burgu 1875. godine. </w:t>
      </w:r>
      <w:r w:rsidRPr="00BE5472">
        <w:rPr>
          <w:rFonts w:ascii="Times New Roman" w:hAnsi="Times New Roman" w:cs="Times New Roman"/>
          <w:i/>
          <w:sz w:val="24"/>
          <w:szCs w:val="24"/>
        </w:rPr>
        <w:t>Sagamore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Hotel</w:t>
      </w:r>
      <w:r w:rsidRPr="00BE5472">
        <w:rPr>
          <w:rFonts w:ascii="Times New Roman" w:hAnsi="Times New Roman" w:cs="Times New Roman"/>
          <w:sz w:val="24"/>
          <w:szCs w:val="24"/>
        </w:rPr>
        <w:t xml:space="preserve"> na jezeru George bio je prvi s električnom rasvjetom u svim sobama 1880. godine. Godine 1890. osnovana je prv</w:t>
      </w:r>
      <w:r w:rsidR="00F758F1" w:rsidRPr="00BE5472">
        <w:rPr>
          <w:rFonts w:ascii="Times New Roman" w:hAnsi="Times New Roman" w:cs="Times New Roman"/>
          <w:sz w:val="24"/>
          <w:szCs w:val="24"/>
        </w:rPr>
        <w:t>a škola za hotelijere u Lausanneu</w:t>
      </w:r>
      <w:r w:rsidRPr="00BE5472">
        <w:rPr>
          <w:rFonts w:ascii="Times New Roman" w:hAnsi="Times New Roman" w:cs="Times New Roman"/>
          <w:sz w:val="24"/>
          <w:szCs w:val="24"/>
        </w:rPr>
        <w:t xml:space="preserve">, Švicarska. Godine 1894. </w:t>
      </w:r>
      <w:r w:rsidRPr="00BE5472">
        <w:rPr>
          <w:rFonts w:ascii="Times New Roman" w:hAnsi="Times New Roman" w:cs="Times New Roman"/>
          <w:i/>
          <w:sz w:val="24"/>
          <w:szCs w:val="24"/>
        </w:rPr>
        <w:t>Grand</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Hôtel</w:t>
      </w:r>
      <w:r w:rsidRPr="00BE5472">
        <w:rPr>
          <w:rFonts w:ascii="Times New Roman" w:hAnsi="Times New Roman" w:cs="Times New Roman"/>
          <w:sz w:val="24"/>
          <w:szCs w:val="24"/>
        </w:rPr>
        <w:t xml:space="preserve"> u Italiji imao je električnu rasvjetu. </w:t>
      </w:r>
      <w:r w:rsidRPr="00BE5472">
        <w:rPr>
          <w:rFonts w:ascii="Times New Roman" w:hAnsi="Times New Roman" w:cs="Times New Roman"/>
          <w:i/>
          <w:sz w:val="24"/>
          <w:szCs w:val="24"/>
        </w:rPr>
        <w:t>L'Hôtel</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Hermitage</w:t>
      </w:r>
      <w:r w:rsidRPr="00BE5472">
        <w:rPr>
          <w:rFonts w:ascii="Times New Roman" w:hAnsi="Times New Roman" w:cs="Times New Roman"/>
          <w:sz w:val="24"/>
          <w:szCs w:val="24"/>
        </w:rPr>
        <w:t xml:space="preserve"> u Monte Carlu otvoren je 1896. godine, zatim </w:t>
      </w:r>
      <w:r w:rsidRPr="00BE5472">
        <w:rPr>
          <w:rFonts w:ascii="Times New Roman" w:hAnsi="Times New Roman" w:cs="Times New Roman"/>
          <w:i/>
          <w:sz w:val="24"/>
          <w:szCs w:val="24"/>
        </w:rPr>
        <w:t>Palace de Saint Moritz</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Victoria Hotel</w:t>
      </w:r>
      <w:r w:rsidRPr="00BE5472">
        <w:rPr>
          <w:rFonts w:ascii="Times New Roman" w:hAnsi="Times New Roman" w:cs="Times New Roman"/>
          <w:sz w:val="24"/>
          <w:szCs w:val="24"/>
        </w:rPr>
        <w:t xml:space="preserve"> u Kansas Cityju. </w:t>
      </w:r>
      <w:r w:rsidRPr="00BE5472">
        <w:rPr>
          <w:rFonts w:ascii="Times New Roman" w:hAnsi="Times New Roman" w:cs="Times New Roman"/>
          <w:i/>
          <w:sz w:val="24"/>
          <w:szCs w:val="24"/>
        </w:rPr>
        <w:t>Netherland Hotel</w:t>
      </w:r>
      <w:r w:rsidRPr="00BE5472">
        <w:rPr>
          <w:rFonts w:ascii="Times New Roman" w:hAnsi="Times New Roman" w:cs="Times New Roman"/>
          <w:sz w:val="24"/>
          <w:szCs w:val="24"/>
        </w:rPr>
        <w:t xml:space="preserve"> u New Yorku bio je prvi s telefonima u svakoj sobi (Levy-Bonvin 2003). Godine 1898. César Ritz otvorio je slavni </w:t>
      </w:r>
      <w:r w:rsidRPr="00BE5472">
        <w:rPr>
          <w:rFonts w:ascii="Times New Roman" w:hAnsi="Times New Roman" w:cs="Times New Roman"/>
          <w:i/>
          <w:sz w:val="24"/>
          <w:szCs w:val="24"/>
        </w:rPr>
        <w:t>Ritz Hotel</w:t>
      </w:r>
      <w:r w:rsidRPr="00BE5472">
        <w:rPr>
          <w:rFonts w:ascii="Times New Roman" w:hAnsi="Times New Roman" w:cs="Times New Roman"/>
          <w:sz w:val="24"/>
          <w:szCs w:val="24"/>
        </w:rPr>
        <w:t xml:space="preserve"> u Parizu. Na području današnje Hrvatske do kraja 19. st. otvaraju se prvi ugostiteljski objekti u lokalnom vlasništvu, a registrirani su i prvi hoteli. Može se još izdvojiti Kupelwieserova investicija na otočju Brijuni. Bogati industrijalac iz Austrije kupio je malarijom zahvaćeno otočje, očistio ga i stvorio moderno odmaralište i lječilište. Kranjčević (2022: 57) to opisuje na sljedeći način</w:t>
      </w:r>
      <w:r w:rsidRPr="00BE5472">
        <w:rPr>
          <w:rFonts w:ascii="Times New Roman" w:hAnsi="Times New Roman" w:cs="Times New Roman"/>
          <w:i/>
          <w:iCs/>
          <w:sz w:val="24"/>
          <w:szCs w:val="24"/>
        </w:rPr>
        <w:t xml:space="preserve">: </w:t>
      </w:r>
      <w:r w:rsidRPr="00BE5472">
        <w:rPr>
          <w:rFonts w:ascii="Times New Roman" w:hAnsi="Times New Roman" w:cs="Times New Roman"/>
          <w:bCs/>
          <w:i/>
          <w:iCs/>
          <w:sz w:val="24"/>
          <w:szCs w:val="24"/>
        </w:rPr>
        <w:t>Uz povoljne društveno-ekonomske, kulturne i političke prilike Kupelwieser je u relativno kratkom vrjemenu (dvadeset pet godina) transformirao otočje Brijuni u samoodrživu poljoprivrednu i turistički ekskluzivnu destinaciju.</w:t>
      </w:r>
    </w:p>
    <w:p w14:paraId="0FD6FC11" w14:textId="77777777" w:rsidR="006E052A" w:rsidRPr="00BE5472" w:rsidRDefault="006E052A" w:rsidP="00D72D39">
      <w:pPr>
        <w:spacing w:after="120" w:line="360" w:lineRule="auto"/>
        <w:jc w:val="both"/>
        <w:rPr>
          <w:rFonts w:ascii="Times New Roman" w:hAnsi="Times New Roman" w:cs="Times New Roman"/>
          <w:color w:val="FF0000"/>
          <w:sz w:val="24"/>
          <w:szCs w:val="24"/>
        </w:rPr>
      </w:pPr>
    </w:p>
    <w:p w14:paraId="4590C894" w14:textId="3A8817A9" w:rsidR="006E052A" w:rsidRPr="00BE5472" w:rsidRDefault="006E052A" w:rsidP="00D72D39">
      <w:pPr>
        <w:spacing w:line="360" w:lineRule="auto"/>
        <w:rPr>
          <w:rFonts w:ascii="Times New Roman" w:hAnsi="Times New Roman" w:cs="Times New Roman"/>
          <w:sz w:val="24"/>
          <w:szCs w:val="24"/>
        </w:rPr>
      </w:pPr>
      <w:bookmarkStart w:id="33" w:name="_Toc210381405"/>
      <w:bookmarkStart w:id="34" w:name="_Toc210381990"/>
      <w:r w:rsidRPr="00BE5472">
        <w:rPr>
          <w:rFonts w:ascii="Times New Roman" w:hAnsi="Times New Roman" w:cs="Times New Roman"/>
          <w:sz w:val="24"/>
          <w:szCs w:val="24"/>
        </w:rPr>
        <w:t>Moderno doba (20. stoljeće)</w:t>
      </w:r>
      <w:bookmarkEnd w:id="33"/>
      <w:bookmarkEnd w:id="34"/>
    </w:p>
    <w:p w14:paraId="5B764AB5" w14:textId="77777777" w:rsidR="00BC3443" w:rsidRPr="00BE5472" w:rsidRDefault="00BC3443" w:rsidP="00D72D39">
      <w:pPr>
        <w:spacing w:line="360" w:lineRule="auto"/>
        <w:rPr>
          <w:rFonts w:ascii="Times New Roman" w:hAnsi="Times New Roman" w:cs="Times New Roman"/>
        </w:rPr>
      </w:pPr>
    </w:p>
    <w:p w14:paraId="5E6BBCA4" w14:textId="25D953DF" w:rsidR="006E052A" w:rsidRPr="00BE5472" w:rsidRDefault="006E052A" w:rsidP="00D72D39">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Početkom 20. stoljeća, brojni novi hoteli ubrzo postaju i vrlo prestižni. </w:t>
      </w:r>
      <w:r w:rsidR="009441C4" w:rsidRPr="00BE5472">
        <w:rPr>
          <w:rFonts w:ascii="Times New Roman" w:hAnsi="Times New Roman" w:cs="Times New Roman"/>
          <w:sz w:val="24"/>
          <w:szCs w:val="24"/>
        </w:rPr>
        <w:t>Edouard Niiermans, „arhitekt palača“</w:t>
      </w:r>
      <w:r w:rsidRPr="00BE5472">
        <w:rPr>
          <w:rFonts w:ascii="Times New Roman" w:hAnsi="Times New Roman" w:cs="Times New Roman"/>
          <w:sz w:val="24"/>
          <w:szCs w:val="24"/>
        </w:rPr>
        <w:t xml:space="preserve">, 1900. </w:t>
      </w:r>
      <w:r w:rsidR="009441C4" w:rsidRPr="00BE5472">
        <w:rPr>
          <w:rFonts w:ascii="Times New Roman" w:hAnsi="Times New Roman" w:cs="Times New Roman"/>
          <w:sz w:val="24"/>
          <w:szCs w:val="24"/>
        </w:rPr>
        <w:t xml:space="preserve">je transformirao </w:t>
      </w:r>
      <w:r w:rsidR="009441C4" w:rsidRPr="00BE5472">
        <w:rPr>
          <w:rFonts w:ascii="Times New Roman" w:hAnsi="Times New Roman" w:cs="Times New Roman"/>
          <w:i/>
          <w:sz w:val="24"/>
          <w:szCs w:val="24"/>
        </w:rPr>
        <w:t>Villa Eugenie</w:t>
      </w:r>
      <w:r w:rsidRPr="00BE5472">
        <w:rPr>
          <w:rFonts w:ascii="Times New Roman" w:hAnsi="Times New Roman" w:cs="Times New Roman"/>
          <w:sz w:val="24"/>
          <w:szCs w:val="24"/>
        </w:rPr>
        <w:t xml:space="preserve">, ljetnu rezidenciju cara Napoleona III., a 1905. izgradio je </w:t>
      </w:r>
      <w:r w:rsidRPr="00BE5472">
        <w:rPr>
          <w:rFonts w:ascii="Times New Roman" w:hAnsi="Times New Roman" w:cs="Times New Roman"/>
          <w:i/>
          <w:sz w:val="24"/>
          <w:szCs w:val="24"/>
        </w:rPr>
        <w:t xml:space="preserve">Hôtel du Palais </w:t>
      </w:r>
      <w:r w:rsidR="009441C4" w:rsidRPr="00BE5472">
        <w:rPr>
          <w:rFonts w:ascii="Times New Roman" w:hAnsi="Times New Roman" w:cs="Times New Roman"/>
          <w:sz w:val="24"/>
          <w:szCs w:val="24"/>
        </w:rPr>
        <w:t xml:space="preserve">u Biarritzu. Njegov </w:t>
      </w:r>
      <w:r w:rsidR="009441C4" w:rsidRPr="00BE5472">
        <w:rPr>
          <w:rFonts w:ascii="Times New Roman" w:hAnsi="Times New Roman" w:cs="Times New Roman"/>
          <w:i/>
          <w:sz w:val="24"/>
          <w:szCs w:val="24"/>
        </w:rPr>
        <w:t>Négresco</w:t>
      </w:r>
      <w:r w:rsidRPr="00BE5472">
        <w:rPr>
          <w:rFonts w:ascii="Times New Roman" w:hAnsi="Times New Roman" w:cs="Times New Roman"/>
          <w:sz w:val="24"/>
          <w:szCs w:val="24"/>
        </w:rPr>
        <w:t xml:space="preserve"> u Nici otvoren je 1913. u prisutnosti sedam kraljeva. U Madridu se 1910. kralj Alfons XIII. otvorio </w:t>
      </w:r>
      <w:r w:rsidRPr="00BE5472">
        <w:rPr>
          <w:rFonts w:ascii="Times New Roman" w:hAnsi="Times New Roman" w:cs="Times New Roman"/>
          <w:i/>
          <w:sz w:val="24"/>
          <w:szCs w:val="24"/>
        </w:rPr>
        <w:t>Ritz</w:t>
      </w:r>
      <w:r w:rsidRPr="00BE5472">
        <w:rPr>
          <w:rFonts w:ascii="Times New Roman" w:hAnsi="Times New Roman" w:cs="Times New Roman"/>
          <w:sz w:val="24"/>
          <w:szCs w:val="24"/>
        </w:rPr>
        <w:t>, a Sev</w:t>
      </w:r>
      <w:r w:rsidR="009441C4" w:rsidRPr="00BE5472">
        <w:rPr>
          <w:rFonts w:ascii="Times New Roman" w:hAnsi="Times New Roman" w:cs="Times New Roman"/>
          <w:sz w:val="24"/>
          <w:szCs w:val="24"/>
        </w:rPr>
        <w:t>ilja je u čast kralju otvorila H</w:t>
      </w:r>
      <w:r w:rsidRPr="00BE5472">
        <w:rPr>
          <w:rFonts w:ascii="Times New Roman" w:hAnsi="Times New Roman" w:cs="Times New Roman"/>
          <w:sz w:val="24"/>
          <w:szCs w:val="24"/>
        </w:rPr>
        <w:t xml:space="preserve">otel </w:t>
      </w:r>
      <w:r w:rsidRPr="00BE5472">
        <w:rPr>
          <w:rFonts w:ascii="Times New Roman" w:hAnsi="Times New Roman" w:cs="Times New Roman"/>
          <w:i/>
          <w:sz w:val="24"/>
          <w:szCs w:val="24"/>
        </w:rPr>
        <w:t>Alphonso XIII.</w:t>
      </w:r>
      <w:r w:rsidRPr="00BE5472">
        <w:rPr>
          <w:rFonts w:ascii="Times New Roman" w:hAnsi="Times New Roman" w:cs="Times New Roman"/>
          <w:sz w:val="24"/>
          <w:szCs w:val="24"/>
        </w:rPr>
        <w:t xml:space="preserve"> Barcelona je 1919. inaugurirala svoj </w:t>
      </w:r>
      <w:r w:rsidRPr="00BE5472">
        <w:rPr>
          <w:rFonts w:ascii="Times New Roman" w:hAnsi="Times New Roman" w:cs="Times New Roman"/>
          <w:i/>
          <w:sz w:val="24"/>
          <w:szCs w:val="24"/>
        </w:rPr>
        <w:t>Ritz</w:t>
      </w:r>
      <w:r w:rsidRPr="00BE5472">
        <w:rPr>
          <w:rFonts w:ascii="Times New Roman" w:hAnsi="Times New Roman" w:cs="Times New Roman"/>
          <w:sz w:val="24"/>
          <w:szCs w:val="24"/>
        </w:rPr>
        <w:t xml:space="preserve">. U istom razdoblju izgrađeni su </w:t>
      </w:r>
      <w:r w:rsidRPr="00BE5472">
        <w:rPr>
          <w:rFonts w:ascii="Times New Roman" w:hAnsi="Times New Roman" w:cs="Times New Roman"/>
          <w:i/>
          <w:sz w:val="24"/>
          <w:szCs w:val="24"/>
        </w:rPr>
        <w:t>Ritz</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Savoy</w:t>
      </w:r>
      <w:r w:rsidRPr="00BE5472">
        <w:rPr>
          <w:rFonts w:ascii="Times New Roman" w:hAnsi="Times New Roman" w:cs="Times New Roman"/>
          <w:sz w:val="24"/>
          <w:szCs w:val="24"/>
        </w:rPr>
        <w:t xml:space="preserve"> u Londonu, </w:t>
      </w:r>
      <w:r w:rsidRPr="00BE5472">
        <w:rPr>
          <w:rFonts w:ascii="Times New Roman" w:hAnsi="Times New Roman" w:cs="Times New Roman"/>
          <w:i/>
          <w:sz w:val="24"/>
          <w:szCs w:val="24"/>
        </w:rPr>
        <w:t>Beau Rivage Palace</w:t>
      </w:r>
      <w:r w:rsidR="009441C4" w:rsidRPr="00BE5472">
        <w:rPr>
          <w:rFonts w:ascii="Times New Roman" w:hAnsi="Times New Roman" w:cs="Times New Roman"/>
          <w:sz w:val="24"/>
          <w:szCs w:val="24"/>
        </w:rPr>
        <w:t xml:space="preserve"> u Lausanneu</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Plaza</w:t>
      </w:r>
      <w:r w:rsidRPr="00BE5472">
        <w:rPr>
          <w:rFonts w:ascii="Times New Roman" w:hAnsi="Times New Roman" w:cs="Times New Roman"/>
          <w:sz w:val="24"/>
          <w:szCs w:val="24"/>
        </w:rPr>
        <w:t xml:space="preserve"> u New Yorku, </w:t>
      </w:r>
      <w:r w:rsidRPr="00BE5472">
        <w:rPr>
          <w:rFonts w:ascii="Times New Roman" w:hAnsi="Times New Roman" w:cs="Times New Roman"/>
          <w:i/>
          <w:sz w:val="24"/>
          <w:szCs w:val="24"/>
        </w:rPr>
        <w:t>Métropole</w:t>
      </w:r>
      <w:r w:rsidRPr="00BE5472">
        <w:rPr>
          <w:rFonts w:ascii="Times New Roman" w:hAnsi="Times New Roman" w:cs="Times New Roman"/>
          <w:sz w:val="24"/>
          <w:szCs w:val="24"/>
        </w:rPr>
        <w:t xml:space="preserve"> u Bruxellesu, </w:t>
      </w:r>
      <w:r w:rsidRPr="00BE5472">
        <w:rPr>
          <w:rFonts w:ascii="Times New Roman" w:hAnsi="Times New Roman" w:cs="Times New Roman"/>
          <w:i/>
          <w:sz w:val="24"/>
          <w:szCs w:val="24"/>
        </w:rPr>
        <w:t>Plaza-Athenée</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Hôtel de Crillon</w:t>
      </w:r>
      <w:r w:rsidRPr="00BE5472">
        <w:rPr>
          <w:rFonts w:ascii="Times New Roman" w:hAnsi="Times New Roman" w:cs="Times New Roman"/>
          <w:sz w:val="24"/>
          <w:szCs w:val="24"/>
        </w:rPr>
        <w:t xml:space="preserve"> u Parizu te </w:t>
      </w:r>
      <w:r w:rsidRPr="00BE5472">
        <w:rPr>
          <w:rFonts w:ascii="Times New Roman" w:hAnsi="Times New Roman" w:cs="Times New Roman"/>
          <w:i/>
          <w:sz w:val="24"/>
          <w:szCs w:val="24"/>
        </w:rPr>
        <w:t>Taj Mahal</w:t>
      </w:r>
      <w:r w:rsidRPr="00BE5472">
        <w:rPr>
          <w:rFonts w:ascii="Times New Roman" w:hAnsi="Times New Roman" w:cs="Times New Roman"/>
          <w:sz w:val="24"/>
          <w:szCs w:val="24"/>
        </w:rPr>
        <w:t xml:space="preserve"> u Bombaju. Godine 1923., arhitekti Marchisio i Prost izgradili su hotel u </w:t>
      </w:r>
      <w:r w:rsidR="009441C4" w:rsidRPr="00BE5472">
        <w:rPr>
          <w:rFonts w:ascii="Times New Roman" w:hAnsi="Times New Roman" w:cs="Times New Roman"/>
          <w:sz w:val="24"/>
          <w:szCs w:val="24"/>
        </w:rPr>
        <w:t>prekrasnim vrtovima u Marakešu</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La Mamounia</w:t>
      </w:r>
      <w:r w:rsidRPr="00BE5472">
        <w:rPr>
          <w:rFonts w:ascii="Times New Roman" w:hAnsi="Times New Roman" w:cs="Times New Roman"/>
          <w:sz w:val="24"/>
          <w:szCs w:val="24"/>
        </w:rPr>
        <w:t xml:space="preserve">. Tijekom tridesetih, izgrađen je </w:t>
      </w:r>
      <w:r w:rsidRPr="00BE5472">
        <w:rPr>
          <w:rFonts w:ascii="Times New Roman" w:hAnsi="Times New Roman" w:cs="Times New Roman"/>
          <w:i/>
          <w:sz w:val="24"/>
          <w:szCs w:val="24"/>
        </w:rPr>
        <w:t>Waldorf Astoria</w:t>
      </w:r>
      <w:r w:rsidRPr="00BE5472">
        <w:rPr>
          <w:rFonts w:ascii="Times New Roman" w:hAnsi="Times New Roman" w:cs="Times New Roman"/>
          <w:sz w:val="24"/>
          <w:szCs w:val="24"/>
        </w:rPr>
        <w:t xml:space="preserve"> u New Yorku. Nakon rata, pedesete su donijele drugi </w:t>
      </w:r>
      <w:r w:rsidRPr="00BE5472">
        <w:rPr>
          <w:rFonts w:ascii="Times New Roman" w:hAnsi="Times New Roman" w:cs="Times New Roman"/>
          <w:i/>
          <w:sz w:val="24"/>
          <w:szCs w:val="24"/>
        </w:rPr>
        <w:t>boom</w:t>
      </w:r>
      <w:r w:rsidRPr="00BE5472">
        <w:rPr>
          <w:rFonts w:ascii="Times New Roman" w:hAnsi="Times New Roman" w:cs="Times New Roman"/>
          <w:sz w:val="24"/>
          <w:szCs w:val="24"/>
        </w:rPr>
        <w:t xml:space="preserve"> u hotelijerstvu. Club Méditerranée je uveo koncept klub sela, a izgrađeni su prvi kasino hoteli (Levy-Bonvin 2003).</w:t>
      </w:r>
    </w:p>
    <w:p w14:paraId="6630C87A"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Moderno razdoblje razvoja ugostiteljstva može se podijeliti u dva karakteristična podrazdoblja (Krzak 2022): </w:t>
      </w:r>
    </w:p>
    <w:p w14:paraId="7887D58C" w14:textId="77777777" w:rsidR="006E052A" w:rsidRPr="00BE5472" w:rsidRDefault="006E052A" w:rsidP="006E052A">
      <w:pPr>
        <w:numPr>
          <w:ilvl w:val="0"/>
          <w:numId w:val="1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Prva revolucija: Luksuz i usluga (1961. – 1980.)</w:t>
      </w:r>
    </w:p>
    <w:p w14:paraId="0E1844EA" w14:textId="2395971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Ovo se razdoblje može nazvati </w:t>
      </w:r>
      <w:r w:rsidR="00D76B74" w:rsidRPr="00BE5472">
        <w:rPr>
          <w:rFonts w:ascii="Times New Roman" w:hAnsi="Times New Roman" w:cs="Times New Roman"/>
          <w:i/>
          <w:iCs/>
          <w:sz w:val="24"/>
          <w:szCs w:val="24"/>
        </w:rPr>
        <w:t>z</w:t>
      </w:r>
      <w:r w:rsidRPr="00BE5472">
        <w:rPr>
          <w:rFonts w:ascii="Times New Roman" w:hAnsi="Times New Roman" w:cs="Times New Roman"/>
          <w:i/>
          <w:iCs/>
          <w:sz w:val="24"/>
          <w:szCs w:val="24"/>
        </w:rPr>
        <w:t>latnim razdobljem</w:t>
      </w:r>
      <w:r w:rsidRPr="00BE5472">
        <w:rPr>
          <w:rFonts w:ascii="Times New Roman" w:hAnsi="Times New Roman" w:cs="Times New Roman"/>
          <w:sz w:val="24"/>
          <w:szCs w:val="24"/>
        </w:rPr>
        <w:t xml:space="preserve"> hotelijerstva jer ga karakterizira luksuz i izvanredna usluga.  Bogati se nakon Drugog svjetskog rata u Amer</w:t>
      </w:r>
      <w:r w:rsidR="00D76B74" w:rsidRPr="00BE5472">
        <w:rPr>
          <w:rFonts w:ascii="Times New Roman" w:hAnsi="Times New Roman" w:cs="Times New Roman"/>
          <w:sz w:val="24"/>
          <w:szCs w:val="24"/>
        </w:rPr>
        <w:t>i</w:t>
      </w:r>
      <w:r w:rsidRPr="00BE5472">
        <w:rPr>
          <w:rFonts w:ascii="Times New Roman" w:hAnsi="Times New Roman" w:cs="Times New Roman"/>
          <w:sz w:val="24"/>
          <w:szCs w:val="24"/>
        </w:rPr>
        <w:t>ci sve više bogate i u potrazi su za luksuznom robom i uslugama, pa tako i putovanjima. Značajna je i ekspanzija međunarodnog zračnog prijevoza – „jeftinog prijevoza“ te se 1960-e smatraju zlatnim razdobljem zračnih putovanja (</w:t>
      </w:r>
      <w:r w:rsidRPr="00BE5472">
        <w:rPr>
          <w:rFonts w:ascii="Times New Roman" w:hAnsi="Times New Roman" w:cs="Times New Roman"/>
          <w:i/>
          <w:iCs/>
          <w:sz w:val="24"/>
          <w:szCs w:val="24"/>
        </w:rPr>
        <w:t>Customer Alliance</w:t>
      </w:r>
      <w:r w:rsidRPr="00BE5472">
        <w:rPr>
          <w:rFonts w:ascii="Times New Roman" w:hAnsi="Times New Roman" w:cs="Times New Roman"/>
          <w:sz w:val="24"/>
          <w:szCs w:val="24"/>
        </w:rPr>
        <w:t xml:space="preserve"> bez dat.).  Ključni događaji ovog vremena jesu preuzimanje hotela </w:t>
      </w:r>
      <w:r w:rsidRPr="00BE5472">
        <w:rPr>
          <w:rFonts w:ascii="Times New Roman" w:hAnsi="Times New Roman" w:cs="Times New Roman"/>
          <w:i/>
          <w:iCs/>
          <w:sz w:val="24"/>
          <w:szCs w:val="24"/>
        </w:rPr>
        <w:t>St. Regis New York</w:t>
      </w:r>
      <w:r w:rsidRPr="00BE5472">
        <w:rPr>
          <w:rFonts w:ascii="Times New Roman" w:hAnsi="Times New Roman" w:cs="Times New Roman"/>
          <w:sz w:val="24"/>
          <w:szCs w:val="24"/>
        </w:rPr>
        <w:t xml:space="preserve"> od poduzeća </w:t>
      </w:r>
      <w:r w:rsidRPr="00BE5472">
        <w:rPr>
          <w:rFonts w:ascii="Times New Roman" w:hAnsi="Times New Roman" w:cs="Times New Roman"/>
          <w:i/>
          <w:iCs/>
          <w:sz w:val="24"/>
          <w:szCs w:val="24"/>
        </w:rPr>
        <w:t>ITT</w:t>
      </w:r>
      <w:r w:rsidRPr="00BE5472">
        <w:rPr>
          <w:rFonts w:ascii="Times New Roman" w:hAnsi="Times New Roman" w:cs="Times New Roman"/>
          <w:sz w:val="24"/>
          <w:szCs w:val="24"/>
        </w:rPr>
        <w:t xml:space="preserve"> (Sheraton) 1960. godine, osnivanje hotela </w:t>
      </w:r>
      <w:r w:rsidRPr="00BE5472">
        <w:rPr>
          <w:rFonts w:ascii="Times New Roman" w:hAnsi="Times New Roman" w:cs="Times New Roman"/>
          <w:i/>
          <w:iCs/>
          <w:sz w:val="24"/>
          <w:szCs w:val="24"/>
        </w:rPr>
        <w:t>Four</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Seasons</w:t>
      </w:r>
      <w:r w:rsidRPr="00BE5472">
        <w:rPr>
          <w:rFonts w:ascii="Times New Roman" w:hAnsi="Times New Roman" w:cs="Times New Roman"/>
          <w:sz w:val="24"/>
          <w:szCs w:val="24"/>
        </w:rPr>
        <w:t xml:space="preserve"> koj</w:t>
      </w:r>
      <w:r w:rsidR="009A1BEE" w:rsidRPr="00BE5472">
        <w:rPr>
          <w:rFonts w:ascii="Times New Roman" w:hAnsi="Times New Roman" w:cs="Times New Roman"/>
          <w:sz w:val="24"/>
          <w:szCs w:val="24"/>
        </w:rPr>
        <w:t>i</w:t>
      </w:r>
      <w:r w:rsidRPr="00BE5472">
        <w:rPr>
          <w:rFonts w:ascii="Times New Roman" w:hAnsi="Times New Roman" w:cs="Times New Roman"/>
          <w:sz w:val="24"/>
          <w:szCs w:val="24"/>
        </w:rPr>
        <w:t xml:space="preserve"> je 1961. godine osnovao Isadore Sharp 1961. te osnivanje </w:t>
      </w:r>
      <w:r w:rsidRPr="00BE5472">
        <w:rPr>
          <w:rFonts w:ascii="Times New Roman" w:hAnsi="Times New Roman" w:cs="Times New Roman"/>
          <w:i/>
          <w:iCs/>
          <w:sz w:val="24"/>
          <w:szCs w:val="24"/>
        </w:rPr>
        <w:t>Ritz Carltona</w:t>
      </w:r>
      <w:r w:rsidRPr="00BE5472">
        <w:rPr>
          <w:rFonts w:ascii="Times New Roman" w:hAnsi="Times New Roman" w:cs="Times New Roman"/>
          <w:sz w:val="24"/>
          <w:szCs w:val="24"/>
        </w:rPr>
        <w:t xml:space="preserve"> 1983. godine. Lideri poput Sharpa, koji su se fokusirali na vrhunsku uslugu, bili su izdašno nagrađeni.</w:t>
      </w:r>
      <w:r w:rsidRPr="00BE5472">
        <w:rPr>
          <w:rFonts w:ascii="Times New Roman" w:hAnsi="Times New Roman" w:cs="Times New Roman"/>
        </w:rPr>
        <w:t xml:space="preserve"> </w:t>
      </w:r>
      <w:r w:rsidRPr="00BE5472">
        <w:rPr>
          <w:rFonts w:ascii="Times New Roman" w:hAnsi="Times New Roman" w:cs="Times New Roman"/>
          <w:sz w:val="24"/>
          <w:szCs w:val="24"/>
        </w:rPr>
        <w:t>Šezdesetih godina niču novi turistički resorti na Mediteranu (Grčka, Španjolska, Jugoslavija…). Godine 1970. započela je izgradnja hotela za poslovne ljude. Naftom bogate zemlje Bliskog Istoka privukle su poslovne ljude, što je potaknulo razvoj poslovnih hotela u gradovima poput Dubaija i Rijada. Krajem sedamdesetih, Kina se otvorila stranim turistima. U drugoj polovici 20. st. mnoge zemlje uvode obvezu kategorizacije smještajnih objekata (</w:t>
      </w:r>
      <w:r w:rsidRPr="00BE5472">
        <w:rPr>
          <w:rFonts w:ascii="Times New Roman" w:hAnsi="Times New Roman" w:cs="Times New Roman"/>
          <w:i/>
          <w:iCs/>
          <w:sz w:val="24"/>
          <w:szCs w:val="24"/>
        </w:rPr>
        <w:t>Customer Alliance</w:t>
      </w:r>
      <w:r w:rsidRPr="00BE5472">
        <w:rPr>
          <w:rFonts w:ascii="Times New Roman" w:hAnsi="Times New Roman" w:cs="Times New Roman"/>
          <w:sz w:val="24"/>
          <w:szCs w:val="24"/>
        </w:rPr>
        <w:t xml:space="preserve"> bez dat.)</w:t>
      </w:r>
      <w:r w:rsidR="009A1BEE"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dovodi do diferencijacije usluge i potpuno novog načina pružanja usluge i segmentiranja tržišta. </w:t>
      </w:r>
    </w:p>
    <w:p w14:paraId="47E494F6" w14:textId="77777777" w:rsidR="006E052A" w:rsidRPr="00BE5472" w:rsidRDefault="006E052A" w:rsidP="006E052A">
      <w:pPr>
        <w:numPr>
          <w:ilvl w:val="0"/>
          <w:numId w:val="1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Druga revolucija: Segmentacija tržišta (1981. – 2000.)</w:t>
      </w:r>
    </w:p>
    <w:p w14:paraId="27338D0A" w14:textId="053193F4"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Porast zračnog prometa stvorio je prilike za poduzetnike da segmentiraju hotelsko tržište i ponude jedinstvena iskustva. Marketing postaje sve inovativniji i dinamičniji. Druga polovica 20. stoljeća bila je posebno dinamična. Diljem svijeta otvara se sve više novih hotela, a rezultat je to rasta broja stanovnika, demografskih promjena i urbanizacije. Tako putovanja postaju sve popularnija, ali traži se i raznolikost. Ne putuje se više samo unutar </w:t>
      </w:r>
      <w:r w:rsidR="00DE7080" w:rsidRPr="00BE5472">
        <w:rPr>
          <w:rFonts w:ascii="Times New Roman" w:hAnsi="Times New Roman" w:cs="Times New Roman"/>
          <w:sz w:val="24"/>
          <w:szCs w:val="24"/>
        </w:rPr>
        <w:t>vlastite</w:t>
      </w:r>
      <w:r w:rsidRPr="00BE5472">
        <w:rPr>
          <w:rFonts w:ascii="Times New Roman" w:hAnsi="Times New Roman" w:cs="Times New Roman"/>
          <w:sz w:val="24"/>
          <w:szCs w:val="24"/>
        </w:rPr>
        <w:t xml:space="preserve"> zemlje, zanimljive postaju i druge destinacije (</w:t>
      </w:r>
      <w:r w:rsidRPr="00BE5472">
        <w:rPr>
          <w:rFonts w:ascii="Times New Roman" w:hAnsi="Times New Roman" w:cs="Times New Roman"/>
          <w:i/>
          <w:iCs/>
          <w:sz w:val="24"/>
          <w:szCs w:val="24"/>
        </w:rPr>
        <w:t>Stainton</w:t>
      </w:r>
      <w:r w:rsidRPr="00BE5472">
        <w:rPr>
          <w:rFonts w:ascii="Times New Roman" w:hAnsi="Times New Roman" w:cs="Times New Roman"/>
          <w:sz w:val="24"/>
          <w:szCs w:val="24"/>
        </w:rPr>
        <w:t xml:space="preserve"> bez dat.). Godine 1984. započela je obnova palače </w:t>
      </w:r>
      <w:r w:rsidRPr="00BE5472">
        <w:rPr>
          <w:rFonts w:ascii="Times New Roman" w:hAnsi="Times New Roman" w:cs="Times New Roman"/>
          <w:i/>
          <w:iCs/>
          <w:sz w:val="24"/>
          <w:szCs w:val="24"/>
        </w:rPr>
        <w:t>Ciragan</w:t>
      </w:r>
      <w:r w:rsidRPr="00BE5472">
        <w:rPr>
          <w:rFonts w:ascii="Times New Roman" w:hAnsi="Times New Roman" w:cs="Times New Roman"/>
          <w:sz w:val="24"/>
          <w:szCs w:val="24"/>
        </w:rPr>
        <w:t xml:space="preserve"> u Istanbulu u luksuzni hotel. Inovatori poput Billa Kimptona, Chipa Conleya i Iana Schragera uveli su dizajnerske butik hotele. Godine 1997. obnovljen je </w:t>
      </w:r>
      <w:r w:rsidRPr="00BE5472">
        <w:rPr>
          <w:rFonts w:ascii="Times New Roman" w:hAnsi="Times New Roman" w:cs="Times New Roman"/>
          <w:i/>
          <w:iCs/>
          <w:sz w:val="24"/>
          <w:szCs w:val="24"/>
        </w:rPr>
        <w:t>Hotel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Adlon</w:t>
      </w:r>
      <w:r w:rsidRPr="00BE5472">
        <w:rPr>
          <w:rFonts w:ascii="Times New Roman" w:hAnsi="Times New Roman" w:cs="Times New Roman"/>
          <w:sz w:val="24"/>
          <w:szCs w:val="24"/>
        </w:rPr>
        <w:t xml:space="preserve"> u Berlinu. Veliki su se hotelski lanci počeli spajati (npr. </w:t>
      </w:r>
      <w:r w:rsidRPr="00BE5472">
        <w:rPr>
          <w:rFonts w:ascii="Times New Roman" w:hAnsi="Times New Roman" w:cs="Times New Roman"/>
          <w:i/>
          <w:iCs/>
          <w:sz w:val="24"/>
          <w:szCs w:val="24"/>
        </w:rPr>
        <w:t>Holiday</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Inn</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Intercontinental</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Crown</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Plaza</w:t>
      </w:r>
      <w:r w:rsidRPr="00BE5472">
        <w:rPr>
          <w:rFonts w:ascii="Times New Roman" w:hAnsi="Times New Roman" w:cs="Times New Roman"/>
          <w:sz w:val="24"/>
          <w:szCs w:val="24"/>
        </w:rPr>
        <w:t xml:space="preserve"> u </w:t>
      </w:r>
      <w:r w:rsidRPr="00BE5472">
        <w:rPr>
          <w:rFonts w:ascii="Times New Roman" w:hAnsi="Times New Roman" w:cs="Times New Roman"/>
          <w:i/>
          <w:iCs/>
          <w:sz w:val="24"/>
          <w:szCs w:val="24"/>
        </w:rPr>
        <w:t>Six Continents Hotels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Chain</w:t>
      </w:r>
      <w:r w:rsidRPr="00BE5472">
        <w:rPr>
          <w:rFonts w:ascii="Times New Roman" w:hAnsi="Times New Roman" w:cs="Times New Roman"/>
          <w:sz w:val="24"/>
          <w:szCs w:val="24"/>
        </w:rPr>
        <w:t xml:space="preserve">). Europa, Bliski </w:t>
      </w:r>
      <w:r w:rsidR="009A1BEE" w:rsidRPr="00BE5472">
        <w:rPr>
          <w:rFonts w:ascii="Times New Roman" w:hAnsi="Times New Roman" w:cs="Times New Roman"/>
          <w:sz w:val="24"/>
          <w:szCs w:val="24"/>
        </w:rPr>
        <w:t>i</w:t>
      </w:r>
      <w:r w:rsidRPr="00BE5472">
        <w:rPr>
          <w:rFonts w:ascii="Times New Roman" w:hAnsi="Times New Roman" w:cs="Times New Roman"/>
          <w:sz w:val="24"/>
          <w:szCs w:val="24"/>
        </w:rPr>
        <w:t xml:space="preserve">stok i Latinska Amerika postale su glavne zone ekspanzije. </w:t>
      </w:r>
      <w:r w:rsidR="00363A73" w:rsidRPr="00BE5472">
        <w:rPr>
          <w:rFonts w:ascii="Times New Roman" w:hAnsi="Times New Roman" w:cs="Times New Roman"/>
          <w:sz w:val="24"/>
          <w:szCs w:val="24"/>
        </w:rPr>
        <w:t xml:space="preserve">Opatija u Hrvatskoj, sa svojim hotelom </w:t>
      </w:r>
      <w:r w:rsidR="00363A73" w:rsidRPr="00BE5472">
        <w:rPr>
          <w:rFonts w:ascii="Times New Roman" w:hAnsi="Times New Roman" w:cs="Times New Roman"/>
          <w:i/>
          <w:iCs/>
          <w:sz w:val="24"/>
          <w:szCs w:val="24"/>
        </w:rPr>
        <w:t>Millennium</w:t>
      </w:r>
      <w:r w:rsidR="00363A73" w:rsidRPr="00BE5472">
        <w:rPr>
          <w:rFonts w:ascii="Times New Roman" w:hAnsi="Times New Roman" w:cs="Times New Roman"/>
          <w:sz w:val="24"/>
          <w:szCs w:val="24"/>
        </w:rPr>
        <w:t>, postala je primjer uspješnog repozicioniranja destinacije prema ponudi visoke dodane vrijednosti, čime je značajno podignuta konkurentnost cjelokupnog hotelskog sektora u regiji</w:t>
      </w:r>
      <w:r w:rsidRPr="00BE5472">
        <w:rPr>
          <w:rFonts w:ascii="Times New Roman" w:hAnsi="Times New Roman" w:cs="Times New Roman"/>
          <w:sz w:val="24"/>
          <w:szCs w:val="24"/>
        </w:rPr>
        <w:t xml:space="preserve">. Diljem svijeta, glavni gradovi razvijali su infrastrukturu za doček milijuna turista za ulazak u treće tisućljeće. Godine 1995. u Dubaiju je započela gradnja prestižnog turističkog kompleksa </w:t>
      </w:r>
      <w:r w:rsidRPr="00BE5472">
        <w:rPr>
          <w:rFonts w:ascii="Times New Roman" w:hAnsi="Times New Roman" w:cs="Times New Roman"/>
          <w:i/>
          <w:iCs/>
          <w:sz w:val="24"/>
          <w:szCs w:val="24"/>
        </w:rPr>
        <w:t>Jumeirah</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Beach</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Hotels</w:t>
      </w:r>
      <w:r w:rsidRPr="00BE5472">
        <w:rPr>
          <w:rFonts w:ascii="Times New Roman" w:hAnsi="Times New Roman" w:cs="Times New Roman"/>
          <w:sz w:val="24"/>
          <w:szCs w:val="24"/>
        </w:rPr>
        <w:t xml:space="preserve">. Ovi hoteli zadovoljavaju potrebe </w:t>
      </w:r>
      <w:r w:rsidRPr="00BE5472">
        <w:rPr>
          <w:rFonts w:ascii="Times New Roman" w:hAnsi="Times New Roman" w:cs="Times New Roman"/>
          <w:sz w:val="24"/>
          <w:szCs w:val="24"/>
        </w:rPr>
        <w:lastRenderedPageBreak/>
        <w:t xml:space="preserve">prosječnih turista, poslovnih ljudi i onih koji traže pravu luksuz. Godine 1997., Barry Sternlicht iz </w:t>
      </w:r>
      <w:r w:rsidRPr="00BE5472">
        <w:rPr>
          <w:rFonts w:ascii="Times New Roman" w:hAnsi="Times New Roman" w:cs="Times New Roman"/>
          <w:i/>
          <w:iCs/>
          <w:sz w:val="24"/>
          <w:szCs w:val="24"/>
        </w:rPr>
        <w:t>Starwood</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Capital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Partners</w:t>
      </w:r>
      <w:r w:rsidRPr="00BE5472">
        <w:rPr>
          <w:rFonts w:ascii="Times New Roman" w:hAnsi="Times New Roman" w:cs="Times New Roman"/>
          <w:sz w:val="24"/>
          <w:szCs w:val="24"/>
        </w:rPr>
        <w:t xml:space="preserve"> svojom je ponudom nadmašio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u ponudi za preuzimanje </w:t>
      </w:r>
      <w:r w:rsidRPr="00BE5472">
        <w:rPr>
          <w:rFonts w:ascii="Times New Roman" w:hAnsi="Times New Roman" w:cs="Times New Roman"/>
          <w:i/>
          <w:iCs/>
          <w:sz w:val="24"/>
          <w:szCs w:val="24"/>
        </w:rPr>
        <w:t>ITT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Corp</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Sheraton</w:t>
      </w:r>
      <w:r w:rsidRPr="00BE5472">
        <w:rPr>
          <w:rFonts w:ascii="Times New Roman" w:hAnsi="Times New Roman" w:cs="Times New Roman"/>
          <w:sz w:val="24"/>
          <w:szCs w:val="24"/>
        </w:rPr>
        <w:t xml:space="preserve">) s iznosom od 14,3 milijarde dolara. Zatim je iskoristio priliku koju je prepoznao u segmentaciji tržišta i osnovao prvi </w:t>
      </w:r>
      <w:r w:rsidRPr="00BE5472">
        <w:rPr>
          <w:rFonts w:ascii="Times New Roman" w:hAnsi="Times New Roman" w:cs="Times New Roman"/>
          <w:i/>
          <w:iCs/>
          <w:sz w:val="24"/>
          <w:szCs w:val="24"/>
        </w:rPr>
        <w:t>W hotel</w:t>
      </w:r>
      <w:r w:rsidRPr="00BE5472">
        <w:rPr>
          <w:rFonts w:ascii="Times New Roman" w:hAnsi="Times New Roman" w:cs="Times New Roman"/>
          <w:sz w:val="24"/>
          <w:szCs w:val="24"/>
        </w:rPr>
        <w:t xml:space="preserve"> 1998. godine, ciljajući specifični segment kupaca s prepoznatljivim identitetom marke. </w:t>
      </w:r>
      <w:r w:rsidR="002874FC">
        <w:rPr>
          <w:rFonts w:ascii="Times New Roman" w:hAnsi="Times New Roman" w:cs="Times New Roman"/>
          <w:sz w:val="24"/>
          <w:szCs w:val="24"/>
        </w:rPr>
        <w:t>Tijekom 2003. godine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W hoteli</w:t>
      </w:r>
      <w:r w:rsidRPr="00BE5472">
        <w:rPr>
          <w:rFonts w:ascii="Times New Roman" w:hAnsi="Times New Roman" w:cs="Times New Roman"/>
          <w:sz w:val="24"/>
          <w:szCs w:val="24"/>
        </w:rPr>
        <w:t xml:space="preserve"> </w:t>
      </w:r>
      <w:r w:rsidR="002874FC">
        <w:rPr>
          <w:rFonts w:ascii="Times New Roman" w:hAnsi="Times New Roman" w:cs="Times New Roman"/>
          <w:sz w:val="24"/>
          <w:szCs w:val="24"/>
        </w:rPr>
        <w:t>raspolagali su sa</w:t>
      </w:r>
      <w:r w:rsidRPr="00BE5472">
        <w:rPr>
          <w:rFonts w:ascii="Times New Roman" w:hAnsi="Times New Roman" w:cs="Times New Roman"/>
          <w:sz w:val="24"/>
          <w:szCs w:val="24"/>
        </w:rPr>
        <w:t xml:space="preserve"> preko 13.000 soba diljem svijeta. Devedesete godine obilježila je recesija, ali i tehnološki napredak. Tehnologija počinje preuzimati ključnu ulogu u upravljanju hotelima, pojednostavljujući prijavu i odjavu, globalne rezervacijske sustave i marketinško upravljanje. Godine 1995. predstavljen je prvi </w:t>
      </w:r>
      <w:r w:rsidRPr="00BE5472">
        <w:rPr>
          <w:rFonts w:ascii="Times New Roman" w:hAnsi="Times New Roman" w:cs="Times New Roman"/>
          <w:i/>
          <w:iCs/>
          <w:sz w:val="24"/>
          <w:szCs w:val="24"/>
        </w:rPr>
        <w:t>Hotel Room Management System</w:t>
      </w:r>
      <w:r w:rsidRPr="00BE5472">
        <w:rPr>
          <w:rFonts w:ascii="Times New Roman" w:hAnsi="Times New Roman" w:cs="Times New Roman"/>
          <w:sz w:val="24"/>
          <w:szCs w:val="24"/>
        </w:rPr>
        <w:t xml:space="preserve"> na europskoj razini, povezan s najpopularnijim sustavima upravljanja imovinom kako bi se unaprijedila učinkovitost recepcije (Levy-Bonvin 2003). </w:t>
      </w:r>
    </w:p>
    <w:p w14:paraId="7FB69325" w14:textId="77777777" w:rsidR="006E052A" w:rsidRPr="00BE5472" w:rsidRDefault="006E052A" w:rsidP="006E052A">
      <w:pPr>
        <w:spacing w:after="120" w:line="360" w:lineRule="auto"/>
        <w:jc w:val="both"/>
        <w:rPr>
          <w:rFonts w:ascii="Times New Roman" w:hAnsi="Times New Roman" w:cs="Times New Roman"/>
          <w:sz w:val="24"/>
          <w:szCs w:val="24"/>
        </w:rPr>
      </w:pPr>
    </w:p>
    <w:p w14:paraId="1A37DC78" w14:textId="60CA1781" w:rsidR="006E052A" w:rsidRPr="00BE5472" w:rsidRDefault="006E052A" w:rsidP="00921B5B">
      <w:pPr>
        <w:rPr>
          <w:rFonts w:ascii="Times New Roman" w:hAnsi="Times New Roman" w:cs="Times New Roman"/>
          <w:sz w:val="24"/>
          <w:szCs w:val="24"/>
        </w:rPr>
      </w:pPr>
      <w:bookmarkStart w:id="35" w:name="_Toc210381406"/>
      <w:bookmarkStart w:id="36" w:name="_Toc210381991"/>
      <w:r w:rsidRPr="00BE5472">
        <w:rPr>
          <w:rFonts w:ascii="Times New Roman" w:hAnsi="Times New Roman" w:cs="Times New Roman"/>
          <w:sz w:val="24"/>
          <w:szCs w:val="24"/>
        </w:rPr>
        <w:t>Suvremeno doba (od 2000. nadalje)</w:t>
      </w:r>
      <w:bookmarkEnd w:id="35"/>
      <w:bookmarkEnd w:id="36"/>
      <w:r w:rsidRPr="00BE5472">
        <w:rPr>
          <w:rFonts w:ascii="Times New Roman" w:hAnsi="Times New Roman" w:cs="Times New Roman"/>
          <w:sz w:val="24"/>
          <w:szCs w:val="24"/>
        </w:rPr>
        <w:t xml:space="preserve"> </w:t>
      </w:r>
    </w:p>
    <w:p w14:paraId="1CC83FEA" w14:textId="77777777" w:rsidR="00BC3443" w:rsidRPr="00BE5472" w:rsidRDefault="00BC3443" w:rsidP="00BC3443">
      <w:pPr>
        <w:rPr>
          <w:rFonts w:ascii="Times New Roman" w:hAnsi="Times New Roman" w:cs="Times New Roman"/>
        </w:rPr>
      </w:pPr>
    </w:p>
    <w:p w14:paraId="6C119BF7" w14:textId="6C284B02"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Doba je ovo u kojem se vidno prepoznaje ubrzani razvoj novih poslovnih modela pružanja usluga, rasta broja hotelskih lanaca i njihovih marki te razvoj novih distribucijskih kanala. </w:t>
      </w:r>
      <w:r w:rsidRPr="00BE5472">
        <w:rPr>
          <w:rFonts w:ascii="Times New Roman" w:hAnsi="Times New Roman" w:cs="Times New Roman"/>
          <w:i/>
          <w:iCs/>
          <w:sz w:val="24"/>
          <w:szCs w:val="24"/>
        </w:rPr>
        <w:t>Expedia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Priceline</w:t>
      </w:r>
      <w:r w:rsidRPr="00BE5472">
        <w:rPr>
          <w:rFonts w:ascii="Times New Roman" w:hAnsi="Times New Roman" w:cs="Times New Roman"/>
          <w:sz w:val="24"/>
          <w:szCs w:val="24"/>
        </w:rPr>
        <w:t xml:space="preserve"> su shvatili da ne trebaju posjedovati hotele ili hotelske marke da bi prodavali sobe. </w:t>
      </w:r>
      <w:r w:rsidRPr="00BE5472">
        <w:rPr>
          <w:rFonts w:ascii="Times New Roman" w:hAnsi="Times New Roman" w:cs="Times New Roman"/>
          <w:i/>
          <w:iCs/>
          <w:sz w:val="24"/>
          <w:szCs w:val="24"/>
        </w:rPr>
        <w:t>AirBnB</w:t>
      </w:r>
      <w:r w:rsidRPr="00BE5472">
        <w:rPr>
          <w:rFonts w:ascii="Times New Roman" w:hAnsi="Times New Roman" w:cs="Times New Roman"/>
          <w:sz w:val="24"/>
          <w:szCs w:val="24"/>
        </w:rPr>
        <w:t xml:space="preserve"> je proširio svoj koncept komercijalizirajući pokret </w:t>
      </w:r>
      <w:r w:rsidRPr="00BE5472">
        <w:rPr>
          <w:rFonts w:ascii="Times New Roman" w:hAnsi="Times New Roman" w:cs="Times New Roman"/>
          <w:i/>
          <w:sz w:val="24"/>
          <w:szCs w:val="24"/>
        </w:rPr>
        <w:t>couch</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surfing</w:t>
      </w:r>
      <w:r w:rsidR="009A1BEE" w:rsidRPr="00BE5472">
        <w:rPr>
          <w:rFonts w:ascii="Times New Roman" w:hAnsi="Times New Roman" w:cs="Times New Roman"/>
          <w:i/>
          <w:sz w:val="24"/>
          <w:szCs w:val="24"/>
        </w:rPr>
        <w:t>a</w:t>
      </w:r>
      <w:r w:rsidRPr="00BE5472">
        <w:rPr>
          <w:rFonts w:ascii="Times New Roman" w:hAnsi="Times New Roman" w:cs="Times New Roman"/>
          <w:sz w:val="24"/>
          <w:szCs w:val="24"/>
        </w:rPr>
        <w:t xml:space="preserve">, nudeći imovinu koji posjeduju vlasnici kuća umjesto nekretnina u vlasništvu profesionalnih investitora. Unatoč ovoj razlici, </w:t>
      </w:r>
      <w:r w:rsidRPr="00BE5472">
        <w:rPr>
          <w:rFonts w:ascii="Times New Roman" w:hAnsi="Times New Roman" w:cs="Times New Roman"/>
          <w:i/>
          <w:iCs/>
          <w:sz w:val="24"/>
          <w:szCs w:val="24"/>
        </w:rPr>
        <w:t>AirBnB</w:t>
      </w:r>
      <w:r w:rsidRPr="00BE5472">
        <w:rPr>
          <w:rFonts w:ascii="Times New Roman" w:hAnsi="Times New Roman" w:cs="Times New Roman"/>
          <w:sz w:val="24"/>
          <w:szCs w:val="24"/>
        </w:rPr>
        <w:t xml:space="preserve"> i online turističke agencije poput </w:t>
      </w:r>
      <w:r w:rsidRPr="00BE5472">
        <w:rPr>
          <w:rFonts w:ascii="Times New Roman" w:hAnsi="Times New Roman" w:cs="Times New Roman"/>
          <w:i/>
          <w:iCs/>
          <w:sz w:val="24"/>
          <w:szCs w:val="24"/>
        </w:rPr>
        <w:t>Expedije</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Pricelin</w:t>
      </w:r>
      <w:r w:rsidR="009A1BEE" w:rsidRPr="00BE5472">
        <w:rPr>
          <w:rFonts w:ascii="Times New Roman" w:hAnsi="Times New Roman" w:cs="Times New Roman"/>
          <w:i/>
          <w:iCs/>
          <w:sz w:val="24"/>
          <w:szCs w:val="24"/>
        </w:rPr>
        <w:t>e</w:t>
      </w:r>
      <w:r w:rsidRPr="00BE5472">
        <w:rPr>
          <w:rFonts w:ascii="Times New Roman" w:hAnsi="Times New Roman" w:cs="Times New Roman"/>
          <w:i/>
          <w:iCs/>
          <w:sz w:val="24"/>
          <w:szCs w:val="24"/>
        </w:rPr>
        <w:t>a</w:t>
      </w:r>
      <w:r w:rsidRPr="00BE5472">
        <w:rPr>
          <w:rFonts w:ascii="Times New Roman" w:hAnsi="Times New Roman" w:cs="Times New Roman"/>
          <w:sz w:val="24"/>
          <w:szCs w:val="24"/>
        </w:rPr>
        <w:t xml:space="preserve"> djeluju kao digitalni distribucijski kanali koristeći napredne e-trgovinske prakse.</w:t>
      </w:r>
    </w:p>
    <w:p w14:paraId="7A9951A8" w14:textId="5023A8FC" w:rsidR="006E052A" w:rsidRPr="00BE5472" w:rsidRDefault="006E052A" w:rsidP="006E052A">
      <w:pPr>
        <w:spacing w:after="120" w:line="360" w:lineRule="auto"/>
        <w:jc w:val="both"/>
        <w:rPr>
          <w:rFonts w:ascii="Times New Roman" w:hAnsi="Times New Roman" w:cs="Times New Roman"/>
          <w:i/>
          <w:iCs/>
          <w:sz w:val="24"/>
          <w:szCs w:val="24"/>
        </w:rPr>
      </w:pPr>
      <w:r w:rsidRPr="00BE5472">
        <w:rPr>
          <w:rFonts w:ascii="Times New Roman" w:hAnsi="Times New Roman" w:cs="Times New Roman"/>
          <w:sz w:val="24"/>
          <w:szCs w:val="24"/>
        </w:rPr>
        <w:t xml:space="preserve">U 21. stoljeću, inženjerski napredci omogućili su izgradnju hotela poput </w:t>
      </w:r>
      <w:r w:rsidRPr="00BE5472">
        <w:rPr>
          <w:rFonts w:ascii="Times New Roman" w:hAnsi="Times New Roman" w:cs="Times New Roman"/>
          <w:i/>
          <w:iCs/>
          <w:sz w:val="24"/>
          <w:szCs w:val="24"/>
        </w:rPr>
        <w:t xml:space="preserve">Burj al Arab </w:t>
      </w:r>
      <w:r w:rsidRPr="00BE5472">
        <w:rPr>
          <w:rFonts w:ascii="Times New Roman" w:hAnsi="Times New Roman" w:cs="Times New Roman"/>
          <w:sz w:val="24"/>
          <w:szCs w:val="24"/>
        </w:rPr>
        <w:t xml:space="preserve">i </w:t>
      </w:r>
      <w:r w:rsidRPr="00BE5472">
        <w:rPr>
          <w:rFonts w:ascii="Times New Roman" w:hAnsi="Times New Roman" w:cs="Times New Roman"/>
          <w:i/>
          <w:iCs/>
          <w:sz w:val="24"/>
          <w:szCs w:val="24"/>
        </w:rPr>
        <w:t>Fairmont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Makkah</w:t>
      </w:r>
      <w:r w:rsidRPr="00BE5472">
        <w:rPr>
          <w:rFonts w:ascii="Times New Roman" w:hAnsi="Times New Roman" w:cs="Times New Roman"/>
          <w:sz w:val="24"/>
          <w:szCs w:val="24"/>
        </w:rPr>
        <w:t xml:space="preserve">. Razvoj i ekspanzija tehnologije dovodi do implementacije rezervacijskih sustava u ugostiteljska poduzeća, a do prave revolucije je došlo i u operativnoj praksi. 21. stoljeće puno je novih izazova i novih prilika za ugostiteljstvo koje postaje globalno. Sve je značajniji rast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rezervacijskih platformi, društvenih mreža i stranica za recenziju. Navedeno je snažno oblikovalo način komunikacije ugostiteljskih objekata s klijentima/gostima. Tehnologija je na mnoge načine izmijenila okruženje hotelskih poduzeća</w:t>
      </w:r>
      <w:r w:rsidR="009A1BEE" w:rsidRPr="00BE5472">
        <w:rPr>
          <w:rFonts w:ascii="Times New Roman" w:hAnsi="Times New Roman" w:cs="Times New Roman"/>
          <w:sz w:val="24"/>
          <w:szCs w:val="24"/>
        </w:rPr>
        <w:t xml:space="preserve"> i</w:t>
      </w:r>
      <w:r w:rsidRPr="00BE5472">
        <w:rPr>
          <w:rFonts w:ascii="Times New Roman" w:hAnsi="Times New Roman" w:cs="Times New Roman"/>
          <w:sz w:val="24"/>
          <w:szCs w:val="24"/>
        </w:rPr>
        <w:t xml:space="preserve"> za goste i za zaposlenike hotelskih poduzeća. Mobilne aplikacije postaju nezaobilazne. One gostima omogućuju da preko njih rezerviraju sobu, da se prijave u hotel pa i da otključaju vrata svoje hotelske sobe koristeći</w:t>
      </w:r>
      <w:r w:rsidR="009A1BEE" w:rsidRPr="00BE5472">
        <w:rPr>
          <w:rFonts w:ascii="Times New Roman" w:hAnsi="Times New Roman" w:cs="Times New Roman"/>
          <w:sz w:val="24"/>
          <w:szCs w:val="24"/>
        </w:rPr>
        <w:t xml:space="preserve"> se</w:t>
      </w:r>
      <w:r w:rsidRPr="00BE5472">
        <w:rPr>
          <w:rFonts w:ascii="Times New Roman" w:hAnsi="Times New Roman" w:cs="Times New Roman"/>
          <w:sz w:val="24"/>
          <w:szCs w:val="24"/>
        </w:rPr>
        <w:t xml:space="preserve"> mobilni</w:t>
      </w:r>
      <w:r w:rsidR="009A1BEE" w:rsidRPr="00BE5472">
        <w:rPr>
          <w:rFonts w:ascii="Times New Roman" w:hAnsi="Times New Roman" w:cs="Times New Roman"/>
          <w:sz w:val="24"/>
          <w:szCs w:val="24"/>
        </w:rPr>
        <w:t>m</w:t>
      </w:r>
      <w:r w:rsidRPr="00BE5472">
        <w:rPr>
          <w:rFonts w:ascii="Times New Roman" w:hAnsi="Times New Roman" w:cs="Times New Roman"/>
          <w:sz w:val="24"/>
          <w:szCs w:val="24"/>
        </w:rPr>
        <w:t xml:space="preserve"> uređaj</w:t>
      </w:r>
      <w:r w:rsidR="009A1BEE" w:rsidRPr="00BE5472">
        <w:rPr>
          <w:rFonts w:ascii="Times New Roman" w:hAnsi="Times New Roman" w:cs="Times New Roman"/>
          <w:sz w:val="24"/>
          <w:szCs w:val="24"/>
        </w:rPr>
        <w:t>ima</w:t>
      </w:r>
      <w:r w:rsidRPr="00BE5472">
        <w:rPr>
          <w:rFonts w:ascii="Times New Roman" w:hAnsi="Times New Roman" w:cs="Times New Roman"/>
          <w:sz w:val="24"/>
          <w:szCs w:val="24"/>
        </w:rPr>
        <w:t xml:space="preserve">. Brojni su hoteli prigrlili tehnologiju „pametnih soba“ pa su se automatizirale brojne funkcije poput </w:t>
      </w:r>
      <w:r w:rsidRPr="00BE5472">
        <w:rPr>
          <w:rFonts w:ascii="Times New Roman" w:hAnsi="Times New Roman" w:cs="Times New Roman"/>
          <w:sz w:val="24"/>
          <w:szCs w:val="24"/>
        </w:rPr>
        <w:lastRenderedPageBreak/>
        <w:t xml:space="preserve">regulacije temperature i svjetlosti u sobi, kontrole zabavnih sustava koji se prilagođavaju potrebama i željama gostiju i sl. (Jadhav 2023). Istovremeno, umjetna inteligencija postala je popularna u hotelijerstvu, a lanci poput </w:t>
      </w:r>
      <w:r w:rsidRPr="00BE5472">
        <w:rPr>
          <w:rFonts w:ascii="Times New Roman" w:hAnsi="Times New Roman" w:cs="Times New Roman"/>
          <w:i/>
          <w:iCs/>
          <w:sz w:val="24"/>
          <w:szCs w:val="24"/>
        </w:rPr>
        <w:t>Hiltona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Radissona</w:t>
      </w:r>
      <w:r w:rsidRPr="00BE5472">
        <w:rPr>
          <w:rFonts w:ascii="Times New Roman" w:hAnsi="Times New Roman" w:cs="Times New Roman"/>
          <w:sz w:val="24"/>
          <w:szCs w:val="24"/>
        </w:rPr>
        <w:t xml:space="preserve"> </w:t>
      </w:r>
      <w:r w:rsidR="009A1BEE" w:rsidRPr="00BE5472">
        <w:rPr>
          <w:rFonts w:ascii="Times New Roman" w:hAnsi="Times New Roman" w:cs="Times New Roman"/>
          <w:sz w:val="24"/>
          <w:szCs w:val="24"/>
        </w:rPr>
        <w:t xml:space="preserve"> već </w:t>
      </w:r>
      <w:r w:rsidRPr="00BE5472">
        <w:rPr>
          <w:rFonts w:ascii="Times New Roman" w:hAnsi="Times New Roman" w:cs="Times New Roman"/>
          <w:sz w:val="24"/>
          <w:szCs w:val="24"/>
        </w:rPr>
        <w:t xml:space="preserve">su implementirali i robote u </w:t>
      </w:r>
      <w:r w:rsidR="00E55243">
        <w:rPr>
          <w:rFonts w:ascii="Times New Roman" w:hAnsi="Times New Roman" w:cs="Times New Roman"/>
          <w:sz w:val="24"/>
          <w:szCs w:val="24"/>
        </w:rPr>
        <w:t>pojedine operativne procese</w:t>
      </w:r>
      <w:r w:rsidR="00063570">
        <w:rPr>
          <w:rFonts w:ascii="Times New Roman" w:hAnsi="Times New Roman" w:cs="Times New Roman"/>
          <w:sz w:val="24"/>
          <w:szCs w:val="24"/>
        </w:rPr>
        <w:t xml:space="preserve"> hotela</w:t>
      </w:r>
      <w:r w:rsidR="00E55243">
        <w:rPr>
          <w:rFonts w:ascii="Times New Roman" w:hAnsi="Times New Roman" w:cs="Times New Roman"/>
          <w:sz w:val="24"/>
          <w:szCs w:val="24"/>
        </w:rPr>
        <w:t>.</w:t>
      </w:r>
    </w:p>
    <w:p w14:paraId="66DE8ED8" w14:textId="612B38B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Održivi razvoj i društveno-odgovorno poslovanje postaju uobičajena (eng. </w:t>
      </w:r>
      <w:r w:rsidRPr="00BE5472">
        <w:rPr>
          <w:rFonts w:ascii="Times New Roman" w:hAnsi="Times New Roman" w:cs="Times New Roman"/>
          <w:i/>
          <w:sz w:val="24"/>
          <w:szCs w:val="24"/>
        </w:rPr>
        <w:t>business as usual</w:t>
      </w:r>
      <w:r w:rsidRPr="00BE5472">
        <w:rPr>
          <w:rFonts w:ascii="Times New Roman" w:hAnsi="Times New Roman" w:cs="Times New Roman"/>
          <w:sz w:val="24"/>
          <w:szCs w:val="24"/>
        </w:rPr>
        <w:t>) praksa ugostiteljskih poduzeća koja se prilagođavaju trendovima i očekivanjima klijenata/gostiju. U 21. stoljeću dolazi do transformacije koncepta putovanja i usluge i razvoja ekonomije doživljaja s kojom dolazi i pružanje iskustvenog proizvoda</w:t>
      </w:r>
      <w:r w:rsidR="009A1BEE" w:rsidRPr="00BE5472">
        <w:rPr>
          <w:rFonts w:ascii="Times New Roman" w:hAnsi="Times New Roman" w:cs="Times New Roman"/>
          <w:sz w:val="24"/>
          <w:szCs w:val="24"/>
        </w:rPr>
        <w:t>,</w:t>
      </w:r>
      <w:r w:rsidRPr="00BE5472">
        <w:rPr>
          <w:rFonts w:ascii="Times New Roman" w:hAnsi="Times New Roman" w:cs="Times New Roman"/>
          <w:sz w:val="24"/>
          <w:szCs w:val="24"/>
        </w:rPr>
        <w:t xml:space="preserve"> odnosno doživljaja u ugostiteljskim objektima. No, nije sve to bez izazova. Ugostiteljstvo i hotelijerstvo se istovremeno suočavaju s brojnim izazovima od kojih se nedostatak radne snage može navesti kao jedan od ozbiljnijih. Promjene očekivanja i preferencija gostiju još je jedan značajniji izazov kojim valja upravljati. </w:t>
      </w:r>
      <w:r w:rsidR="009A1BEE" w:rsidRPr="00BE5472">
        <w:rPr>
          <w:rFonts w:ascii="Times New Roman" w:hAnsi="Times New Roman" w:cs="Times New Roman"/>
          <w:sz w:val="24"/>
          <w:szCs w:val="24"/>
        </w:rPr>
        <w:t>Ključne vještine menadžmenta bit će m</w:t>
      </w:r>
      <w:r w:rsidRPr="00BE5472">
        <w:rPr>
          <w:rFonts w:ascii="Times New Roman" w:hAnsi="Times New Roman" w:cs="Times New Roman"/>
          <w:sz w:val="24"/>
          <w:szCs w:val="24"/>
        </w:rPr>
        <w:t>eđukulturna komunikacija i razumijevanje u hotelskim objektima globalnog karaktera u budućnosti.</w:t>
      </w:r>
    </w:p>
    <w:p w14:paraId="5FEE6940" w14:textId="44B34EED" w:rsidR="00BD7FBE" w:rsidRPr="00BE5472" w:rsidRDefault="006E052A" w:rsidP="006E052A">
      <w:pPr>
        <w:spacing w:after="120" w:line="360" w:lineRule="auto"/>
        <w:jc w:val="both"/>
        <w:rPr>
          <w:rFonts w:ascii="Times New Roman" w:hAnsi="Times New Roman" w:cs="Times New Roman"/>
          <w:sz w:val="24"/>
          <w:szCs w:val="24"/>
        </w:rPr>
        <w:sectPr w:rsidR="00BD7FBE" w:rsidRPr="00BE5472" w:rsidSect="0002440B">
          <w:pgSz w:w="12240" w:h="15840"/>
          <w:pgMar w:top="1440" w:right="1440" w:bottom="1440" w:left="1440" w:header="708" w:footer="708" w:gutter="0"/>
          <w:cols w:space="708"/>
          <w:docGrid w:linePitch="360"/>
        </w:sectPr>
      </w:pPr>
      <w:r w:rsidRPr="00BE5472">
        <w:rPr>
          <w:rFonts w:ascii="Times New Roman" w:hAnsi="Times New Roman" w:cs="Times New Roman"/>
          <w:sz w:val="24"/>
          <w:szCs w:val="24"/>
        </w:rPr>
        <w:t xml:space="preserve">Razvoj hotelijerstva kroz vrijeme, od nastanka prvih hotela do suvremenog koncepta hotela 21. st. ilustriran je na Prikazu </w:t>
      </w:r>
      <w:r w:rsidR="002D1797" w:rsidRPr="00BE5472">
        <w:rPr>
          <w:rFonts w:ascii="Times New Roman" w:hAnsi="Times New Roman" w:cs="Times New Roman"/>
          <w:sz w:val="24"/>
          <w:szCs w:val="24"/>
        </w:rPr>
        <w:t>1</w:t>
      </w:r>
      <w:r w:rsidRPr="00BE5472">
        <w:rPr>
          <w:rFonts w:ascii="Times New Roman" w:hAnsi="Times New Roman" w:cs="Times New Roman"/>
          <w:sz w:val="24"/>
          <w:szCs w:val="24"/>
        </w:rPr>
        <w:t>.</w:t>
      </w:r>
    </w:p>
    <w:p w14:paraId="456AE4CD" w14:textId="6A0AFC8C" w:rsidR="006E052A" w:rsidRPr="00C87D90" w:rsidRDefault="00C87D90" w:rsidP="00C87D90">
      <w:pPr>
        <w:pStyle w:val="Caption"/>
        <w:rPr>
          <w:rFonts w:ascii="Times New Roman" w:hAnsi="Times New Roman" w:cs="Times New Roman"/>
          <w:sz w:val="24"/>
          <w:szCs w:val="24"/>
        </w:rPr>
      </w:pPr>
      <w:bookmarkStart w:id="37" w:name="_Toc241865269"/>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1</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Povijesni razvoj hotelijerstva: od Antike do Suvremenog doba</w:t>
      </w:r>
      <w:bookmarkEnd w:id="37"/>
      <w:r w:rsidR="006E052A" w:rsidRPr="00C87D90">
        <w:rPr>
          <w:rFonts w:ascii="Times New Roman" w:hAnsi="Times New Roman" w:cs="Times New Roman"/>
          <w:sz w:val="24"/>
          <w:szCs w:val="24"/>
        </w:rPr>
        <w:t xml:space="preserve"> </w:t>
      </w:r>
    </w:p>
    <w:p w14:paraId="30D86471"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09B11EAA" wp14:editId="6AF20D76">
            <wp:extent cx="5486400" cy="3200400"/>
            <wp:effectExtent l="38100" t="0" r="38100" b="19050"/>
            <wp:docPr id="11" name="Dij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7891FFF7"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autor</w:t>
      </w:r>
    </w:p>
    <w:p w14:paraId="14159A6C"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Cerović (2010: 80) </w:t>
      </w:r>
      <w:r w:rsidRPr="00BE5472">
        <w:rPr>
          <w:rFonts w:ascii="Times New Roman" w:hAnsi="Times New Roman" w:cs="Times New Roman"/>
          <w:b/>
          <w:sz w:val="24"/>
          <w:szCs w:val="24"/>
        </w:rPr>
        <w:t>razvoj hotelijerstva kao gospodarske grane u Hrvatskoj</w:t>
      </w:r>
      <w:r w:rsidRPr="00BE5472">
        <w:rPr>
          <w:rFonts w:ascii="Times New Roman" w:hAnsi="Times New Roman" w:cs="Times New Roman"/>
          <w:sz w:val="24"/>
          <w:szCs w:val="24"/>
        </w:rPr>
        <w:t xml:space="preserve"> promatra kroz šest razdoblja: </w:t>
      </w:r>
    </w:p>
    <w:p w14:paraId="1BD1E619" w14:textId="2564AE73"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Prvobitno hotelijerstvo</w:t>
      </w:r>
      <w:r w:rsidRPr="00BE5472">
        <w:rPr>
          <w:rFonts w:ascii="Times New Roman" w:hAnsi="Times New Roman" w:cs="Times New Roman"/>
          <w:sz w:val="24"/>
          <w:szCs w:val="24"/>
        </w:rPr>
        <w:t xml:space="preserve"> kojeg obilježavaju prva masovna putovanja na hrvatskom prostoru (1844. – 1884.). Prvi registrirani hotel na našim prostorima</w:t>
      </w:r>
      <w:r w:rsidR="00773333"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w:t>
      </w:r>
      <w:r w:rsidR="00773333"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svratiše </w:t>
      </w:r>
      <w:r w:rsidR="006D582F" w:rsidRPr="00BE5472">
        <w:rPr>
          <w:rFonts w:ascii="Times New Roman" w:hAnsi="Times New Roman" w:cs="Times New Roman"/>
          <w:sz w:val="24"/>
          <w:szCs w:val="24"/>
        </w:rPr>
        <w:t xml:space="preserve">Antuna </w:t>
      </w:r>
      <w:r w:rsidRPr="00BE5472">
        <w:rPr>
          <w:rFonts w:ascii="Times New Roman" w:hAnsi="Times New Roman" w:cs="Times New Roman"/>
          <w:sz w:val="24"/>
          <w:szCs w:val="24"/>
        </w:rPr>
        <w:t xml:space="preserve">Tocilja na Hvaru (1848.), te gostionica sa sobama u Dubrovniku (1854.). </w:t>
      </w:r>
      <w:r w:rsidRPr="00BE5472">
        <w:rPr>
          <w:rFonts w:ascii="Times New Roman" w:hAnsi="Times New Roman" w:cs="Times New Roman"/>
          <w:i/>
          <w:iCs/>
          <w:sz w:val="24"/>
          <w:szCs w:val="24"/>
        </w:rPr>
        <w:t>Društvo južnih željeznica</w:t>
      </w:r>
      <w:r w:rsidRPr="00BE5472">
        <w:rPr>
          <w:rFonts w:ascii="Times New Roman" w:hAnsi="Times New Roman" w:cs="Times New Roman"/>
          <w:sz w:val="24"/>
          <w:szCs w:val="24"/>
        </w:rPr>
        <w:t xml:space="preserve"> kupuje </w:t>
      </w:r>
      <w:r w:rsidRPr="00BE5472">
        <w:rPr>
          <w:rFonts w:ascii="Times New Roman" w:hAnsi="Times New Roman" w:cs="Times New Roman"/>
          <w:i/>
          <w:iCs/>
          <w:sz w:val="24"/>
          <w:szCs w:val="24"/>
        </w:rPr>
        <w:t>Vilu Angiolinu</w:t>
      </w:r>
      <w:r w:rsidRPr="00BE5472">
        <w:rPr>
          <w:rFonts w:ascii="Times New Roman" w:hAnsi="Times New Roman" w:cs="Times New Roman"/>
          <w:sz w:val="24"/>
          <w:szCs w:val="24"/>
        </w:rPr>
        <w:t xml:space="preserve"> (1882.) te je pretvara u hotel, nastojeći od Opatije stvoriti morsko kupalište- lječilište. Godine 1868. se na Hvaru otvara hotel s 13 jednokrevetnih soba i restoranom (Vukonić 2005).</w:t>
      </w:r>
    </w:p>
    <w:p w14:paraId="5E74FDC9" w14:textId="12A052AB"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Elitno hotelijerstvo</w:t>
      </w:r>
      <w:r w:rsidRPr="00BE5472">
        <w:rPr>
          <w:rFonts w:ascii="Times New Roman" w:hAnsi="Times New Roman" w:cs="Times New Roman"/>
          <w:sz w:val="24"/>
          <w:szCs w:val="24"/>
        </w:rPr>
        <w:t xml:space="preserve"> koje nastaje s nastankom prvih hotela (1884. – 1914.). Godine 1884. sagrađen je hotel </w:t>
      </w:r>
      <w:r w:rsidRPr="00BE5472">
        <w:rPr>
          <w:rFonts w:ascii="Times New Roman" w:hAnsi="Times New Roman" w:cs="Times New Roman"/>
          <w:i/>
          <w:iCs/>
          <w:sz w:val="24"/>
          <w:szCs w:val="24"/>
        </w:rPr>
        <w:t>Kvarner</w:t>
      </w:r>
      <w:r w:rsidRPr="00BE5472">
        <w:rPr>
          <w:rFonts w:ascii="Times New Roman" w:hAnsi="Times New Roman" w:cs="Times New Roman"/>
          <w:sz w:val="24"/>
          <w:szCs w:val="24"/>
        </w:rPr>
        <w:t xml:space="preserve"> u Opatiji te se ta godina smatra svojevrsnim rođendanom hrvatskog hotelijerstva. Prvi hotel u Dalmaciji otvoren je 1890. godine i tada se zvao </w:t>
      </w:r>
      <w:r w:rsidR="00773333" w:rsidRPr="00BE5472">
        <w:rPr>
          <w:rFonts w:ascii="Times New Roman" w:hAnsi="Times New Roman" w:cs="Times New Roman"/>
          <w:i/>
          <w:iCs/>
          <w:sz w:val="24"/>
          <w:szCs w:val="24"/>
        </w:rPr>
        <w:t>h</w:t>
      </w:r>
      <w:r w:rsidRPr="00BE5472">
        <w:rPr>
          <w:rFonts w:ascii="Times New Roman" w:hAnsi="Times New Roman" w:cs="Times New Roman"/>
          <w:i/>
          <w:iCs/>
          <w:sz w:val="24"/>
          <w:szCs w:val="24"/>
        </w:rPr>
        <w:t>otel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Austrija</w:t>
      </w:r>
      <w:r w:rsidRPr="00BE5472">
        <w:rPr>
          <w:rFonts w:ascii="Times New Roman" w:hAnsi="Times New Roman" w:cs="Times New Roman"/>
          <w:sz w:val="24"/>
          <w:szCs w:val="24"/>
        </w:rPr>
        <w:t xml:space="preserve">. Sagrađen je u Metkoviću. Godine 1895. u Dubrovniku je izgrađen </w:t>
      </w:r>
      <w:r w:rsidR="00773333" w:rsidRPr="00BE5472">
        <w:rPr>
          <w:rFonts w:ascii="Times New Roman" w:hAnsi="Times New Roman" w:cs="Times New Roman"/>
          <w:i/>
          <w:iCs/>
          <w:sz w:val="24"/>
          <w:szCs w:val="24"/>
        </w:rPr>
        <w:t>h</w:t>
      </w:r>
      <w:r w:rsidRPr="00BE5472">
        <w:rPr>
          <w:rFonts w:ascii="Times New Roman" w:hAnsi="Times New Roman" w:cs="Times New Roman"/>
          <w:i/>
          <w:iCs/>
          <w:sz w:val="24"/>
          <w:szCs w:val="24"/>
        </w:rPr>
        <w:t>otel Imperial</w:t>
      </w:r>
      <w:r w:rsidRPr="00BE5472">
        <w:rPr>
          <w:rFonts w:ascii="Times New Roman" w:hAnsi="Times New Roman" w:cs="Times New Roman"/>
          <w:sz w:val="24"/>
          <w:szCs w:val="24"/>
        </w:rPr>
        <w:t>. U ovom razdoblju hoteli uvode suvremenu organizacijsku strukturu (recepcija, odjel hrane i pića, domaćinstvo) te se pojavljuju zanimanja poput recepcionara, hotelskog kuhara, sobarice i dr. (Bakan 2012).</w:t>
      </w:r>
    </w:p>
    <w:p w14:paraId="4938E468" w14:textId="77777777"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lastRenderedPageBreak/>
        <w:t>Hotelijerstvo između dva svjetska rata</w:t>
      </w:r>
      <w:r w:rsidRPr="00BE5472">
        <w:rPr>
          <w:rFonts w:ascii="Times New Roman" w:hAnsi="Times New Roman" w:cs="Times New Roman"/>
          <w:sz w:val="24"/>
          <w:szCs w:val="24"/>
        </w:rPr>
        <w:t xml:space="preserve"> (1918. – 1945.) kada se gradi mali broj hotela. U Zagrebu je hotel Esplanade otvoren 1925. godine.</w:t>
      </w:r>
    </w:p>
    <w:p w14:paraId="269F4233" w14:textId="35FCC5BF"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Hotelijerstvo nakon Drugog svjetskog rata</w:t>
      </w:r>
      <w:r w:rsidRPr="00BE5472">
        <w:rPr>
          <w:rFonts w:ascii="Times New Roman" w:hAnsi="Times New Roman" w:cs="Times New Roman"/>
          <w:sz w:val="24"/>
          <w:szCs w:val="24"/>
        </w:rPr>
        <w:t xml:space="preserve"> (1945. – 1966.) koje obilježava razdoblje obnove objekata i izgradnj</w:t>
      </w:r>
      <w:r w:rsidR="009F1DDA" w:rsidRPr="00BE5472">
        <w:rPr>
          <w:rFonts w:ascii="Times New Roman" w:hAnsi="Times New Roman" w:cs="Times New Roman"/>
          <w:sz w:val="24"/>
          <w:szCs w:val="24"/>
        </w:rPr>
        <w:t>a</w:t>
      </w:r>
      <w:r w:rsidRPr="00BE5472">
        <w:rPr>
          <w:rFonts w:ascii="Times New Roman" w:hAnsi="Times New Roman" w:cs="Times New Roman"/>
          <w:sz w:val="24"/>
          <w:szCs w:val="24"/>
        </w:rPr>
        <w:t xml:space="preserve"> odmarališta za radnike i djecu te započinju masovniji dolasci domaćih turista. Često se ovo razdoblje naziva razdobljem </w:t>
      </w:r>
      <w:r w:rsidRPr="00BE5472">
        <w:rPr>
          <w:rFonts w:ascii="Times New Roman" w:hAnsi="Times New Roman" w:cs="Times New Roman"/>
          <w:i/>
          <w:sz w:val="24"/>
          <w:szCs w:val="24"/>
        </w:rPr>
        <w:t>jeftinog odmora za radničku klasu</w:t>
      </w:r>
      <w:r w:rsidRPr="00BE5472">
        <w:rPr>
          <w:rFonts w:ascii="Times New Roman" w:hAnsi="Times New Roman" w:cs="Times New Roman"/>
          <w:sz w:val="24"/>
          <w:szCs w:val="24"/>
        </w:rPr>
        <w:t xml:space="preserve">. Sindikati, poduzeća i prosvjetna tijela grade odmarališta za svoje radnike. Organizacije poput Ferijalnog saveza, Crvenog križa, </w:t>
      </w:r>
      <w:r w:rsidR="00773333" w:rsidRPr="00BE5472">
        <w:rPr>
          <w:rFonts w:ascii="Times New Roman" w:hAnsi="Times New Roman" w:cs="Times New Roman"/>
          <w:sz w:val="24"/>
          <w:szCs w:val="24"/>
        </w:rPr>
        <w:t>p</w:t>
      </w:r>
      <w:r w:rsidRPr="00BE5472">
        <w:rPr>
          <w:rFonts w:ascii="Times New Roman" w:hAnsi="Times New Roman" w:cs="Times New Roman"/>
          <w:sz w:val="24"/>
          <w:szCs w:val="24"/>
        </w:rPr>
        <w:t xml:space="preserve">laninarskog društva i dr. organizirale su putovanja djece i mladih u odmarališta koja su bila izgrađena na riječkom, istarskom i splitskom području (Duda, 2005: 134). </w:t>
      </w:r>
    </w:p>
    <w:p w14:paraId="46BB5EE4" w14:textId="03C40930"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Razvijeno tržišno hotelijerstvo</w:t>
      </w:r>
      <w:r w:rsidRPr="00BE5472">
        <w:rPr>
          <w:rFonts w:ascii="Times New Roman" w:hAnsi="Times New Roman" w:cs="Times New Roman"/>
          <w:sz w:val="24"/>
          <w:szCs w:val="24"/>
        </w:rPr>
        <w:t xml:space="preserve"> (1966. – 1990.) kada se gradi duž cijele obale, a hoteli se označavaju B kategorijom, odnosno hoteli su to srednje klase. Broj smještajnih kapaciteta stalno raste posebice u 80-im godinama 20. st. Primjerice, 1987. godine je u Jugoslaviji bilo ukupno 448.791 ležajeva u privatnim sobama, 357.453 u kampovima, 351.438 u hotelima, motelima, turističkim naseljima i pansionima, 109.000 u radničkim odmaralištima, 61.347 u dječjim odmaralištima i 40. 835 u ostalom smještaju. Gotovo 65</w:t>
      </w:r>
      <w:r w:rsidR="00B215C3"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od navedenog kapaciteta odnosilo se na Socijalističku Republiku Hrvatsku, a Poreč je bio predvodnik po broju kreveta (Pepeonik 1988). Godine 1966. otvara se prvi hotel s pet zvjezdica (današnji </w:t>
      </w:r>
      <w:r w:rsidRPr="00BE5472">
        <w:rPr>
          <w:rFonts w:ascii="Times New Roman" w:hAnsi="Times New Roman" w:cs="Times New Roman"/>
          <w:i/>
          <w:iCs/>
          <w:sz w:val="24"/>
          <w:szCs w:val="24"/>
        </w:rPr>
        <w:t>Ambasador</w:t>
      </w:r>
      <w:r w:rsidRPr="00BE5472">
        <w:rPr>
          <w:rFonts w:ascii="Times New Roman" w:hAnsi="Times New Roman" w:cs="Times New Roman"/>
          <w:sz w:val="24"/>
          <w:szCs w:val="24"/>
        </w:rPr>
        <w:t xml:space="preserve"> u Opatiji).</w:t>
      </w:r>
      <w:r w:rsidRPr="00BE5472">
        <w:rPr>
          <w:rFonts w:ascii="Times New Roman" w:hAnsi="Times New Roman" w:cs="Times New Roman"/>
        </w:rPr>
        <w:t xml:space="preserve"> </w:t>
      </w:r>
      <w:r w:rsidRPr="00BE5472">
        <w:rPr>
          <w:rFonts w:ascii="Times New Roman" w:hAnsi="Times New Roman" w:cs="Times New Roman"/>
          <w:sz w:val="24"/>
          <w:szCs w:val="24"/>
        </w:rPr>
        <w:t>Hotel je imao 450 ležaja smješteno u trideset šest apartmana, 144 dvokrevetnih i 27 jednokrevetnih soba (</w:t>
      </w:r>
      <w:r w:rsidRPr="00BE5472">
        <w:rPr>
          <w:rFonts w:ascii="Times New Roman" w:hAnsi="Times New Roman" w:cs="Times New Roman"/>
          <w:i/>
          <w:iCs/>
          <w:sz w:val="24"/>
          <w:szCs w:val="24"/>
        </w:rPr>
        <w:t xml:space="preserve">Yugopapir </w:t>
      </w:r>
      <w:r w:rsidRPr="00BE5472">
        <w:rPr>
          <w:rFonts w:ascii="Times New Roman" w:hAnsi="Times New Roman" w:cs="Times New Roman"/>
          <w:sz w:val="24"/>
          <w:szCs w:val="24"/>
        </w:rPr>
        <w:t xml:space="preserve">2023). Pirjavec (1998: 55) prepoznaje mnogo problema u turizmu i hotelijerstvu ovog doba: strelovit rast smještajnih kapaciteta posebice komercijalnog smještaja, neodgovarajuća usluga u receptivnim kapacitetima, nedostatak promocije na turističkom tržištu, manjkava i skupa ponuda na štetu gosta, problemi u deviznom poslovanju i kreiranje imidža jeftine turističke destinacije. Smještaj je uglavnom bio nediferenciran i sve je bilo prilagođeno masovnom turizmu. Zbog niske kvalitete cjelokupne usluge, ali i rata, hotelska industriju u trenutku osamostaljenja Hrvatske, gubi konkurentsku poziciju (Škuflić i Mlinarić 2015: 478). </w:t>
      </w:r>
    </w:p>
    <w:p w14:paraId="1D342BCB" w14:textId="242ED000" w:rsidR="006E052A" w:rsidRPr="00BE5472" w:rsidRDefault="006E052A" w:rsidP="006E052A">
      <w:pPr>
        <w:numPr>
          <w:ilvl w:val="0"/>
          <w:numId w:val="1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Hrvatsko hotelijerstvo u restrukturiranju</w:t>
      </w:r>
      <w:r w:rsidRPr="00BE5472">
        <w:rPr>
          <w:rFonts w:ascii="Times New Roman" w:hAnsi="Times New Roman" w:cs="Times New Roman"/>
          <w:sz w:val="24"/>
          <w:szCs w:val="24"/>
        </w:rPr>
        <w:t xml:space="preserve"> koje karakterizira rekonstrukcija, adaptacija i sanacija objekata (od 1990. nadalje). Ovo razdoblje dominantno su obilježile tranzicijske promjene, a Čizmar (2007: 153) izdvaja i sljedeće probleme (uz pronalazak rješenja prelaska sa strategije niskog troška k strategiji visoke vrijednosti): makroekonomski problemi povezani s prilagođavanjem gospodarstva novim tržišnim uvjetima, nedostatna </w:t>
      </w:r>
      <w:r w:rsidRPr="00BE5472">
        <w:rPr>
          <w:rFonts w:ascii="Times New Roman" w:hAnsi="Times New Roman" w:cs="Times New Roman"/>
          <w:sz w:val="24"/>
          <w:szCs w:val="24"/>
        </w:rPr>
        <w:lastRenderedPageBreak/>
        <w:t>potražnja i dotrajali proizvod koji nije bio usklađen s potrebama tadašnjih potrošača, privatizacija hotelskog sektora</w:t>
      </w:r>
      <w:r w:rsidR="00B215C3" w:rsidRPr="00BE5472">
        <w:rPr>
          <w:rFonts w:ascii="Times New Roman" w:hAnsi="Times New Roman" w:cs="Times New Roman"/>
          <w:sz w:val="24"/>
          <w:szCs w:val="24"/>
        </w:rPr>
        <w:t>,</w:t>
      </w:r>
      <w:r w:rsidRPr="00BE5472">
        <w:rPr>
          <w:rFonts w:ascii="Times New Roman" w:hAnsi="Times New Roman" w:cs="Times New Roman"/>
          <w:sz w:val="24"/>
          <w:szCs w:val="24"/>
        </w:rPr>
        <w:t xml:space="preserve"> pri čemu se evidentira ulazak novih vlasnika bez iskustva, problemi s usvajanjem nove kulture menadžmenta, neadekvatna prilagodba radne snage novim zahtjevima turističke potražnje</w:t>
      </w:r>
      <w:r w:rsidR="00B215C3" w:rsidRPr="00BE5472">
        <w:rPr>
          <w:rFonts w:ascii="Times New Roman" w:hAnsi="Times New Roman" w:cs="Times New Roman"/>
          <w:sz w:val="24"/>
          <w:szCs w:val="24"/>
        </w:rPr>
        <w:t>,</w:t>
      </w:r>
      <w:r w:rsidRPr="00BE5472">
        <w:rPr>
          <w:rFonts w:ascii="Times New Roman" w:hAnsi="Times New Roman" w:cs="Times New Roman"/>
          <w:sz w:val="24"/>
          <w:szCs w:val="24"/>
        </w:rPr>
        <w:t xml:space="preserve"> posebno gledajući na kvalitetu pružanja usluge. Čizmar (2007: 161) je pojasnila i konkurentski kontekst hrvatskog hotelijerstva u 2006. godini iz okvira kojega se izdvajaju sljedeće karakteristike hotelskog sektora tog doba: relativno mala zastupljenost hotela više/visoke kategorije, nedostatak hotelskih marki, dominantna orijentacija na odmorišni proizvod sezonskog tipa, izrazita ovisnost o ugovorima o alotmanu i grupnom biznisu, nedovoljna ulaganja u inovativne proizvode, nedovršena privatizacija hotelijerstva, potreba stvaranja konkurentskog institucionalnog okvira, potreba uspostave sustava poticaja za razvoj sektora i potreba rješavanja problema s turističkim zemljištem, nedostatak jasnog imidža i tržišnog pozicioniranja, nedovoljna segmentacija tržišta i nedovoljan fokus na preferencije potrošača, nepostojanje cjelovitog lanca vrijednosti u turizmu te nedovoljna upravljačka znanja i operativne vještine menadžera u hotelijerstvu. Nedovršena privatizacija hotelskog sektora velik je problem koji godinama zaustavlja otvaranje novih prilika razvoja turističkog proizvoda. Ovo se može potvrditi navodima iz Strategije razvoja turizma do 2020. godine u kojoj stoji (Vlada Republike Hrvatske 2013: 24): „Trajno i/ili privremeno zadržavanje jednog dijela turističko-ugostiteljskih poduzeća u državnom vlasništvu, u uvjetima tvrdog proračunskog ograničenja, rezultiralo je ne samo trajnim odsustvom značajnijih kapitalnih ulaganja u podizanje konkurentnosti objekata turističke ponude i obrazovanje zaposlenih, već i birokratskim načinom dnevno-operativnog vođenja poslovanja. U većini takvih poduzeća stoga je došlo do zastarijevanja proizvoda i postupnog gubitka konkurentske pozicije, a u uvjetima polaganog tržišnog odumiranja konstantno je rasla i zaduženost.“</w:t>
      </w:r>
    </w:p>
    <w:p w14:paraId="162AC652" w14:textId="77777777" w:rsidR="003D13C0" w:rsidRPr="00BE5472" w:rsidRDefault="003D13C0" w:rsidP="003D13C0">
      <w:pPr>
        <w:spacing w:after="120" w:line="360" w:lineRule="auto"/>
        <w:ind w:left="720"/>
        <w:contextualSpacing/>
        <w:jc w:val="both"/>
        <w:rPr>
          <w:rFonts w:ascii="Times New Roman" w:hAnsi="Times New Roman" w:cs="Times New Roman"/>
          <w:sz w:val="24"/>
          <w:szCs w:val="24"/>
        </w:rPr>
      </w:pPr>
    </w:p>
    <w:p w14:paraId="00610738" w14:textId="77777777" w:rsidR="0048684D" w:rsidRPr="00BE5472" w:rsidRDefault="0048684D" w:rsidP="003D13C0">
      <w:pPr>
        <w:spacing w:after="120" w:line="360" w:lineRule="auto"/>
        <w:ind w:left="720"/>
        <w:contextualSpacing/>
        <w:jc w:val="both"/>
        <w:rPr>
          <w:rFonts w:ascii="Times New Roman" w:hAnsi="Times New Roman" w:cs="Times New Roman"/>
          <w:sz w:val="24"/>
          <w:szCs w:val="24"/>
        </w:rPr>
      </w:pPr>
    </w:p>
    <w:p w14:paraId="3CA44C6D" w14:textId="77777777" w:rsidR="0048684D" w:rsidRPr="00BE5472" w:rsidRDefault="0048684D" w:rsidP="003D13C0">
      <w:pPr>
        <w:spacing w:after="120" w:line="360" w:lineRule="auto"/>
        <w:ind w:left="720"/>
        <w:contextualSpacing/>
        <w:jc w:val="both"/>
        <w:rPr>
          <w:rFonts w:ascii="Times New Roman" w:hAnsi="Times New Roman" w:cs="Times New Roman"/>
          <w:sz w:val="24"/>
          <w:szCs w:val="24"/>
        </w:rPr>
      </w:pPr>
    </w:p>
    <w:p w14:paraId="468B94FA" w14:textId="77777777" w:rsidR="0048684D" w:rsidRPr="00BE5472" w:rsidRDefault="0048684D" w:rsidP="003D13C0">
      <w:pPr>
        <w:spacing w:after="120" w:line="360" w:lineRule="auto"/>
        <w:ind w:left="720"/>
        <w:contextualSpacing/>
        <w:jc w:val="both"/>
        <w:rPr>
          <w:rFonts w:ascii="Times New Roman" w:hAnsi="Times New Roman" w:cs="Times New Roman"/>
          <w:sz w:val="24"/>
          <w:szCs w:val="24"/>
        </w:rPr>
      </w:pPr>
    </w:p>
    <w:p w14:paraId="7A3C64E3" w14:textId="77777777" w:rsidR="00183EA1" w:rsidRDefault="00183EA1" w:rsidP="0048684D">
      <w:pPr>
        <w:pStyle w:val="Heading2"/>
        <w:rPr>
          <w:rFonts w:ascii="Times New Roman" w:hAnsi="Times New Roman" w:cs="Times New Roman"/>
        </w:rPr>
        <w:sectPr w:rsidR="00183EA1" w:rsidSect="00D03C2F">
          <w:pgSz w:w="12240" w:h="15840"/>
          <w:pgMar w:top="1440" w:right="1440" w:bottom="1440" w:left="1440" w:header="708" w:footer="708" w:gutter="0"/>
          <w:cols w:space="708"/>
          <w:docGrid w:linePitch="360"/>
        </w:sectPr>
      </w:pPr>
      <w:bookmarkStart w:id="38" w:name="_Toc210381407"/>
    </w:p>
    <w:p w14:paraId="10318BF5" w14:textId="7906BE0A" w:rsidR="00BC3443" w:rsidRPr="00BE5472" w:rsidRDefault="006E052A" w:rsidP="0048684D">
      <w:pPr>
        <w:pStyle w:val="Heading2"/>
        <w:rPr>
          <w:rFonts w:ascii="Times New Roman" w:hAnsi="Times New Roman" w:cs="Times New Roman"/>
        </w:rPr>
      </w:pPr>
      <w:bookmarkStart w:id="39" w:name="_Toc241865131"/>
      <w:r w:rsidRPr="00BE5472">
        <w:rPr>
          <w:rFonts w:ascii="Times New Roman" w:hAnsi="Times New Roman" w:cs="Times New Roman"/>
        </w:rPr>
        <w:lastRenderedPageBreak/>
        <w:t>2.2. H</w:t>
      </w:r>
      <w:r w:rsidR="0048684D" w:rsidRPr="00BE5472">
        <w:rPr>
          <w:rFonts w:ascii="Times New Roman" w:hAnsi="Times New Roman" w:cs="Times New Roman"/>
        </w:rPr>
        <w:t>otelska industrija u svijetu</w:t>
      </w:r>
      <w:bookmarkEnd w:id="38"/>
      <w:bookmarkEnd w:id="39"/>
    </w:p>
    <w:p w14:paraId="5A774212" w14:textId="77777777" w:rsidR="0048684D" w:rsidRPr="00BE5472" w:rsidRDefault="0048684D" w:rsidP="0048684D">
      <w:pPr>
        <w:rPr>
          <w:rFonts w:ascii="Times New Roman" w:hAnsi="Times New Roman" w:cs="Times New Roman"/>
        </w:rPr>
      </w:pPr>
    </w:p>
    <w:p w14:paraId="69FF807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Danas se na globalnoj i konkurentnoj hotelskoj sceni može izdvojiti nekoliko prepoznatljivih hotelskih lanaca. </w:t>
      </w:r>
    </w:p>
    <w:p w14:paraId="09F15BFC" w14:textId="32EE4DD1"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i/>
          <w:iCs/>
          <w:sz w:val="24"/>
          <w:szCs w:val="24"/>
        </w:rPr>
        <w:t>Marriott International</w:t>
      </w:r>
      <w:r w:rsidRPr="00BE5472">
        <w:rPr>
          <w:rFonts w:ascii="Times New Roman" w:hAnsi="Times New Roman" w:cs="Times New Roman"/>
          <w:sz w:val="24"/>
          <w:szCs w:val="24"/>
        </w:rPr>
        <w:t xml:space="preserve"> je jedan od najvećih i najpoznatijih hotelskih lanaca na svijetu. S preko 8.600 objekata i 250 tisuća soba u više od 130 zemalja </w:t>
      </w:r>
      <w:bookmarkStart w:id="40" w:name="_Hlk172479463"/>
      <w:r w:rsidRPr="00BE5472">
        <w:rPr>
          <w:rFonts w:ascii="Times New Roman" w:hAnsi="Times New Roman" w:cs="Times New Roman"/>
          <w:sz w:val="24"/>
          <w:szCs w:val="24"/>
        </w:rPr>
        <w:t xml:space="preserve">(Cloudbeds bez dat.) te s preko 31 markom, </w:t>
      </w:r>
      <w:bookmarkEnd w:id="40"/>
      <w:r w:rsidRPr="00BE5472">
        <w:rPr>
          <w:rFonts w:ascii="Times New Roman" w:hAnsi="Times New Roman" w:cs="Times New Roman"/>
          <w:i/>
          <w:iCs/>
          <w:sz w:val="24"/>
          <w:szCs w:val="24"/>
        </w:rPr>
        <w:t>Marriott</w:t>
      </w:r>
      <w:r w:rsidRPr="00BE5472">
        <w:rPr>
          <w:rFonts w:ascii="Times New Roman" w:hAnsi="Times New Roman" w:cs="Times New Roman"/>
          <w:sz w:val="24"/>
          <w:szCs w:val="24"/>
        </w:rPr>
        <w:t xml:space="preserve"> nudi širok spektar marki, uključujući luksuzne kao što su </w:t>
      </w:r>
      <w:r w:rsidRPr="00BE5472">
        <w:rPr>
          <w:rFonts w:ascii="Times New Roman" w:hAnsi="Times New Roman" w:cs="Times New Roman"/>
          <w:i/>
          <w:iCs/>
          <w:sz w:val="24"/>
          <w:szCs w:val="24"/>
        </w:rPr>
        <w:t>Ritz-Carlton</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St. Regis</w:t>
      </w:r>
      <w:r w:rsidRPr="00BE5472">
        <w:rPr>
          <w:rFonts w:ascii="Times New Roman" w:hAnsi="Times New Roman" w:cs="Times New Roman"/>
          <w:sz w:val="24"/>
          <w:szCs w:val="24"/>
        </w:rPr>
        <w:t xml:space="preserve">, kao i pristupačnije poput </w:t>
      </w:r>
      <w:r w:rsidRPr="00BE5472">
        <w:rPr>
          <w:rFonts w:ascii="Times New Roman" w:hAnsi="Times New Roman" w:cs="Times New Roman"/>
          <w:i/>
          <w:iCs/>
          <w:sz w:val="24"/>
          <w:szCs w:val="24"/>
        </w:rPr>
        <w:t>Courtyard</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Fairfield</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Inn</w:t>
      </w:r>
      <w:r w:rsidRPr="00BE5472">
        <w:rPr>
          <w:rFonts w:ascii="Times New Roman" w:hAnsi="Times New Roman" w:cs="Times New Roman"/>
          <w:sz w:val="24"/>
          <w:szCs w:val="24"/>
        </w:rPr>
        <w:t xml:space="preserve">. Njihova posvećenost kvaliteti usluge i inovacijama čini ih liderom u industriji. Pregled </w:t>
      </w:r>
      <w:r w:rsidRPr="00BE5472">
        <w:rPr>
          <w:rFonts w:ascii="Times New Roman" w:hAnsi="Times New Roman" w:cs="Times New Roman"/>
          <w:i/>
          <w:iCs/>
          <w:sz w:val="24"/>
          <w:szCs w:val="24"/>
        </w:rPr>
        <w:t>Marriotovih</w:t>
      </w:r>
      <w:r w:rsidRPr="00BE5472">
        <w:rPr>
          <w:rFonts w:ascii="Times New Roman" w:hAnsi="Times New Roman" w:cs="Times New Roman"/>
          <w:sz w:val="24"/>
          <w:szCs w:val="24"/>
        </w:rPr>
        <w:t xml:space="preserve"> marki dat je na Prikazu </w:t>
      </w:r>
      <w:r w:rsidR="00D72BB5" w:rsidRPr="00BE5472">
        <w:rPr>
          <w:rFonts w:ascii="Times New Roman" w:hAnsi="Times New Roman" w:cs="Times New Roman"/>
          <w:sz w:val="24"/>
          <w:szCs w:val="24"/>
        </w:rPr>
        <w:t>2</w:t>
      </w:r>
      <w:r w:rsidRPr="00BE5472">
        <w:rPr>
          <w:rFonts w:ascii="Times New Roman" w:hAnsi="Times New Roman" w:cs="Times New Roman"/>
          <w:sz w:val="24"/>
          <w:szCs w:val="24"/>
        </w:rPr>
        <w:t xml:space="preserve">. </w:t>
      </w:r>
    </w:p>
    <w:p w14:paraId="0B628FD7" w14:textId="289BD112" w:rsidR="006E052A" w:rsidRPr="00C87D90" w:rsidRDefault="00C87D90" w:rsidP="00C87D90">
      <w:pPr>
        <w:pStyle w:val="Caption"/>
        <w:rPr>
          <w:rFonts w:ascii="Times New Roman" w:hAnsi="Times New Roman" w:cs="Times New Roman"/>
          <w:sz w:val="24"/>
          <w:szCs w:val="24"/>
        </w:rPr>
      </w:pPr>
      <w:bookmarkStart w:id="41" w:name="_Toc241865270"/>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2</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Marriotove prepoznatljive marke</w:t>
      </w:r>
      <w:bookmarkEnd w:id="41"/>
    </w:p>
    <w:p w14:paraId="5F34F4E9"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62FB606D" wp14:editId="60AF197A">
            <wp:extent cx="5943600" cy="3441065"/>
            <wp:effectExtent l="76200" t="76200" r="133350" b="140335"/>
            <wp:docPr id="10" name="Slika 10" descr="C:\Users\Korisnik\AppData\Local\Packages\Microsoft.Windows.Photos_8wekyb3d8bbwe\TempState\ShareServiceTempFolder\MARRIOT BRENDOV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Packages\Microsoft.Windows.Photos_8wekyb3d8bbwe\TempState\ShareServiceTempFolder\MARRIOT BRENDOVI.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4410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DA46544"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Prilagodio autor prema: </w:t>
      </w:r>
      <w:r w:rsidRPr="00BE5472">
        <w:rPr>
          <w:rFonts w:ascii="Times New Roman" w:hAnsi="Times New Roman" w:cs="Times New Roman"/>
          <w:i/>
          <w:iCs/>
          <w:sz w:val="24"/>
          <w:szCs w:val="24"/>
        </w:rPr>
        <w:t>Databahn</w:t>
      </w:r>
      <w:r w:rsidRPr="00BE5472">
        <w:rPr>
          <w:rFonts w:ascii="Times New Roman" w:hAnsi="Times New Roman" w:cs="Times New Roman"/>
          <w:sz w:val="24"/>
          <w:szCs w:val="24"/>
        </w:rPr>
        <w:t xml:space="preserve"> (bez dat.).  </w:t>
      </w:r>
      <w:r w:rsidRPr="00BE5472">
        <w:rPr>
          <w:rFonts w:ascii="Times New Roman" w:hAnsi="Times New Roman" w:cs="Times New Roman"/>
          <w:i/>
          <w:iCs/>
          <w:sz w:val="24"/>
          <w:szCs w:val="24"/>
        </w:rPr>
        <w:t>Marriot Organizational Chart Report</w:t>
      </w:r>
      <w:r w:rsidRPr="00BE5472">
        <w:rPr>
          <w:rFonts w:ascii="Times New Roman" w:hAnsi="Times New Roman" w:cs="Times New Roman"/>
          <w:sz w:val="24"/>
          <w:szCs w:val="24"/>
        </w:rPr>
        <w:t xml:space="preserve"> 2024. Dostupno na:  </w:t>
      </w:r>
      <w:hyperlink r:id="rId25" w:history="1">
        <w:r w:rsidRPr="00BE5472">
          <w:rPr>
            <w:rFonts w:ascii="Times New Roman" w:hAnsi="Times New Roman" w:cs="Times New Roman"/>
            <w:color w:val="0563C1" w:themeColor="hyperlink"/>
            <w:sz w:val="24"/>
            <w:szCs w:val="24"/>
            <w:u w:val="single"/>
          </w:rPr>
          <w:t>https://www.databahn.com/pages/marriott-org-chart</w:t>
        </w:r>
      </w:hyperlink>
      <w:r w:rsidRPr="00BE5472">
        <w:rPr>
          <w:rFonts w:ascii="Times New Roman" w:hAnsi="Times New Roman" w:cs="Times New Roman"/>
          <w:sz w:val="24"/>
          <w:szCs w:val="24"/>
        </w:rPr>
        <w:t xml:space="preserve"> Pristupljeno: 4. kolovoza 2024. </w:t>
      </w:r>
    </w:p>
    <w:p w14:paraId="76CD9447" w14:textId="77777777" w:rsidR="006E052A" w:rsidRPr="00BE5472" w:rsidRDefault="006E052A" w:rsidP="006E052A">
      <w:pPr>
        <w:spacing w:after="120" w:line="360" w:lineRule="auto"/>
        <w:jc w:val="both"/>
        <w:rPr>
          <w:rFonts w:ascii="Times New Roman" w:hAnsi="Times New Roman" w:cs="Times New Roman"/>
          <w:sz w:val="24"/>
          <w:szCs w:val="24"/>
        </w:rPr>
      </w:pPr>
    </w:p>
    <w:p w14:paraId="47BE58EF" w14:textId="52EE7D15"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i/>
          <w:iCs/>
          <w:sz w:val="24"/>
          <w:szCs w:val="24"/>
        </w:rPr>
        <w:lastRenderedPageBreak/>
        <w:t>Hilton Worldwide</w:t>
      </w:r>
      <w:r w:rsidRPr="00BE5472">
        <w:rPr>
          <w:rFonts w:ascii="Times New Roman" w:hAnsi="Times New Roman" w:cs="Times New Roman"/>
          <w:sz w:val="24"/>
          <w:szCs w:val="24"/>
        </w:rPr>
        <w:t xml:space="preserve"> još je jedan gigant u hotelskoj industriji, preko 7.295 hotela u 123 zemlje (</w:t>
      </w:r>
      <w:r w:rsidRPr="00BE5472">
        <w:rPr>
          <w:rFonts w:ascii="Times New Roman" w:hAnsi="Times New Roman" w:cs="Times New Roman"/>
          <w:i/>
          <w:iCs/>
          <w:sz w:val="24"/>
          <w:szCs w:val="24"/>
        </w:rPr>
        <w:t>Cloudbeds</w:t>
      </w:r>
      <w:r w:rsidRPr="00BE5472">
        <w:rPr>
          <w:rFonts w:ascii="Times New Roman" w:hAnsi="Times New Roman" w:cs="Times New Roman"/>
          <w:sz w:val="24"/>
          <w:szCs w:val="24"/>
        </w:rPr>
        <w:t xml:space="preserve"> bez dat.) i s 22 marke (Prikaz </w:t>
      </w:r>
      <w:r w:rsidR="005A03A7" w:rsidRPr="00BE5472">
        <w:rPr>
          <w:rFonts w:ascii="Times New Roman" w:hAnsi="Times New Roman" w:cs="Times New Roman"/>
          <w:sz w:val="24"/>
          <w:szCs w:val="24"/>
        </w:rPr>
        <w:t>3</w:t>
      </w:r>
      <w:r w:rsidRPr="00BE5472">
        <w:rPr>
          <w:rFonts w:ascii="Times New Roman" w:hAnsi="Times New Roman" w:cs="Times New Roman"/>
          <w:sz w:val="24"/>
          <w:szCs w:val="24"/>
        </w:rPr>
        <w:t xml:space="preserve">). Hilton je poznat po markama kao što su </w:t>
      </w:r>
      <w:r w:rsidRPr="00BE5472">
        <w:rPr>
          <w:rFonts w:ascii="Times New Roman" w:hAnsi="Times New Roman" w:cs="Times New Roman"/>
          <w:i/>
          <w:iCs/>
          <w:sz w:val="24"/>
          <w:szCs w:val="24"/>
        </w:rPr>
        <w:t>Waldorf Astoria, Conrad, Hilton Hotels &amp; Resorts</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Hampton</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Inn</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Honors</w:t>
      </w:r>
      <w:r w:rsidRPr="00BE5472">
        <w:rPr>
          <w:rFonts w:ascii="Times New Roman" w:hAnsi="Times New Roman" w:cs="Times New Roman"/>
          <w:sz w:val="24"/>
          <w:szCs w:val="24"/>
        </w:rPr>
        <w:t xml:space="preserve"> program lojalnosti privlači veliki broj putnika, nudeći razne pogodnosti i nagrade za lojalne goste.</w:t>
      </w:r>
    </w:p>
    <w:p w14:paraId="6C66AD73" w14:textId="4C120C0B" w:rsidR="006E052A" w:rsidRPr="00C87D90" w:rsidRDefault="00C87D90" w:rsidP="00C87D90">
      <w:pPr>
        <w:pStyle w:val="Caption"/>
        <w:rPr>
          <w:rFonts w:ascii="Times New Roman" w:hAnsi="Times New Roman" w:cs="Times New Roman"/>
          <w:sz w:val="24"/>
          <w:szCs w:val="24"/>
        </w:rPr>
      </w:pPr>
      <w:bookmarkStart w:id="42" w:name="_Toc241865271"/>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3</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Hiltonove prepoznatljive marke</w:t>
      </w:r>
      <w:bookmarkEnd w:id="42"/>
    </w:p>
    <w:p w14:paraId="3A1912CF"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38713C08" wp14:editId="6B18C928">
            <wp:extent cx="5963751" cy="1481349"/>
            <wp:effectExtent l="76200" t="76200" r="132715" b="138430"/>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07145" cy="14921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EF356C1"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(bez dat.). </w:t>
      </w:r>
      <w:r w:rsidRPr="00BE5472">
        <w:rPr>
          <w:rFonts w:ascii="Times New Roman" w:hAnsi="Times New Roman" w:cs="Times New Roman"/>
          <w:i/>
          <w:iCs/>
          <w:sz w:val="24"/>
          <w:szCs w:val="24"/>
        </w:rPr>
        <w:t>Our Stories</w:t>
      </w:r>
      <w:r w:rsidRPr="00BE5472">
        <w:rPr>
          <w:rFonts w:ascii="Times New Roman" w:hAnsi="Times New Roman" w:cs="Times New Roman"/>
          <w:sz w:val="24"/>
          <w:szCs w:val="24"/>
        </w:rPr>
        <w:t xml:space="preserve">. Dostupno na: </w:t>
      </w:r>
      <w:hyperlink r:id="rId27" w:history="1">
        <w:r w:rsidRPr="00BE5472">
          <w:rPr>
            <w:rFonts w:ascii="Times New Roman" w:hAnsi="Times New Roman" w:cs="Times New Roman"/>
            <w:color w:val="0563C1" w:themeColor="hyperlink"/>
            <w:sz w:val="24"/>
            <w:szCs w:val="24"/>
            <w:u w:val="single"/>
          </w:rPr>
          <w:t>https://stories.hilton.com/emea/brands</w:t>
        </w:r>
      </w:hyperlink>
      <w:r w:rsidRPr="00BE5472">
        <w:rPr>
          <w:rFonts w:ascii="Times New Roman" w:hAnsi="Times New Roman" w:cs="Times New Roman"/>
          <w:sz w:val="24"/>
          <w:szCs w:val="24"/>
        </w:rPr>
        <w:t xml:space="preserve"> Pristupljeno: 4. kolovoza 2024. </w:t>
      </w:r>
    </w:p>
    <w:p w14:paraId="085415DD" w14:textId="77777777" w:rsidR="006E052A" w:rsidRPr="00BE5472" w:rsidRDefault="006E052A" w:rsidP="006E052A">
      <w:pPr>
        <w:spacing w:after="120" w:line="360" w:lineRule="auto"/>
        <w:jc w:val="both"/>
        <w:rPr>
          <w:rFonts w:ascii="Times New Roman" w:hAnsi="Times New Roman" w:cs="Times New Roman"/>
          <w:sz w:val="24"/>
          <w:szCs w:val="24"/>
        </w:rPr>
      </w:pPr>
    </w:p>
    <w:p w14:paraId="1CD77A8E" w14:textId="3D2E30D1"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i/>
          <w:iCs/>
          <w:sz w:val="24"/>
          <w:szCs w:val="24"/>
        </w:rPr>
        <w:t>Accor</w:t>
      </w:r>
      <w:r w:rsidRPr="00BE5472">
        <w:rPr>
          <w:rFonts w:ascii="Times New Roman" w:hAnsi="Times New Roman" w:cs="Times New Roman"/>
          <w:sz w:val="24"/>
          <w:szCs w:val="24"/>
        </w:rPr>
        <w:t xml:space="preserve"> je vodeća hotelska grupa sa sjedištem u Francuskoj, koja upravlja preko 5.487 hotela u 110 zemalja i posjeduje preko 40 marki (</w:t>
      </w:r>
      <w:r w:rsidRPr="00BE5472">
        <w:rPr>
          <w:rFonts w:ascii="Times New Roman" w:hAnsi="Times New Roman" w:cs="Times New Roman"/>
          <w:i/>
          <w:iCs/>
          <w:sz w:val="24"/>
          <w:szCs w:val="24"/>
        </w:rPr>
        <w:t>Cloudbeds</w:t>
      </w:r>
      <w:r w:rsidRPr="00BE5472">
        <w:rPr>
          <w:rFonts w:ascii="Times New Roman" w:hAnsi="Times New Roman" w:cs="Times New Roman"/>
          <w:sz w:val="24"/>
          <w:szCs w:val="24"/>
        </w:rPr>
        <w:t xml:space="preserve"> bez dat.). Njihov portfelj uključuje luksuzne marke poput </w:t>
      </w:r>
      <w:r w:rsidRPr="00BE5472">
        <w:rPr>
          <w:rFonts w:ascii="Times New Roman" w:hAnsi="Times New Roman" w:cs="Times New Roman"/>
          <w:i/>
          <w:iCs/>
          <w:sz w:val="24"/>
          <w:szCs w:val="24"/>
        </w:rPr>
        <w:t>Banyana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Sofitela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Rafflesa</w:t>
      </w:r>
      <w:r w:rsidRPr="00BE5472">
        <w:rPr>
          <w:rFonts w:ascii="Times New Roman" w:hAnsi="Times New Roman" w:cs="Times New Roman"/>
          <w:sz w:val="24"/>
          <w:szCs w:val="24"/>
        </w:rPr>
        <w:t xml:space="preserve">, kao i srednje kao što su </w:t>
      </w:r>
      <w:r w:rsidRPr="00BE5472">
        <w:rPr>
          <w:rFonts w:ascii="Times New Roman" w:hAnsi="Times New Roman" w:cs="Times New Roman"/>
          <w:i/>
          <w:iCs/>
          <w:sz w:val="24"/>
          <w:szCs w:val="24"/>
        </w:rPr>
        <w:t>Novotel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Adagio</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Mercure</w:t>
      </w:r>
      <w:r w:rsidRPr="00BE5472">
        <w:rPr>
          <w:rFonts w:ascii="Times New Roman" w:hAnsi="Times New Roman" w:cs="Times New Roman"/>
          <w:sz w:val="24"/>
          <w:szCs w:val="24"/>
        </w:rPr>
        <w:t xml:space="preserve">. Od ekonomskih marki poznat je </w:t>
      </w:r>
      <w:r w:rsidRPr="00BE5472">
        <w:rPr>
          <w:rFonts w:ascii="Times New Roman" w:hAnsi="Times New Roman" w:cs="Times New Roman"/>
          <w:i/>
          <w:iCs/>
          <w:sz w:val="24"/>
          <w:szCs w:val="24"/>
        </w:rPr>
        <w:t>Ibis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Accor</w:t>
      </w:r>
      <w:r w:rsidRPr="00BE5472">
        <w:rPr>
          <w:rFonts w:ascii="Times New Roman" w:hAnsi="Times New Roman" w:cs="Times New Roman"/>
          <w:sz w:val="24"/>
          <w:szCs w:val="24"/>
        </w:rPr>
        <w:t xml:space="preserve"> se ističe po svom inovativnom pristupu održivosti i digitalnim r</w:t>
      </w:r>
      <w:r w:rsidR="00D17B3F" w:rsidRPr="00BE5472">
        <w:rPr>
          <w:rFonts w:ascii="Times New Roman" w:hAnsi="Times New Roman" w:cs="Times New Roman"/>
          <w:sz w:val="24"/>
          <w:szCs w:val="24"/>
        </w:rPr>
        <w:t>j</w:t>
      </w:r>
      <w:r w:rsidRPr="00BE5472">
        <w:rPr>
          <w:rFonts w:ascii="Times New Roman" w:hAnsi="Times New Roman" w:cs="Times New Roman"/>
          <w:sz w:val="24"/>
          <w:szCs w:val="24"/>
        </w:rPr>
        <w:t xml:space="preserve">ešenjima za goste. Na Prikazu </w:t>
      </w:r>
      <w:r w:rsidR="005B7AC6" w:rsidRPr="00BE5472">
        <w:rPr>
          <w:rFonts w:ascii="Times New Roman" w:hAnsi="Times New Roman" w:cs="Times New Roman"/>
          <w:sz w:val="24"/>
          <w:szCs w:val="24"/>
        </w:rPr>
        <w:t>4</w:t>
      </w:r>
      <w:r w:rsidRPr="00BE5472">
        <w:rPr>
          <w:rFonts w:ascii="Times New Roman" w:hAnsi="Times New Roman" w:cs="Times New Roman"/>
          <w:sz w:val="24"/>
          <w:szCs w:val="24"/>
        </w:rPr>
        <w:t xml:space="preserve"> izdvojene su luksuzne </w:t>
      </w:r>
      <w:r w:rsidRPr="00BE5472">
        <w:rPr>
          <w:rFonts w:ascii="Times New Roman" w:hAnsi="Times New Roman" w:cs="Times New Roman"/>
          <w:i/>
          <w:iCs/>
          <w:sz w:val="24"/>
          <w:szCs w:val="24"/>
        </w:rPr>
        <w:t>Accorove</w:t>
      </w:r>
      <w:r w:rsidRPr="00BE5472">
        <w:rPr>
          <w:rFonts w:ascii="Times New Roman" w:hAnsi="Times New Roman" w:cs="Times New Roman"/>
          <w:sz w:val="24"/>
          <w:szCs w:val="24"/>
        </w:rPr>
        <w:t xml:space="preserve"> marke. </w:t>
      </w:r>
    </w:p>
    <w:p w14:paraId="11856711" w14:textId="2138698C" w:rsidR="006E052A" w:rsidRPr="00C87D90" w:rsidRDefault="00C87D90" w:rsidP="00C87D90">
      <w:pPr>
        <w:pStyle w:val="Caption"/>
        <w:rPr>
          <w:rFonts w:ascii="Times New Roman" w:hAnsi="Times New Roman" w:cs="Times New Roman"/>
          <w:sz w:val="24"/>
          <w:szCs w:val="24"/>
        </w:rPr>
      </w:pPr>
      <w:bookmarkStart w:id="43" w:name="_Toc241865272"/>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4</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Luksuzne Accorove marke</w:t>
      </w:r>
      <w:bookmarkEnd w:id="43"/>
    </w:p>
    <w:p w14:paraId="45CFA39C"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30EA03F6" wp14:editId="1CA6B4BC">
            <wp:extent cx="5943600" cy="1484630"/>
            <wp:effectExtent l="76200" t="76200" r="133350" b="134620"/>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14846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9C4667F"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w:t>
      </w:r>
      <w:r w:rsidRPr="00BE5472">
        <w:rPr>
          <w:rFonts w:ascii="Times New Roman" w:hAnsi="Times New Roman" w:cs="Times New Roman"/>
          <w:i/>
          <w:iCs/>
          <w:sz w:val="24"/>
          <w:szCs w:val="24"/>
        </w:rPr>
        <w:t>Accor</w:t>
      </w:r>
      <w:r w:rsidRPr="00BE5472">
        <w:rPr>
          <w:rFonts w:ascii="Times New Roman" w:hAnsi="Times New Roman" w:cs="Times New Roman"/>
          <w:sz w:val="24"/>
          <w:szCs w:val="24"/>
        </w:rPr>
        <w:t xml:space="preserve"> (bez dat.). </w:t>
      </w:r>
      <w:r w:rsidRPr="00BE5472">
        <w:rPr>
          <w:rFonts w:ascii="Times New Roman" w:hAnsi="Times New Roman" w:cs="Times New Roman"/>
          <w:bCs/>
          <w:i/>
          <w:sz w:val="24"/>
          <w:szCs w:val="24"/>
        </w:rPr>
        <w:t>All our brands. Luxury.</w:t>
      </w:r>
      <w:r w:rsidRPr="00BE5472">
        <w:rPr>
          <w:rFonts w:ascii="Times New Roman" w:hAnsi="Times New Roman" w:cs="Times New Roman"/>
          <w:b/>
          <w:bCs/>
          <w:i/>
          <w:iCs/>
          <w:sz w:val="24"/>
          <w:szCs w:val="24"/>
        </w:rPr>
        <w:t xml:space="preserve"> </w:t>
      </w:r>
      <w:r w:rsidRPr="00BE5472">
        <w:rPr>
          <w:rFonts w:ascii="Times New Roman" w:hAnsi="Times New Roman" w:cs="Times New Roman"/>
          <w:bCs/>
          <w:iCs/>
          <w:sz w:val="24"/>
          <w:szCs w:val="24"/>
        </w:rPr>
        <w:t xml:space="preserve">Dostupno na: </w:t>
      </w:r>
      <w:hyperlink r:id="rId29" w:history="1">
        <w:r w:rsidRPr="00BE5472">
          <w:rPr>
            <w:rFonts w:ascii="Times New Roman" w:hAnsi="Times New Roman" w:cs="Times New Roman"/>
            <w:bCs/>
            <w:iCs/>
            <w:color w:val="0563C1" w:themeColor="hyperlink"/>
            <w:sz w:val="24"/>
            <w:szCs w:val="24"/>
            <w:u w:val="single"/>
          </w:rPr>
          <w:t>https://group.accor.com/en/brands</w:t>
        </w:r>
      </w:hyperlink>
      <w:r w:rsidRPr="00BE5472">
        <w:rPr>
          <w:rFonts w:ascii="Times New Roman" w:hAnsi="Times New Roman" w:cs="Times New Roman"/>
          <w:bCs/>
          <w:iCs/>
          <w:sz w:val="24"/>
          <w:szCs w:val="24"/>
        </w:rPr>
        <w:t xml:space="preserve"> Pristupljeno: 5. kolovoza 2024. </w:t>
      </w:r>
    </w:p>
    <w:p w14:paraId="0E9CF347" w14:textId="5181AE49"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i/>
          <w:iCs/>
          <w:sz w:val="24"/>
          <w:szCs w:val="24"/>
        </w:rPr>
        <w:lastRenderedPageBreak/>
        <w:t>InterContinental Hotels Group</w:t>
      </w:r>
      <w:r w:rsidRPr="00BE5472">
        <w:rPr>
          <w:rFonts w:ascii="Times New Roman" w:hAnsi="Times New Roman" w:cs="Times New Roman"/>
          <w:b/>
          <w:bCs/>
          <w:sz w:val="24"/>
          <w:szCs w:val="24"/>
        </w:rPr>
        <w:t xml:space="preserve"> (IHG)</w:t>
      </w:r>
      <w:r w:rsidRPr="00BE5472">
        <w:rPr>
          <w:rFonts w:ascii="Times New Roman" w:hAnsi="Times New Roman" w:cs="Times New Roman"/>
          <w:sz w:val="24"/>
          <w:szCs w:val="24"/>
        </w:rPr>
        <w:t xml:space="preserve">, poznat po markama poput </w:t>
      </w:r>
      <w:r w:rsidRPr="00BE5472">
        <w:rPr>
          <w:rFonts w:ascii="Times New Roman" w:hAnsi="Times New Roman" w:cs="Times New Roman"/>
          <w:i/>
          <w:iCs/>
          <w:sz w:val="24"/>
          <w:szCs w:val="24"/>
        </w:rPr>
        <w:t>InterContinentala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Crowne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Plazae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Holiday</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Inna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Staybridge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Suitesa</w:t>
      </w:r>
      <w:r w:rsidRPr="00BE5472">
        <w:rPr>
          <w:rFonts w:ascii="Times New Roman" w:hAnsi="Times New Roman" w:cs="Times New Roman"/>
          <w:sz w:val="24"/>
          <w:szCs w:val="24"/>
        </w:rPr>
        <w:t>, upravlja preko 6.227 hotela u skoro 100+ zemalja i posjeduje 19 marki (</w:t>
      </w:r>
      <w:r w:rsidRPr="00BE5472">
        <w:rPr>
          <w:rFonts w:ascii="Times New Roman" w:hAnsi="Times New Roman" w:cs="Times New Roman"/>
          <w:i/>
          <w:iCs/>
          <w:sz w:val="24"/>
          <w:szCs w:val="24"/>
        </w:rPr>
        <w:t>Cloudbeds</w:t>
      </w:r>
      <w:r w:rsidRPr="00BE5472">
        <w:rPr>
          <w:rFonts w:ascii="Times New Roman" w:hAnsi="Times New Roman" w:cs="Times New Roman"/>
          <w:sz w:val="24"/>
          <w:szCs w:val="24"/>
        </w:rPr>
        <w:t xml:space="preserve"> bez dat.) segmentiranih u kolekciju luksuznih i životni stil, </w:t>
      </w:r>
      <w:r w:rsidRPr="00BE5472">
        <w:rPr>
          <w:rFonts w:ascii="Times New Roman" w:hAnsi="Times New Roman" w:cs="Times New Roman"/>
          <w:i/>
          <w:sz w:val="24"/>
          <w:szCs w:val="24"/>
        </w:rPr>
        <w:t>premium</w:t>
      </w:r>
      <w:r w:rsidRPr="00BE5472">
        <w:rPr>
          <w:rFonts w:ascii="Times New Roman" w:hAnsi="Times New Roman" w:cs="Times New Roman"/>
          <w:sz w:val="24"/>
          <w:szCs w:val="24"/>
        </w:rPr>
        <w:t xml:space="preserve">, nužnih i </w:t>
      </w:r>
      <w:r w:rsidRPr="00BE5472">
        <w:rPr>
          <w:rFonts w:ascii="Times New Roman" w:hAnsi="Times New Roman" w:cs="Times New Roman"/>
          <w:i/>
          <w:sz w:val="24"/>
          <w:szCs w:val="24"/>
        </w:rPr>
        <w:t>suites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IHG Hotels &amp; Resorts</w:t>
      </w:r>
      <w:r w:rsidRPr="00BE5472">
        <w:rPr>
          <w:rFonts w:ascii="Times New Roman" w:hAnsi="Times New Roman" w:cs="Times New Roman"/>
          <w:sz w:val="24"/>
          <w:szCs w:val="24"/>
        </w:rPr>
        <w:t xml:space="preserve"> bez dat.). Njihov program lojalnosti, IHG Rewards, jedinstven je i jedan je od najstarijih i najpopularnijih u industriji koji gostima nudi brojne pogodnosti.</w:t>
      </w:r>
    </w:p>
    <w:p w14:paraId="362D95CE" w14:textId="4A35E1E1"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i/>
          <w:iCs/>
          <w:sz w:val="24"/>
          <w:szCs w:val="24"/>
        </w:rPr>
        <w:t>Wyndham</w:t>
      </w:r>
      <w:r w:rsidRPr="00BE5472">
        <w:rPr>
          <w:rFonts w:ascii="Times New Roman" w:hAnsi="Times New Roman" w:cs="Times New Roman"/>
          <w:sz w:val="24"/>
          <w:szCs w:val="24"/>
        </w:rPr>
        <w:t xml:space="preserve"> je prepoznatljiv po svojoj prisutnosti u ekonomičnom i srednjem segmentu tržišta, preko 9.000 hotela širom svijeta (95 zemalja) i s 24 marke u portfelju (</w:t>
      </w:r>
      <w:r w:rsidRPr="00BE5472">
        <w:rPr>
          <w:rFonts w:ascii="Times New Roman" w:hAnsi="Times New Roman" w:cs="Times New Roman"/>
          <w:i/>
          <w:iCs/>
          <w:sz w:val="24"/>
          <w:szCs w:val="24"/>
        </w:rPr>
        <w:t>Cloudbeds</w:t>
      </w:r>
      <w:r w:rsidRPr="00BE5472">
        <w:rPr>
          <w:rFonts w:ascii="Times New Roman" w:hAnsi="Times New Roman" w:cs="Times New Roman"/>
          <w:sz w:val="24"/>
          <w:szCs w:val="24"/>
        </w:rPr>
        <w:t xml:space="preserve"> bez dat.). Marke kao što su </w:t>
      </w:r>
      <w:r w:rsidRPr="00BE5472">
        <w:rPr>
          <w:rFonts w:ascii="Times New Roman" w:hAnsi="Times New Roman" w:cs="Times New Roman"/>
          <w:i/>
          <w:iCs/>
          <w:sz w:val="24"/>
          <w:szCs w:val="24"/>
        </w:rPr>
        <w:t>Ramada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Days Inn</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Super 8</w:t>
      </w:r>
      <w:r w:rsidRPr="00BE5472">
        <w:rPr>
          <w:rFonts w:ascii="Times New Roman" w:hAnsi="Times New Roman" w:cs="Times New Roman"/>
          <w:sz w:val="24"/>
          <w:szCs w:val="24"/>
        </w:rPr>
        <w:t xml:space="preserve"> čine njihov portfelj atraktivnim za goste koji traže povoljne opcije uz dobru kvalitetu.</w:t>
      </w:r>
    </w:p>
    <w:p w14:paraId="0DD8BD5B" w14:textId="1470C0C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Hy</w:t>
      </w:r>
      <w:r w:rsidRPr="00BE5472">
        <w:rPr>
          <w:rFonts w:ascii="Times New Roman" w:hAnsi="Times New Roman" w:cs="Times New Roman"/>
          <w:b/>
          <w:bCs/>
          <w:i/>
          <w:iCs/>
          <w:sz w:val="24"/>
          <w:szCs w:val="24"/>
        </w:rPr>
        <w:t>att Hotels</w:t>
      </w:r>
      <w:r w:rsidRPr="00BE5472">
        <w:rPr>
          <w:rFonts w:ascii="Times New Roman" w:hAnsi="Times New Roman" w:cs="Times New Roman"/>
          <w:i/>
          <w:iCs/>
          <w:sz w:val="24"/>
          <w:szCs w:val="24"/>
        </w:rPr>
        <w:t xml:space="preserve"> </w:t>
      </w:r>
      <w:r w:rsidRPr="00BE5472">
        <w:rPr>
          <w:rFonts w:ascii="Times New Roman" w:hAnsi="Times New Roman" w:cs="Times New Roman"/>
          <w:sz w:val="24"/>
          <w:szCs w:val="24"/>
        </w:rPr>
        <w:t>upravlja preko 1.150 hotela u više od 70 zemalja i posjeduje 23 marke (</w:t>
      </w:r>
      <w:r w:rsidRPr="00BE5472">
        <w:rPr>
          <w:rFonts w:ascii="Times New Roman" w:hAnsi="Times New Roman" w:cs="Times New Roman"/>
          <w:i/>
          <w:iCs/>
          <w:sz w:val="24"/>
          <w:szCs w:val="24"/>
        </w:rPr>
        <w:t>Cloudbeds</w:t>
      </w:r>
      <w:r w:rsidRPr="00BE5472">
        <w:rPr>
          <w:rFonts w:ascii="Times New Roman" w:hAnsi="Times New Roman" w:cs="Times New Roman"/>
          <w:sz w:val="24"/>
          <w:szCs w:val="24"/>
        </w:rPr>
        <w:t xml:space="preserve"> bez dat.), a poznat je po markama kao što su </w:t>
      </w:r>
      <w:r w:rsidRPr="00BE5472">
        <w:rPr>
          <w:rFonts w:ascii="Times New Roman" w:hAnsi="Times New Roman" w:cs="Times New Roman"/>
          <w:i/>
          <w:iCs/>
          <w:sz w:val="24"/>
          <w:szCs w:val="24"/>
        </w:rPr>
        <w:t>Park Hyatt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Grand Hyatt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Hyatt Regency</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Hyatt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Place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Hyatt</w:t>
      </w:r>
      <w:r w:rsidRPr="00BE5472">
        <w:rPr>
          <w:rFonts w:ascii="Times New Roman" w:hAnsi="Times New Roman" w:cs="Times New Roman"/>
          <w:sz w:val="24"/>
          <w:szCs w:val="24"/>
        </w:rPr>
        <w:t xml:space="preserve"> se fokusira na luksuz i vrhunsku uslugu, a njihov program lojalnosti, </w:t>
      </w:r>
      <w:r w:rsidRPr="00BE5472">
        <w:rPr>
          <w:rFonts w:ascii="Times New Roman" w:hAnsi="Times New Roman" w:cs="Times New Roman"/>
          <w:i/>
          <w:iCs/>
          <w:sz w:val="24"/>
          <w:szCs w:val="24"/>
        </w:rPr>
        <w:t>World of Hyatt</w:t>
      </w:r>
      <w:r w:rsidRPr="00BE5472">
        <w:rPr>
          <w:rFonts w:ascii="Times New Roman" w:hAnsi="Times New Roman" w:cs="Times New Roman"/>
          <w:sz w:val="24"/>
          <w:szCs w:val="24"/>
        </w:rPr>
        <w:t>, nudi ekskluzivne pogodnosti i nagrade za goste.</w:t>
      </w:r>
    </w:p>
    <w:p w14:paraId="4EE50467"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Ovi hotelski lanci i poduzeća dominiraju globalnim tržištem zahvaljujući svojem širokom portfelju marki, visokom standardu usluge, inovacijama i programima lojalnosti. Njihova sposobnost da se prilagode promjenama potražnje i tržišnim trendovima, kao i njihova posvećenost održivosti i digitalizaciji, osiguravaju im vodeću poziciju u industriji hotelskog smještaja.</w:t>
      </w:r>
    </w:p>
    <w:p w14:paraId="28949E75" w14:textId="1E6E8A2C"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Tržišna vrijednost svjetske hotelske industrije u 2022. godini iznosila je 1.43 trilijuna američkih dolara, a 2023. godine 1.5 trilijuna američkih dolara</w:t>
      </w:r>
      <w:r w:rsidR="00153144"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predstavlja porast od 5</w:t>
      </w:r>
      <w:r w:rsidR="0015314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(Statista 2024a). Vodeća hotelska marka prema vrijednosti marke u 2024. godini bio je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Globalna vrijednost marke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u 2024. godini procijenjena je na 11,6 milijardi američkih dolara</w:t>
      </w:r>
      <w:r w:rsidR="00153144"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blagi pad od 2% u odnosu na 2023. godinu. Bez obzira</w:t>
      </w:r>
      <w:r w:rsidR="00153144" w:rsidRPr="00BE5472">
        <w:rPr>
          <w:rFonts w:ascii="Times New Roman" w:hAnsi="Times New Roman" w:cs="Times New Roman"/>
          <w:sz w:val="24"/>
          <w:szCs w:val="24"/>
        </w:rPr>
        <w:t xml:space="preserve"> na to</w:t>
      </w:r>
      <w:r w:rsidRPr="00BE5472">
        <w:rPr>
          <w:rFonts w:ascii="Times New Roman" w:hAnsi="Times New Roman" w:cs="Times New Roman"/>
          <w:sz w:val="24"/>
          <w:szCs w:val="24"/>
        </w:rPr>
        <w:t xml:space="preserve">, Hilton se i dalje nalazi na ljestvici </w:t>
      </w:r>
      <w:r w:rsidRPr="00BE5472">
        <w:rPr>
          <w:rFonts w:ascii="Times New Roman" w:hAnsi="Times New Roman" w:cs="Times New Roman"/>
          <w:i/>
          <w:iCs/>
          <w:sz w:val="24"/>
          <w:szCs w:val="24"/>
        </w:rPr>
        <w:t>Brand Finance</w:t>
      </w:r>
      <w:r w:rsidRPr="00BE5472">
        <w:rPr>
          <w:rFonts w:ascii="Times New Roman" w:hAnsi="Times New Roman" w:cs="Times New Roman"/>
          <w:sz w:val="24"/>
          <w:szCs w:val="24"/>
        </w:rPr>
        <w:t xml:space="preserve"> Global 500. Iza </w:t>
      </w:r>
      <w:r w:rsidRPr="00BE5472">
        <w:rPr>
          <w:rFonts w:ascii="Times New Roman" w:hAnsi="Times New Roman" w:cs="Times New Roman"/>
          <w:i/>
          <w:iCs/>
          <w:sz w:val="24"/>
          <w:szCs w:val="24"/>
        </w:rPr>
        <w:t>Hiltona</w:t>
      </w:r>
      <w:r w:rsidRPr="00BE5472">
        <w:rPr>
          <w:rFonts w:ascii="Times New Roman" w:hAnsi="Times New Roman" w:cs="Times New Roman"/>
          <w:sz w:val="24"/>
          <w:szCs w:val="24"/>
        </w:rPr>
        <w:t xml:space="preserve"> nalazi se </w:t>
      </w:r>
      <w:r w:rsidRPr="00BE5472">
        <w:rPr>
          <w:rFonts w:ascii="Times New Roman" w:hAnsi="Times New Roman" w:cs="Times New Roman"/>
          <w:i/>
          <w:iCs/>
          <w:sz w:val="24"/>
          <w:szCs w:val="24"/>
        </w:rPr>
        <w:t>Hyatt</w:t>
      </w:r>
      <w:r w:rsidR="00153144" w:rsidRPr="00BE5472">
        <w:rPr>
          <w:rFonts w:ascii="Times New Roman" w:hAnsi="Times New Roman" w:cs="Times New Roman"/>
          <w:i/>
          <w:iCs/>
          <w:sz w:val="24"/>
          <w:szCs w:val="24"/>
        </w:rPr>
        <w:t>,</w:t>
      </w:r>
      <w:r w:rsidRPr="00BE5472">
        <w:rPr>
          <w:rFonts w:ascii="Times New Roman" w:hAnsi="Times New Roman" w:cs="Times New Roman"/>
          <w:sz w:val="24"/>
          <w:szCs w:val="24"/>
        </w:rPr>
        <w:t xml:space="preserve"> čija je vrijednost marke također smanjena za 2</w:t>
      </w:r>
      <w:r w:rsidR="00153144" w:rsidRPr="00BE5472">
        <w:rPr>
          <w:rFonts w:ascii="Times New Roman" w:hAnsi="Times New Roman" w:cs="Times New Roman"/>
          <w:sz w:val="24"/>
          <w:szCs w:val="24"/>
        </w:rPr>
        <w:t xml:space="preserve"> </w:t>
      </w:r>
      <w:r w:rsidRPr="00BE5472">
        <w:rPr>
          <w:rFonts w:ascii="Times New Roman" w:hAnsi="Times New Roman" w:cs="Times New Roman"/>
          <w:sz w:val="24"/>
          <w:szCs w:val="24"/>
        </w:rPr>
        <w:t>% u odnosu na prethodnu godinu. Ukupna vrijednost marke u 2024. godini je iznosila 6 milijardi američkih dolara. Slijedi</w:t>
      </w:r>
      <w:r w:rsidRPr="00BE5472">
        <w:rPr>
          <w:rFonts w:ascii="Times New Roman" w:hAnsi="Times New Roman" w:cs="Times New Roman"/>
          <w:i/>
          <w:iCs/>
          <w:sz w:val="24"/>
          <w:szCs w:val="24"/>
        </w:rPr>
        <w:t xml:space="preserve"> Hampton Inn</w:t>
      </w:r>
      <w:r w:rsidRPr="00BE5472">
        <w:rPr>
          <w:rFonts w:ascii="Times New Roman" w:hAnsi="Times New Roman" w:cs="Times New Roman"/>
          <w:sz w:val="24"/>
          <w:szCs w:val="24"/>
        </w:rPr>
        <w:t>. I tu se ističe pad vrijednost marke za 2</w:t>
      </w:r>
      <w:r w:rsidR="0015314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u odnosu na prethodnu godinu. Vrijednost marke </w:t>
      </w:r>
      <w:r w:rsidRPr="00BE5472">
        <w:rPr>
          <w:rFonts w:ascii="Times New Roman" w:hAnsi="Times New Roman" w:cs="Times New Roman"/>
          <w:i/>
          <w:iCs/>
          <w:sz w:val="24"/>
          <w:szCs w:val="24"/>
        </w:rPr>
        <w:t>Hampton Inn</w:t>
      </w:r>
      <w:r w:rsidRPr="00BE5472">
        <w:rPr>
          <w:rFonts w:ascii="Times New Roman" w:hAnsi="Times New Roman" w:cs="Times New Roman"/>
          <w:sz w:val="24"/>
          <w:szCs w:val="24"/>
        </w:rPr>
        <w:t xml:space="preserve"> u 2024. godini je iznosila 4.2 milijarde američkih dolara (Brand Finance 2024). </w:t>
      </w:r>
    </w:p>
    <w:p w14:paraId="688FBB87" w14:textId="7C63B349"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Među prvih pet svoje mjesto </w:t>
      </w:r>
      <w:r w:rsidR="007E70D3" w:rsidRPr="00BE5472">
        <w:rPr>
          <w:rFonts w:ascii="Times New Roman" w:hAnsi="Times New Roman" w:cs="Times New Roman"/>
          <w:sz w:val="24"/>
          <w:szCs w:val="24"/>
        </w:rPr>
        <w:t>je pronašao</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Marriott</w:t>
      </w:r>
      <w:r w:rsidRPr="00BE5472">
        <w:rPr>
          <w:rFonts w:ascii="Times New Roman" w:hAnsi="Times New Roman" w:cs="Times New Roman"/>
          <w:sz w:val="24"/>
          <w:szCs w:val="24"/>
        </w:rPr>
        <w:t>. Vrijednost marke je u ovom slučaju porasla za 3</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u odnosu na 2023. godinu i u 2024. godini je iznosila 3.1 milijardi američkih dolara. Na </w:t>
      </w:r>
      <w:r w:rsidRPr="00BE5472">
        <w:rPr>
          <w:rFonts w:ascii="Times New Roman" w:hAnsi="Times New Roman" w:cs="Times New Roman"/>
          <w:sz w:val="24"/>
          <w:szCs w:val="24"/>
        </w:rPr>
        <w:lastRenderedPageBreak/>
        <w:t xml:space="preserve">visokom petom mjestu ljestvice </w:t>
      </w:r>
      <w:r w:rsidRPr="00BE5472">
        <w:rPr>
          <w:rFonts w:ascii="Times New Roman" w:hAnsi="Times New Roman" w:cs="Times New Roman"/>
          <w:i/>
          <w:iCs/>
          <w:sz w:val="24"/>
          <w:szCs w:val="24"/>
        </w:rPr>
        <w:t>Brand</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Finance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Hotels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50</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2024</w:t>
      </w:r>
      <w:r w:rsidRPr="00BE5472">
        <w:rPr>
          <w:rFonts w:ascii="Times New Roman" w:hAnsi="Times New Roman" w:cs="Times New Roman"/>
          <w:sz w:val="24"/>
          <w:szCs w:val="24"/>
        </w:rPr>
        <w:t xml:space="preserve"> nalazi se </w:t>
      </w:r>
      <w:r w:rsidRPr="00BE5472">
        <w:rPr>
          <w:rFonts w:ascii="Times New Roman" w:hAnsi="Times New Roman" w:cs="Times New Roman"/>
          <w:i/>
          <w:iCs/>
          <w:sz w:val="24"/>
          <w:szCs w:val="24"/>
        </w:rPr>
        <w:t>Holiday</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Inn</w:t>
      </w:r>
      <w:r w:rsidR="00207554" w:rsidRPr="00BE5472">
        <w:rPr>
          <w:rFonts w:ascii="Times New Roman" w:hAnsi="Times New Roman" w:cs="Times New Roman"/>
          <w:i/>
          <w:iCs/>
          <w:sz w:val="24"/>
          <w:szCs w:val="24"/>
        </w:rPr>
        <w:t>,</w:t>
      </w:r>
      <w:r w:rsidRPr="00BE5472">
        <w:rPr>
          <w:rFonts w:ascii="Times New Roman" w:hAnsi="Times New Roman" w:cs="Times New Roman"/>
          <w:sz w:val="24"/>
          <w:szCs w:val="24"/>
        </w:rPr>
        <w:t xml:space="preserve"> čija je vrijednost marke u 2024. godini procijenjena na 2.9 milijardi američkih dolara (</w:t>
      </w:r>
      <w:r w:rsidRPr="00BE5472">
        <w:rPr>
          <w:rFonts w:ascii="Times New Roman" w:hAnsi="Times New Roman" w:cs="Times New Roman"/>
          <w:i/>
          <w:iCs/>
          <w:sz w:val="24"/>
          <w:szCs w:val="24"/>
        </w:rPr>
        <w:t>Brand Finance 2024</w:t>
      </w:r>
      <w:r w:rsidRPr="00BE5472">
        <w:rPr>
          <w:rFonts w:ascii="Times New Roman" w:hAnsi="Times New Roman" w:cs="Times New Roman"/>
          <w:sz w:val="24"/>
          <w:szCs w:val="24"/>
        </w:rPr>
        <w:t>). Prema Indeksu snage marke</w:t>
      </w:r>
      <w:r w:rsidRPr="00BE5472">
        <w:rPr>
          <w:rFonts w:ascii="Times New Roman" w:hAnsi="Times New Roman" w:cs="Times New Roman"/>
          <w:sz w:val="24"/>
          <w:szCs w:val="24"/>
          <w:vertAlign w:val="superscript"/>
        </w:rPr>
        <w:footnoteReference w:id="1"/>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Brand Strenght Index</w:t>
      </w:r>
      <w:r w:rsidRPr="00BE5472">
        <w:rPr>
          <w:rFonts w:ascii="Times New Roman" w:hAnsi="Times New Roman" w:cs="Times New Roman"/>
          <w:sz w:val="24"/>
          <w:szCs w:val="24"/>
        </w:rPr>
        <w:t xml:space="preserve">) najjača hotelska marka je </w:t>
      </w:r>
      <w:r w:rsidRPr="00BE5472">
        <w:rPr>
          <w:rFonts w:ascii="Times New Roman" w:hAnsi="Times New Roman" w:cs="Times New Roman"/>
          <w:i/>
          <w:iCs/>
          <w:sz w:val="24"/>
          <w:szCs w:val="24"/>
        </w:rPr>
        <w:t>Taj</w:t>
      </w:r>
      <w:r w:rsidRPr="00BE5472">
        <w:rPr>
          <w:rFonts w:ascii="Times New Roman" w:hAnsi="Times New Roman" w:cs="Times New Roman"/>
          <w:sz w:val="24"/>
          <w:szCs w:val="24"/>
        </w:rPr>
        <w:t xml:space="preserve"> koja je zaslužila AAA+ rejting s 92.9 od 100 bodova ukupno.  </w:t>
      </w:r>
      <w:r w:rsidRPr="00BE5472">
        <w:rPr>
          <w:rFonts w:ascii="Times New Roman" w:hAnsi="Times New Roman" w:cs="Times New Roman"/>
          <w:i/>
          <w:iCs/>
          <w:sz w:val="24"/>
          <w:szCs w:val="24"/>
        </w:rPr>
        <w:t>Renaissance Hotels (</w:t>
      </w:r>
      <w:r w:rsidRPr="00BE5472">
        <w:rPr>
          <w:rFonts w:ascii="Times New Roman" w:hAnsi="Times New Roman" w:cs="Times New Roman"/>
          <w:sz w:val="24"/>
          <w:szCs w:val="24"/>
        </w:rPr>
        <w:t>vrijednost marke porasla je za 6</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na 620 milijuna američkih dolara) i </w:t>
      </w:r>
      <w:r w:rsidRPr="00BE5472">
        <w:rPr>
          <w:rFonts w:ascii="Times New Roman" w:hAnsi="Times New Roman" w:cs="Times New Roman"/>
          <w:i/>
          <w:iCs/>
          <w:sz w:val="24"/>
          <w:szCs w:val="24"/>
        </w:rPr>
        <w:t>Double Tree</w:t>
      </w:r>
      <w:r w:rsidRPr="00BE5472">
        <w:rPr>
          <w:rFonts w:ascii="Times New Roman" w:hAnsi="Times New Roman" w:cs="Times New Roman"/>
          <w:sz w:val="24"/>
          <w:szCs w:val="24"/>
        </w:rPr>
        <w:t xml:space="preserve"> (vrijednost marke porasla je 5</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na 2,1 milijardi američkih dolara) druga je</w:t>
      </w:r>
      <w:r w:rsidR="00207554" w:rsidRPr="00BE5472">
        <w:rPr>
          <w:rFonts w:ascii="Times New Roman" w:hAnsi="Times New Roman" w:cs="Times New Roman"/>
          <w:sz w:val="24"/>
          <w:szCs w:val="24"/>
        </w:rPr>
        <w:t>,</w:t>
      </w:r>
      <w:r w:rsidRPr="00BE5472">
        <w:rPr>
          <w:rFonts w:ascii="Times New Roman" w:hAnsi="Times New Roman" w:cs="Times New Roman"/>
          <w:sz w:val="24"/>
          <w:szCs w:val="24"/>
        </w:rPr>
        <w:t xml:space="preserve"> odnosno treća</w:t>
      </w:r>
      <w:r w:rsidR="00207554" w:rsidRPr="00BE5472">
        <w:rPr>
          <w:rFonts w:ascii="Times New Roman" w:hAnsi="Times New Roman" w:cs="Times New Roman"/>
          <w:sz w:val="24"/>
          <w:szCs w:val="24"/>
        </w:rPr>
        <w:t>,</w:t>
      </w:r>
      <w:r w:rsidRPr="00BE5472">
        <w:rPr>
          <w:rFonts w:ascii="Times New Roman" w:hAnsi="Times New Roman" w:cs="Times New Roman"/>
          <w:sz w:val="24"/>
          <w:szCs w:val="24"/>
        </w:rPr>
        <w:t xml:space="preserve"> hotelska marka na globalnoj </w:t>
      </w:r>
      <w:r w:rsidR="00AD765C">
        <w:rPr>
          <w:rFonts w:ascii="Times New Roman" w:hAnsi="Times New Roman" w:cs="Times New Roman"/>
          <w:sz w:val="24"/>
          <w:szCs w:val="24"/>
        </w:rPr>
        <w:t>razini u 2024. godini.</w:t>
      </w:r>
    </w:p>
    <w:p w14:paraId="6D1A1FC1" w14:textId="5EB7CF01"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R</w:t>
      </w:r>
      <w:r w:rsidRPr="00BE5472">
        <w:rPr>
          <w:rFonts w:ascii="Times New Roman" w:hAnsi="Times New Roman" w:cs="Times New Roman"/>
          <w:i/>
          <w:iCs/>
          <w:sz w:val="24"/>
          <w:szCs w:val="24"/>
        </w:rPr>
        <w:t xml:space="preserve">enaissance Hotels </w:t>
      </w:r>
      <w:r w:rsidRPr="00BE5472">
        <w:rPr>
          <w:rFonts w:ascii="Times New Roman" w:hAnsi="Times New Roman" w:cs="Times New Roman"/>
          <w:sz w:val="24"/>
          <w:szCs w:val="24"/>
        </w:rPr>
        <w:t>je snažno unaprijedilo svoju poziciju na ljestvici</w:t>
      </w:r>
      <w:r w:rsidR="00207554" w:rsidRPr="00BE5472">
        <w:rPr>
          <w:rFonts w:ascii="Times New Roman" w:hAnsi="Times New Roman" w:cs="Times New Roman"/>
          <w:sz w:val="24"/>
          <w:szCs w:val="24"/>
        </w:rPr>
        <w:t>,</w:t>
      </w:r>
      <w:r w:rsidRPr="00BE5472">
        <w:rPr>
          <w:rFonts w:ascii="Times New Roman" w:hAnsi="Times New Roman" w:cs="Times New Roman"/>
          <w:sz w:val="24"/>
          <w:szCs w:val="24"/>
        </w:rPr>
        <w:t xml:space="preserve"> i to preskočivši devet pozicija  postigavši ​​vrijednost Indeksa snage marke od 89,3 od 100 i ocjenu AAA. Odmah nakon ovog hotelskog lanca svoje mjesto zauzima </w:t>
      </w:r>
      <w:r w:rsidRPr="00BE5472">
        <w:rPr>
          <w:rFonts w:ascii="Times New Roman" w:hAnsi="Times New Roman" w:cs="Times New Roman"/>
          <w:i/>
          <w:iCs/>
          <w:sz w:val="24"/>
          <w:szCs w:val="24"/>
        </w:rPr>
        <w:t>Double Tree</w:t>
      </w:r>
      <w:r w:rsidR="00207554" w:rsidRPr="00BE5472">
        <w:rPr>
          <w:rFonts w:ascii="Times New Roman" w:hAnsi="Times New Roman" w:cs="Times New Roman"/>
          <w:i/>
          <w:iCs/>
          <w:sz w:val="24"/>
          <w:szCs w:val="24"/>
        </w:rPr>
        <w:t>,</w:t>
      </w:r>
      <w:r w:rsidRPr="00BE5472">
        <w:rPr>
          <w:rFonts w:ascii="Times New Roman" w:hAnsi="Times New Roman" w:cs="Times New Roman"/>
          <w:sz w:val="24"/>
          <w:szCs w:val="24"/>
        </w:rPr>
        <w:t xml:space="preserve"> čija je vrijednost Indeksa snage marke 89,1 od 100. Ovi dobri rezultati ukazuju na to da su ovi hotelski lanci ponajprije unaprijedili svoj odnos prema klijentima, a istovremeno i pružali veću vrijednost za novac (Brand Finance 2024). Najbrže rastuća hotelska marka je </w:t>
      </w:r>
      <w:r w:rsidRPr="00BE5472">
        <w:rPr>
          <w:rFonts w:ascii="Times New Roman" w:hAnsi="Times New Roman" w:cs="Times New Roman"/>
          <w:i/>
          <w:iCs/>
          <w:sz w:val="24"/>
          <w:szCs w:val="24"/>
        </w:rPr>
        <w:t>Four Points</w:t>
      </w:r>
      <w:r w:rsidRPr="00BE5472">
        <w:rPr>
          <w:rFonts w:ascii="Times New Roman" w:hAnsi="Times New Roman" w:cs="Times New Roman"/>
          <w:sz w:val="24"/>
          <w:szCs w:val="24"/>
        </w:rPr>
        <w:t xml:space="preserve"> (47</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povećanje vrijednosti marke) iza koje slijede </w:t>
      </w:r>
      <w:r w:rsidRPr="00BE5472">
        <w:rPr>
          <w:rFonts w:ascii="Times New Roman" w:hAnsi="Times New Roman" w:cs="Times New Roman"/>
          <w:i/>
          <w:iCs/>
          <w:sz w:val="24"/>
          <w:szCs w:val="24"/>
        </w:rPr>
        <w:t>Taj</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Millenium Hotels</w:t>
      </w:r>
      <w:r w:rsidRPr="00BE5472">
        <w:rPr>
          <w:rFonts w:ascii="Times New Roman" w:hAnsi="Times New Roman" w:cs="Times New Roman"/>
          <w:sz w:val="24"/>
          <w:szCs w:val="24"/>
        </w:rPr>
        <w:t xml:space="preserve"> (39</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povećanje vrijednosti marke). Valja spomenuti i španjolski </w:t>
      </w:r>
      <w:r w:rsidRPr="00BE5472">
        <w:rPr>
          <w:rFonts w:ascii="Times New Roman" w:hAnsi="Times New Roman" w:cs="Times New Roman"/>
          <w:i/>
          <w:iCs/>
          <w:sz w:val="24"/>
          <w:szCs w:val="24"/>
        </w:rPr>
        <w:t>Occidental</w:t>
      </w:r>
      <w:r w:rsidR="00207554" w:rsidRPr="00BE5472">
        <w:rPr>
          <w:rFonts w:ascii="Times New Roman" w:hAnsi="Times New Roman" w:cs="Times New Roman"/>
          <w:i/>
          <w:iCs/>
          <w:sz w:val="24"/>
          <w:szCs w:val="24"/>
        </w:rPr>
        <w:t>,</w:t>
      </w:r>
      <w:r w:rsidRPr="00BE5472">
        <w:rPr>
          <w:rFonts w:ascii="Times New Roman" w:hAnsi="Times New Roman" w:cs="Times New Roman"/>
          <w:sz w:val="24"/>
          <w:szCs w:val="24"/>
        </w:rPr>
        <w:t xml:space="preserve"> čija je vrijednost marke procijenjena na 318 milijuna američkih dolara, a s 34</w:t>
      </w:r>
      <w:r w:rsidR="00207554"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povećanjem u odnosu na proteklu godinu ova marka zauzima četvrto mjesto najbrže rastućih hotelskih marki u svijetu. Melijina vrijednost marke procijenjena je na 312 milijuna američkih dolara i time zauzima 43. mjesto prema vrijednosti marke. </w:t>
      </w:r>
    </w:p>
    <w:p w14:paraId="1E4116AB" w14:textId="149AA063"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3746F4" w:rsidRPr="00BE5472">
        <w:rPr>
          <w:rFonts w:ascii="Times New Roman" w:hAnsi="Times New Roman" w:cs="Times New Roman"/>
          <w:sz w:val="24"/>
          <w:szCs w:val="24"/>
        </w:rPr>
        <w:t>3</w:t>
      </w:r>
      <w:r w:rsidRPr="00BE5472">
        <w:rPr>
          <w:rFonts w:ascii="Times New Roman" w:hAnsi="Times New Roman" w:cs="Times New Roman"/>
          <w:sz w:val="24"/>
          <w:szCs w:val="24"/>
        </w:rPr>
        <w:t xml:space="preserve"> prikazano je </w:t>
      </w:r>
      <w:r w:rsidR="00852F1F" w:rsidRPr="00BE5472">
        <w:rPr>
          <w:rFonts w:ascii="Times New Roman" w:hAnsi="Times New Roman" w:cs="Times New Roman"/>
          <w:sz w:val="24"/>
          <w:szCs w:val="24"/>
        </w:rPr>
        <w:t>deset</w:t>
      </w:r>
      <w:r w:rsidRPr="00BE5472">
        <w:rPr>
          <w:rFonts w:ascii="Times New Roman" w:hAnsi="Times New Roman" w:cs="Times New Roman"/>
          <w:sz w:val="24"/>
          <w:szCs w:val="24"/>
        </w:rPr>
        <w:t xml:space="preserve"> najvećih svjetskih hotelskih lanaca prema ukupnoj vrijednosti njihove marke u 2024. i 2023. godini.</w:t>
      </w:r>
    </w:p>
    <w:p w14:paraId="19E89275" w14:textId="77777777" w:rsidR="00AA4DBE" w:rsidRPr="00BE5472" w:rsidRDefault="00AA4DBE" w:rsidP="006E052A">
      <w:pPr>
        <w:spacing w:after="120" w:line="360" w:lineRule="auto"/>
        <w:jc w:val="both"/>
        <w:rPr>
          <w:rFonts w:ascii="Times New Roman" w:hAnsi="Times New Roman" w:cs="Times New Roman"/>
          <w:sz w:val="24"/>
          <w:szCs w:val="24"/>
        </w:rPr>
      </w:pPr>
    </w:p>
    <w:p w14:paraId="6C4E949A" w14:textId="77777777" w:rsidR="00AA4DBE" w:rsidRPr="00BE5472" w:rsidRDefault="00AA4DBE" w:rsidP="006E052A">
      <w:pPr>
        <w:spacing w:after="120" w:line="360" w:lineRule="auto"/>
        <w:jc w:val="both"/>
        <w:rPr>
          <w:rFonts w:ascii="Times New Roman" w:hAnsi="Times New Roman" w:cs="Times New Roman"/>
          <w:sz w:val="24"/>
          <w:szCs w:val="24"/>
        </w:rPr>
      </w:pPr>
    </w:p>
    <w:p w14:paraId="0084CABC" w14:textId="77777777" w:rsidR="00106E7A" w:rsidRDefault="00106E7A" w:rsidP="006E052A">
      <w:pPr>
        <w:spacing w:after="120" w:line="360" w:lineRule="auto"/>
        <w:jc w:val="both"/>
        <w:rPr>
          <w:rFonts w:ascii="Times New Roman" w:hAnsi="Times New Roman" w:cs="Times New Roman"/>
          <w:sz w:val="24"/>
          <w:szCs w:val="24"/>
        </w:rPr>
        <w:sectPr w:rsidR="00106E7A" w:rsidSect="00D03C2F">
          <w:pgSz w:w="12240" w:h="15840"/>
          <w:pgMar w:top="1440" w:right="1440" w:bottom="1440" w:left="1440" w:header="708" w:footer="708" w:gutter="0"/>
          <w:cols w:space="708"/>
          <w:docGrid w:linePitch="360"/>
        </w:sectPr>
      </w:pPr>
    </w:p>
    <w:p w14:paraId="420F52CC" w14:textId="6D551E06" w:rsidR="006E052A" w:rsidRPr="00C87D90" w:rsidRDefault="00C87D90" w:rsidP="00C87D90">
      <w:pPr>
        <w:pStyle w:val="Caption"/>
        <w:rPr>
          <w:rFonts w:ascii="Times New Roman" w:hAnsi="Times New Roman" w:cs="Times New Roman"/>
          <w:sz w:val="24"/>
          <w:szCs w:val="24"/>
        </w:rPr>
      </w:pPr>
      <w:bookmarkStart w:id="44" w:name="_Toc241865197"/>
      <w:r w:rsidRPr="00C87D90">
        <w:rPr>
          <w:rFonts w:ascii="Times New Roman" w:hAnsi="Times New Roman" w:cs="Times New Roman"/>
          <w:sz w:val="24"/>
          <w:szCs w:val="24"/>
        </w:rPr>
        <w:lastRenderedPageBreak/>
        <w:t xml:space="preserve">Tablica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Tablica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3</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10 najvrjednijih marki hotelskih poduzeća u svijetu (2023. vs. 2024.)</w:t>
      </w:r>
      <w:bookmarkEnd w:id="44"/>
    </w:p>
    <w:tbl>
      <w:tblPr>
        <w:tblStyle w:val="TableGrid"/>
        <w:tblW w:w="0" w:type="auto"/>
        <w:jc w:val="center"/>
        <w:tblLook w:val="04A0" w:firstRow="1" w:lastRow="0" w:firstColumn="1" w:lastColumn="0" w:noHBand="0" w:noVBand="1"/>
      </w:tblPr>
      <w:tblGrid>
        <w:gridCol w:w="756"/>
        <w:gridCol w:w="1016"/>
        <w:gridCol w:w="1736"/>
        <w:gridCol w:w="1270"/>
        <w:gridCol w:w="1265"/>
        <w:gridCol w:w="1265"/>
      </w:tblGrid>
      <w:tr w:rsidR="006E052A" w:rsidRPr="00BE5472" w14:paraId="7DE0A477" w14:textId="77777777" w:rsidTr="00FB165A">
        <w:trPr>
          <w:trHeight w:val="726"/>
          <w:jc w:val="center"/>
        </w:trPr>
        <w:tc>
          <w:tcPr>
            <w:tcW w:w="756" w:type="dxa"/>
            <w:vAlign w:val="center"/>
          </w:tcPr>
          <w:p w14:paraId="60E82A2F"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Rang 2024.</w:t>
            </w:r>
          </w:p>
        </w:tc>
        <w:tc>
          <w:tcPr>
            <w:tcW w:w="1016" w:type="dxa"/>
            <w:vAlign w:val="center"/>
          </w:tcPr>
          <w:p w14:paraId="45A73141"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Rang 2023.</w:t>
            </w:r>
          </w:p>
        </w:tc>
        <w:tc>
          <w:tcPr>
            <w:tcW w:w="1736" w:type="dxa"/>
            <w:vAlign w:val="center"/>
          </w:tcPr>
          <w:p w14:paraId="3A195ED5"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Naziv marke</w:t>
            </w:r>
          </w:p>
        </w:tc>
        <w:tc>
          <w:tcPr>
            <w:tcW w:w="1270" w:type="dxa"/>
            <w:vAlign w:val="center"/>
          </w:tcPr>
          <w:p w14:paraId="7A57F182" w14:textId="7C188CC3"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Zemlja</w:t>
            </w:r>
          </w:p>
        </w:tc>
        <w:tc>
          <w:tcPr>
            <w:tcW w:w="1265" w:type="dxa"/>
            <w:vAlign w:val="center"/>
          </w:tcPr>
          <w:p w14:paraId="46824581" w14:textId="3441568A" w:rsidR="00191E8E" w:rsidRPr="00BE5472" w:rsidRDefault="006E052A" w:rsidP="00191E8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Vrijednost</w:t>
            </w:r>
          </w:p>
          <w:p w14:paraId="1AD90A28" w14:textId="5A84D08B" w:rsidR="006E052A" w:rsidRPr="00BE5472" w:rsidRDefault="00191E8E"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marke</w:t>
            </w:r>
            <w:r w:rsidR="006E052A" w:rsidRPr="00BE5472">
              <w:rPr>
                <w:rFonts w:ascii="Times New Roman" w:hAnsi="Times New Roman" w:cs="Times New Roman"/>
                <w:sz w:val="24"/>
                <w:szCs w:val="24"/>
              </w:rPr>
              <w:t xml:space="preserve"> u 2024.</w:t>
            </w:r>
          </w:p>
        </w:tc>
        <w:tc>
          <w:tcPr>
            <w:tcW w:w="1265" w:type="dxa"/>
            <w:vAlign w:val="center"/>
          </w:tcPr>
          <w:p w14:paraId="136752D0"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Vrijednost marke u 2023.</w:t>
            </w:r>
          </w:p>
        </w:tc>
      </w:tr>
      <w:tr w:rsidR="006E052A" w:rsidRPr="00BE5472" w14:paraId="06322FD4" w14:textId="77777777" w:rsidTr="00FB165A">
        <w:trPr>
          <w:trHeight w:val="248"/>
          <w:jc w:val="center"/>
        </w:trPr>
        <w:tc>
          <w:tcPr>
            <w:tcW w:w="756" w:type="dxa"/>
            <w:vAlign w:val="center"/>
          </w:tcPr>
          <w:p w14:paraId="2E125E32" w14:textId="4284708B"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w:t>
            </w:r>
            <w:r w:rsidR="00E030AB" w:rsidRPr="00BE5472">
              <w:rPr>
                <w:rFonts w:ascii="Times New Roman" w:hAnsi="Times New Roman" w:cs="Times New Roman"/>
                <w:sz w:val="24"/>
                <w:szCs w:val="24"/>
              </w:rPr>
              <w:t>.</w:t>
            </w:r>
          </w:p>
        </w:tc>
        <w:tc>
          <w:tcPr>
            <w:tcW w:w="1016" w:type="dxa"/>
            <w:vAlign w:val="center"/>
          </w:tcPr>
          <w:p w14:paraId="11B46C79" w14:textId="6DDE6E5E"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w:t>
            </w:r>
            <w:r w:rsidR="00E030AB" w:rsidRPr="00BE5472">
              <w:rPr>
                <w:rFonts w:ascii="Times New Roman" w:hAnsi="Times New Roman" w:cs="Times New Roman"/>
                <w:sz w:val="24"/>
                <w:szCs w:val="24"/>
              </w:rPr>
              <w:t>.</w:t>
            </w:r>
          </w:p>
        </w:tc>
        <w:tc>
          <w:tcPr>
            <w:tcW w:w="1736" w:type="dxa"/>
            <w:vAlign w:val="center"/>
          </w:tcPr>
          <w:p w14:paraId="51B21C4C"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Hilton</w:t>
            </w:r>
          </w:p>
        </w:tc>
        <w:tc>
          <w:tcPr>
            <w:tcW w:w="1270" w:type="dxa"/>
            <w:vAlign w:val="center"/>
          </w:tcPr>
          <w:p w14:paraId="38F46E3F"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14362A2D"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11.564</w:t>
            </w:r>
          </w:p>
        </w:tc>
        <w:tc>
          <w:tcPr>
            <w:tcW w:w="1265" w:type="dxa"/>
            <w:vAlign w:val="center"/>
          </w:tcPr>
          <w:p w14:paraId="7CFCB82A"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11.746</w:t>
            </w:r>
          </w:p>
        </w:tc>
      </w:tr>
      <w:tr w:rsidR="006E052A" w:rsidRPr="00BE5472" w14:paraId="5A8B6CB1" w14:textId="77777777" w:rsidTr="00FB165A">
        <w:trPr>
          <w:trHeight w:val="239"/>
          <w:jc w:val="center"/>
        </w:trPr>
        <w:tc>
          <w:tcPr>
            <w:tcW w:w="756" w:type="dxa"/>
            <w:vAlign w:val="center"/>
          </w:tcPr>
          <w:p w14:paraId="4E618233" w14:textId="0418A101"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w:t>
            </w:r>
            <w:r w:rsidR="00E030AB" w:rsidRPr="00BE5472">
              <w:rPr>
                <w:rFonts w:ascii="Times New Roman" w:hAnsi="Times New Roman" w:cs="Times New Roman"/>
                <w:sz w:val="24"/>
                <w:szCs w:val="24"/>
              </w:rPr>
              <w:t>.</w:t>
            </w:r>
          </w:p>
        </w:tc>
        <w:tc>
          <w:tcPr>
            <w:tcW w:w="1016" w:type="dxa"/>
            <w:vAlign w:val="center"/>
          </w:tcPr>
          <w:p w14:paraId="0DCCC27C" w14:textId="093CFF3E"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w:t>
            </w:r>
            <w:r w:rsidR="00E030AB" w:rsidRPr="00BE5472">
              <w:rPr>
                <w:rFonts w:ascii="Times New Roman" w:hAnsi="Times New Roman" w:cs="Times New Roman"/>
                <w:sz w:val="24"/>
                <w:szCs w:val="24"/>
              </w:rPr>
              <w:t>.</w:t>
            </w:r>
          </w:p>
        </w:tc>
        <w:tc>
          <w:tcPr>
            <w:tcW w:w="1736" w:type="dxa"/>
            <w:vAlign w:val="center"/>
          </w:tcPr>
          <w:p w14:paraId="034DCE5E"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Hyat</w:t>
            </w:r>
          </w:p>
        </w:tc>
        <w:tc>
          <w:tcPr>
            <w:tcW w:w="1270" w:type="dxa"/>
            <w:vAlign w:val="center"/>
          </w:tcPr>
          <w:p w14:paraId="5AF28BEB"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25EE90D0"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6.029</w:t>
            </w:r>
          </w:p>
        </w:tc>
        <w:tc>
          <w:tcPr>
            <w:tcW w:w="1265" w:type="dxa"/>
            <w:vAlign w:val="center"/>
          </w:tcPr>
          <w:p w14:paraId="4C364F42"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6.072</w:t>
            </w:r>
          </w:p>
        </w:tc>
      </w:tr>
      <w:tr w:rsidR="006E052A" w:rsidRPr="00BE5472" w14:paraId="139F16FC" w14:textId="77777777" w:rsidTr="00FB165A">
        <w:trPr>
          <w:trHeight w:val="239"/>
          <w:jc w:val="center"/>
        </w:trPr>
        <w:tc>
          <w:tcPr>
            <w:tcW w:w="756" w:type="dxa"/>
            <w:vAlign w:val="center"/>
          </w:tcPr>
          <w:p w14:paraId="31D5BAB6" w14:textId="3FE54EAC"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w:t>
            </w:r>
            <w:r w:rsidR="00E030AB" w:rsidRPr="00BE5472">
              <w:rPr>
                <w:rFonts w:ascii="Times New Roman" w:hAnsi="Times New Roman" w:cs="Times New Roman"/>
                <w:sz w:val="24"/>
                <w:szCs w:val="24"/>
              </w:rPr>
              <w:t>.</w:t>
            </w:r>
          </w:p>
        </w:tc>
        <w:tc>
          <w:tcPr>
            <w:tcW w:w="1016" w:type="dxa"/>
            <w:vAlign w:val="center"/>
          </w:tcPr>
          <w:p w14:paraId="6F68ADFC" w14:textId="5B07F5DF"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w:t>
            </w:r>
            <w:r w:rsidR="00E030AB" w:rsidRPr="00BE5472">
              <w:rPr>
                <w:rFonts w:ascii="Times New Roman" w:hAnsi="Times New Roman" w:cs="Times New Roman"/>
                <w:sz w:val="24"/>
                <w:szCs w:val="24"/>
              </w:rPr>
              <w:t>.</w:t>
            </w:r>
          </w:p>
        </w:tc>
        <w:tc>
          <w:tcPr>
            <w:tcW w:w="1736" w:type="dxa"/>
            <w:vAlign w:val="center"/>
          </w:tcPr>
          <w:p w14:paraId="1DE77C88"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Hampton Inn</w:t>
            </w:r>
          </w:p>
        </w:tc>
        <w:tc>
          <w:tcPr>
            <w:tcW w:w="1270" w:type="dxa"/>
            <w:vAlign w:val="center"/>
          </w:tcPr>
          <w:p w14:paraId="54A13B1B"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48656282"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4.160</w:t>
            </w:r>
          </w:p>
        </w:tc>
        <w:tc>
          <w:tcPr>
            <w:tcW w:w="1265" w:type="dxa"/>
            <w:vAlign w:val="center"/>
          </w:tcPr>
          <w:p w14:paraId="7480FE0C"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4.255</w:t>
            </w:r>
          </w:p>
        </w:tc>
      </w:tr>
      <w:tr w:rsidR="006E052A" w:rsidRPr="00BE5472" w14:paraId="277D7DFE" w14:textId="77777777" w:rsidTr="00FB165A">
        <w:trPr>
          <w:trHeight w:val="248"/>
          <w:jc w:val="center"/>
        </w:trPr>
        <w:tc>
          <w:tcPr>
            <w:tcW w:w="756" w:type="dxa"/>
            <w:vAlign w:val="center"/>
          </w:tcPr>
          <w:p w14:paraId="59418881" w14:textId="5B706099"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4</w:t>
            </w:r>
            <w:r w:rsidR="00E030AB" w:rsidRPr="00BE5472">
              <w:rPr>
                <w:rFonts w:ascii="Times New Roman" w:hAnsi="Times New Roman" w:cs="Times New Roman"/>
                <w:sz w:val="24"/>
                <w:szCs w:val="24"/>
              </w:rPr>
              <w:t>.</w:t>
            </w:r>
          </w:p>
        </w:tc>
        <w:tc>
          <w:tcPr>
            <w:tcW w:w="1016" w:type="dxa"/>
            <w:vAlign w:val="center"/>
          </w:tcPr>
          <w:p w14:paraId="421E973A" w14:textId="0136BFB4"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5</w:t>
            </w:r>
            <w:r w:rsidR="00E030AB" w:rsidRPr="00BE5472">
              <w:rPr>
                <w:rFonts w:ascii="Times New Roman" w:hAnsi="Times New Roman" w:cs="Times New Roman"/>
                <w:sz w:val="24"/>
                <w:szCs w:val="24"/>
              </w:rPr>
              <w:t>.</w:t>
            </w:r>
          </w:p>
        </w:tc>
        <w:tc>
          <w:tcPr>
            <w:tcW w:w="1736" w:type="dxa"/>
            <w:vAlign w:val="center"/>
          </w:tcPr>
          <w:p w14:paraId="2A9C6829"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Marriot</w:t>
            </w:r>
          </w:p>
        </w:tc>
        <w:tc>
          <w:tcPr>
            <w:tcW w:w="1270" w:type="dxa"/>
            <w:vAlign w:val="center"/>
          </w:tcPr>
          <w:p w14:paraId="4D54A970"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43F4FE89"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3.142</w:t>
            </w:r>
          </w:p>
        </w:tc>
        <w:tc>
          <w:tcPr>
            <w:tcW w:w="1265" w:type="dxa"/>
            <w:vAlign w:val="center"/>
          </w:tcPr>
          <w:p w14:paraId="28D5A73C"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3.066</w:t>
            </w:r>
          </w:p>
        </w:tc>
      </w:tr>
      <w:tr w:rsidR="006E052A" w:rsidRPr="00BE5472" w14:paraId="17D8F0F4" w14:textId="77777777" w:rsidTr="00FB165A">
        <w:trPr>
          <w:trHeight w:val="239"/>
          <w:jc w:val="center"/>
        </w:trPr>
        <w:tc>
          <w:tcPr>
            <w:tcW w:w="756" w:type="dxa"/>
            <w:vAlign w:val="center"/>
          </w:tcPr>
          <w:p w14:paraId="145740E8" w14:textId="3A0AC13F"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5</w:t>
            </w:r>
            <w:r w:rsidR="00E030AB" w:rsidRPr="00BE5472">
              <w:rPr>
                <w:rFonts w:ascii="Times New Roman" w:hAnsi="Times New Roman" w:cs="Times New Roman"/>
                <w:sz w:val="24"/>
                <w:szCs w:val="24"/>
              </w:rPr>
              <w:t>.</w:t>
            </w:r>
          </w:p>
        </w:tc>
        <w:tc>
          <w:tcPr>
            <w:tcW w:w="1016" w:type="dxa"/>
            <w:vAlign w:val="center"/>
          </w:tcPr>
          <w:p w14:paraId="7261D0A1" w14:textId="2C650202"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4</w:t>
            </w:r>
            <w:r w:rsidR="00E030AB" w:rsidRPr="00BE5472">
              <w:rPr>
                <w:rFonts w:ascii="Times New Roman" w:hAnsi="Times New Roman" w:cs="Times New Roman"/>
                <w:sz w:val="24"/>
                <w:szCs w:val="24"/>
              </w:rPr>
              <w:t>.</w:t>
            </w:r>
          </w:p>
        </w:tc>
        <w:tc>
          <w:tcPr>
            <w:tcW w:w="1736" w:type="dxa"/>
            <w:vAlign w:val="center"/>
          </w:tcPr>
          <w:p w14:paraId="2D8DB437"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Holiday Inn</w:t>
            </w:r>
          </w:p>
        </w:tc>
        <w:tc>
          <w:tcPr>
            <w:tcW w:w="1270" w:type="dxa"/>
            <w:vAlign w:val="center"/>
          </w:tcPr>
          <w:p w14:paraId="3047620C"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3D892573"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2.865</w:t>
            </w:r>
          </w:p>
        </w:tc>
        <w:tc>
          <w:tcPr>
            <w:tcW w:w="1265" w:type="dxa"/>
            <w:vAlign w:val="center"/>
          </w:tcPr>
          <w:p w14:paraId="516E845E"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3.746</w:t>
            </w:r>
          </w:p>
        </w:tc>
      </w:tr>
      <w:tr w:rsidR="006E052A" w:rsidRPr="00BE5472" w14:paraId="076F7E99" w14:textId="77777777" w:rsidTr="00FB165A">
        <w:trPr>
          <w:trHeight w:val="239"/>
          <w:jc w:val="center"/>
        </w:trPr>
        <w:tc>
          <w:tcPr>
            <w:tcW w:w="756" w:type="dxa"/>
            <w:vAlign w:val="center"/>
          </w:tcPr>
          <w:p w14:paraId="78A07C35" w14:textId="49A46DE8"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w:t>
            </w:r>
            <w:r w:rsidR="00E030AB" w:rsidRPr="00BE5472">
              <w:rPr>
                <w:rFonts w:ascii="Times New Roman" w:hAnsi="Times New Roman" w:cs="Times New Roman"/>
                <w:sz w:val="24"/>
                <w:szCs w:val="24"/>
              </w:rPr>
              <w:t>.</w:t>
            </w:r>
          </w:p>
        </w:tc>
        <w:tc>
          <w:tcPr>
            <w:tcW w:w="1016" w:type="dxa"/>
            <w:vAlign w:val="center"/>
          </w:tcPr>
          <w:p w14:paraId="3FC9E69A" w14:textId="44194189"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7</w:t>
            </w:r>
            <w:r w:rsidR="00E030AB" w:rsidRPr="00BE5472">
              <w:rPr>
                <w:rFonts w:ascii="Times New Roman" w:hAnsi="Times New Roman" w:cs="Times New Roman"/>
                <w:sz w:val="24"/>
                <w:szCs w:val="24"/>
              </w:rPr>
              <w:t>.</w:t>
            </w:r>
          </w:p>
        </w:tc>
        <w:tc>
          <w:tcPr>
            <w:tcW w:w="1736" w:type="dxa"/>
            <w:vAlign w:val="center"/>
          </w:tcPr>
          <w:p w14:paraId="3FA08AC5"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Double Tree</w:t>
            </w:r>
          </w:p>
        </w:tc>
        <w:tc>
          <w:tcPr>
            <w:tcW w:w="1270" w:type="dxa"/>
            <w:vAlign w:val="center"/>
          </w:tcPr>
          <w:p w14:paraId="0CF885D4"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3532DCD3"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2.127</w:t>
            </w:r>
          </w:p>
        </w:tc>
        <w:tc>
          <w:tcPr>
            <w:tcW w:w="1265" w:type="dxa"/>
            <w:vAlign w:val="center"/>
          </w:tcPr>
          <w:p w14:paraId="7B4E5713"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2.023</w:t>
            </w:r>
          </w:p>
        </w:tc>
      </w:tr>
      <w:tr w:rsidR="006E052A" w:rsidRPr="00BE5472" w14:paraId="43105A29" w14:textId="77777777" w:rsidTr="00FB165A">
        <w:trPr>
          <w:trHeight w:val="239"/>
          <w:jc w:val="center"/>
        </w:trPr>
        <w:tc>
          <w:tcPr>
            <w:tcW w:w="756" w:type="dxa"/>
            <w:vAlign w:val="center"/>
          </w:tcPr>
          <w:p w14:paraId="5B586F73" w14:textId="06AF3605"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7</w:t>
            </w:r>
            <w:r w:rsidR="00E030AB" w:rsidRPr="00BE5472">
              <w:rPr>
                <w:rFonts w:ascii="Times New Roman" w:hAnsi="Times New Roman" w:cs="Times New Roman"/>
                <w:sz w:val="24"/>
                <w:szCs w:val="24"/>
              </w:rPr>
              <w:t>.</w:t>
            </w:r>
          </w:p>
        </w:tc>
        <w:tc>
          <w:tcPr>
            <w:tcW w:w="1016" w:type="dxa"/>
            <w:vAlign w:val="center"/>
          </w:tcPr>
          <w:p w14:paraId="6AB86DA2" w14:textId="17F3FFF6"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w:t>
            </w:r>
            <w:r w:rsidR="00E030AB" w:rsidRPr="00BE5472">
              <w:rPr>
                <w:rFonts w:ascii="Times New Roman" w:hAnsi="Times New Roman" w:cs="Times New Roman"/>
                <w:sz w:val="24"/>
                <w:szCs w:val="24"/>
              </w:rPr>
              <w:t>.</w:t>
            </w:r>
          </w:p>
        </w:tc>
        <w:tc>
          <w:tcPr>
            <w:tcW w:w="1736" w:type="dxa"/>
            <w:vAlign w:val="center"/>
          </w:tcPr>
          <w:p w14:paraId="4052DE68"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Shangri-La</w:t>
            </w:r>
          </w:p>
        </w:tc>
        <w:tc>
          <w:tcPr>
            <w:tcW w:w="1270" w:type="dxa"/>
            <w:vAlign w:val="center"/>
          </w:tcPr>
          <w:p w14:paraId="462B0D9A" w14:textId="2A26608F" w:rsidR="006E052A" w:rsidRPr="00BE5472" w:rsidRDefault="00D57990"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Kina</w:t>
            </w:r>
          </w:p>
        </w:tc>
        <w:tc>
          <w:tcPr>
            <w:tcW w:w="1265" w:type="dxa"/>
            <w:vAlign w:val="center"/>
          </w:tcPr>
          <w:p w14:paraId="7CB5B445"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1.956</w:t>
            </w:r>
          </w:p>
        </w:tc>
        <w:tc>
          <w:tcPr>
            <w:tcW w:w="1265" w:type="dxa"/>
            <w:vAlign w:val="center"/>
          </w:tcPr>
          <w:p w14:paraId="61D1A769"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2.117</w:t>
            </w:r>
          </w:p>
        </w:tc>
      </w:tr>
      <w:tr w:rsidR="006E052A" w:rsidRPr="00BE5472" w14:paraId="3CE63C3E" w14:textId="77777777" w:rsidTr="00FB165A">
        <w:trPr>
          <w:trHeight w:val="248"/>
          <w:jc w:val="center"/>
        </w:trPr>
        <w:tc>
          <w:tcPr>
            <w:tcW w:w="756" w:type="dxa"/>
            <w:vAlign w:val="center"/>
          </w:tcPr>
          <w:p w14:paraId="655FA9C3" w14:textId="0AB81365"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8</w:t>
            </w:r>
            <w:r w:rsidR="00E030AB" w:rsidRPr="00BE5472">
              <w:rPr>
                <w:rFonts w:ascii="Times New Roman" w:hAnsi="Times New Roman" w:cs="Times New Roman"/>
                <w:sz w:val="24"/>
                <w:szCs w:val="24"/>
              </w:rPr>
              <w:t>.</w:t>
            </w:r>
          </w:p>
        </w:tc>
        <w:tc>
          <w:tcPr>
            <w:tcW w:w="1016" w:type="dxa"/>
            <w:vAlign w:val="center"/>
          </w:tcPr>
          <w:p w14:paraId="22009A00" w14:textId="52CCB84C"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9</w:t>
            </w:r>
            <w:r w:rsidR="00E030AB" w:rsidRPr="00BE5472">
              <w:rPr>
                <w:rFonts w:ascii="Times New Roman" w:hAnsi="Times New Roman" w:cs="Times New Roman"/>
                <w:sz w:val="24"/>
                <w:szCs w:val="24"/>
              </w:rPr>
              <w:t>.</w:t>
            </w:r>
          </w:p>
        </w:tc>
        <w:tc>
          <w:tcPr>
            <w:tcW w:w="1736" w:type="dxa"/>
            <w:vAlign w:val="center"/>
          </w:tcPr>
          <w:p w14:paraId="0C20A4A8"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Embassy Suites</w:t>
            </w:r>
          </w:p>
        </w:tc>
        <w:tc>
          <w:tcPr>
            <w:tcW w:w="1270" w:type="dxa"/>
            <w:vAlign w:val="center"/>
          </w:tcPr>
          <w:p w14:paraId="5B596C6A"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10A0FEDE"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1.326</w:t>
            </w:r>
          </w:p>
        </w:tc>
        <w:tc>
          <w:tcPr>
            <w:tcW w:w="1265" w:type="dxa"/>
            <w:vAlign w:val="center"/>
          </w:tcPr>
          <w:p w14:paraId="0B5E54C2"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1.371</w:t>
            </w:r>
          </w:p>
        </w:tc>
      </w:tr>
      <w:tr w:rsidR="006E052A" w:rsidRPr="00BE5472" w14:paraId="4F71ED7E" w14:textId="77777777" w:rsidTr="00FB165A">
        <w:trPr>
          <w:trHeight w:val="239"/>
          <w:jc w:val="center"/>
        </w:trPr>
        <w:tc>
          <w:tcPr>
            <w:tcW w:w="756" w:type="dxa"/>
            <w:vAlign w:val="center"/>
          </w:tcPr>
          <w:p w14:paraId="67A1DEFA" w14:textId="7A71EFBD"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9</w:t>
            </w:r>
            <w:r w:rsidR="00E030AB" w:rsidRPr="00BE5472">
              <w:rPr>
                <w:rFonts w:ascii="Times New Roman" w:hAnsi="Times New Roman" w:cs="Times New Roman"/>
                <w:sz w:val="24"/>
                <w:szCs w:val="24"/>
              </w:rPr>
              <w:t>.</w:t>
            </w:r>
          </w:p>
        </w:tc>
        <w:tc>
          <w:tcPr>
            <w:tcW w:w="1016" w:type="dxa"/>
            <w:vAlign w:val="center"/>
          </w:tcPr>
          <w:p w14:paraId="47F40F76" w14:textId="12C714B4"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8</w:t>
            </w:r>
            <w:r w:rsidR="00E030AB" w:rsidRPr="00BE5472">
              <w:rPr>
                <w:rFonts w:ascii="Times New Roman" w:hAnsi="Times New Roman" w:cs="Times New Roman"/>
                <w:sz w:val="24"/>
                <w:szCs w:val="24"/>
              </w:rPr>
              <w:t>.</w:t>
            </w:r>
          </w:p>
        </w:tc>
        <w:tc>
          <w:tcPr>
            <w:tcW w:w="1736" w:type="dxa"/>
            <w:vAlign w:val="center"/>
          </w:tcPr>
          <w:p w14:paraId="7901F842"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Sheraton</w:t>
            </w:r>
          </w:p>
        </w:tc>
        <w:tc>
          <w:tcPr>
            <w:tcW w:w="1270" w:type="dxa"/>
            <w:vAlign w:val="center"/>
          </w:tcPr>
          <w:p w14:paraId="5B9DE660"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539BC804"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1.144</w:t>
            </w:r>
          </w:p>
        </w:tc>
        <w:tc>
          <w:tcPr>
            <w:tcW w:w="1265" w:type="dxa"/>
            <w:vAlign w:val="center"/>
          </w:tcPr>
          <w:p w14:paraId="1A5524D0"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1.612</w:t>
            </w:r>
          </w:p>
        </w:tc>
      </w:tr>
      <w:tr w:rsidR="006E052A" w:rsidRPr="00BE5472" w14:paraId="7B59D752" w14:textId="77777777" w:rsidTr="00FB165A">
        <w:trPr>
          <w:trHeight w:val="239"/>
          <w:jc w:val="center"/>
        </w:trPr>
        <w:tc>
          <w:tcPr>
            <w:tcW w:w="756" w:type="dxa"/>
            <w:vAlign w:val="center"/>
          </w:tcPr>
          <w:p w14:paraId="60B0E1E0" w14:textId="00072844"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10</w:t>
            </w:r>
            <w:r w:rsidR="00E030AB" w:rsidRPr="00BE5472">
              <w:rPr>
                <w:rFonts w:ascii="Times New Roman" w:hAnsi="Times New Roman" w:cs="Times New Roman"/>
                <w:sz w:val="24"/>
                <w:szCs w:val="24"/>
              </w:rPr>
              <w:t>.</w:t>
            </w:r>
          </w:p>
        </w:tc>
        <w:tc>
          <w:tcPr>
            <w:tcW w:w="1016" w:type="dxa"/>
            <w:vAlign w:val="center"/>
          </w:tcPr>
          <w:p w14:paraId="7CD625D0" w14:textId="2DA05CE5"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11</w:t>
            </w:r>
            <w:r w:rsidR="00E030AB" w:rsidRPr="00BE5472">
              <w:rPr>
                <w:rFonts w:ascii="Times New Roman" w:hAnsi="Times New Roman" w:cs="Times New Roman"/>
                <w:sz w:val="24"/>
                <w:szCs w:val="24"/>
              </w:rPr>
              <w:t>.</w:t>
            </w:r>
          </w:p>
        </w:tc>
        <w:tc>
          <w:tcPr>
            <w:tcW w:w="1736" w:type="dxa"/>
            <w:vAlign w:val="center"/>
          </w:tcPr>
          <w:p w14:paraId="3E759BCB"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Comfort</w:t>
            </w:r>
          </w:p>
        </w:tc>
        <w:tc>
          <w:tcPr>
            <w:tcW w:w="1270" w:type="dxa"/>
            <w:vAlign w:val="center"/>
          </w:tcPr>
          <w:p w14:paraId="40E67EB5"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SAD</w:t>
            </w:r>
          </w:p>
        </w:tc>
        <w:tc>
          <w:tcPr>
            <w:tcW w:w="1265" w:type="dxa"/>
            <w:vAlign w:val="center"/>
          </w:tcPr>
          <w:p w14:paraId="6597B5ED"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1.120</w:t>
            </w:r>
          </w:p>
        </w:tc>
        <w:tc>
          <w:tcPr>
            <w:tcW w:w="1265" w:type="dxa"/>
            <w:vAlign w:val="center"/>
          </w:tcPr>
          <w:p w14:paraId="082B2C94" w14:textId="77777777" w:rsidR="006E052A" w:rsidRPr="00BE5472" w:rsidRDefault="006E052A" w:rsidP="00043707">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n/p</w:t>
            </w:r>
          </w:p>
        </w:tc>
      </w:tr>
    </w:tbl>
    <w:p w14:paraId="1899C2F6" w14:textId="77777777" w:rsidR="00852F1F" w:rsidRPr="00BE5472" w:rsidRDefault="006E052A" w:rsidP="00852F1F">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w:t>
      </w:r>
      <w:r w:rsidRPr="00BE5472">
        <w:rPr>
          <w:rFonts w:ascii="Times New Roman" w:hAnsi="Times New Roman" w:cs="Times New Roman"/>
          <w:i/>
          <w:iCs/>
          <w:sz w:val="24"/>
          <w:szCs w:val="24"/>
        </w:rPr>
        <w:t xml:space="preserve">Brand Finance </w:t>
      </w:r>
      <w:r w:rsidRPr="00BE5472">
        <w:rPr>
          <w:rFonts w:ascii="Times New Roman" w:hAnsi="Times New Roman" w:cs="Times New Roman"/>
          <w:sz w:val="24"/>
          <w:szCs w:val="24"/>
        </w:rPr>
        <w:t xml:space="preserve">(2024). </w:t>
      </w:r>
      <w:r w:rsidRPr="00BE5472">
        <w:rPr>
          <w:rFonts w:ascii="Times New Roman" w:hAnsi="Times New Roman" w:cs="Times New Roman"/>
          <w:i/>
          <w:iCs/>
          <w:sz w:val="24"/>
          <w:szCs w:val="24"/>
        </w:rPr>
        <w:t xml:space="preserve">Brand Finance Hotels </w:t>
      </w:r>
      <w:r w:rsidRPr="00BE5472">
        <w:rPr>
          <w:rFonts w:ascii="Times New Roman" w:hAnsi="Times New Roman" w:cs="Times New Roman"/>
          <w:sz w:val="24"/>
          <w:szCs w:val="24"/>
        </w:rPr>
        <w:t xml:space="preserve">50 2024. </w:t>
      </w:r>
      <w:r w:rsidRPr="00BE5472">
        <w:rPr>
          <w:rFonts w:ascii="Times New Roman" w:hAnsi="Times New Roman" w:cs="Times New Roman"/>
          <w:i/>
          <w:iCs/>
          <w:sz w:val="24"/>
          <w:szCs w:val="24"/>
        </w:rPr>
        <w:t>Suite success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Hilton continues as the world’s most valuable hotel brand as overall sector growth slows</w:t>
      </w:r>
      <w:r w:rsidRPr="00BE5472">
        <w:rPr>
          <w:rFonts w:ascii="Times New Roman" w:hAnsi="Times New Roman" w:cs="Times New Roman"/>
          <w:sz w:val="24"/>
          <w:szCs w:val="24"/>
        </w:rPr>
        <w:t xml:space="preserve">. Dostupno na: </w:t>
      </w:r>
      <w:hyperlink r:id="rId30" w:history="1">
        <w:r w:rsidRPr="00BE5472">
          <w:rPr>
            <w:rFonts w:ascii="Times New Roman" w:hAnsi="Times New Roman" w:cs="Times New Roman"/>
            <w:color w:val="0563C1" w:themeColor="hyperlink"/>
            <w:sz w:val="24"/>
            <w:szCs w:val="24"/>
            <w:u w:val="single"/>
          </w:rPr>
          <w:t>https://brandirectory.com/rankings/hotels/</w:t>
        </w:r>
      </w:hyperlink>
      <w:r w:rsidRPr="00BE5472">
        <w:rPr>
          <w:rFonts w:ascii="Times New Roman" w:hAnsi="Times New Roman" w:cs="Times New Roman"/>
          <w:sz w:val="24"/>
          <w:szCs w:val="24"/>
        </w:rPr>
        <w:t xml:space="preserve"> Pristupljeno: 21. srpnja 2024.  i </w:t>
      </w:r>
      <w:r w:rsidRPr="00BE5472">
        <w:rPr>
          <w:rFonts w:ascii="Times New Roman" w:hAnsi="Times New Roman" w:cs="Times New Roman"/>
          <w:i/>
          <w:iCs/>
          <w:sz w:val="24"/>
          <w:szCs w:val="24"/>
        </w:rPr>
        <w:t>Brand Finance</w:t>
      </w:r>
      <w:r w:rsidRPr="00BE5472">
        <w:rPr>
          <w:rFonts w:ascii="Times New Roman" w:hAnsi="Times New Roman" w:cs="Times New Roman"/>
          <w:sz w:val="24"/>
          <w:szCs w:val="24"/>
        </w:rPr>
        <w:t xml:space="preserve"> (2023). </w:t>
      </w:r>
      <w:r w:rsidRPr="00BE5472">
        <w:rPr>
          <w:rFonts w:ascii="Times New Roman" w:hAnsi="Times New Roman" w:cs="Times New Roman"/>
          <w:i/>
          <w:iCs/>
          <w:sz w:val="24"/>
          <w:szCs w:val="24"/>
        </w:rPr>
        <w:t>Brand Finance Hotels 50 2023</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Charts</w:t>
      </w:r>
      <w:r w:rsidRPr="00BE5472">
        <w:rPr>
          <w:rFonts w:ascii="Times New Roman" w:hAnsi="Times New Roman" w:cs="Times New Roman"/>
          <w:sz w:val="24"/>
          <w:szCs w:val="24"/>
        </w:rPr>
        <w:t>. Dostupno na</w:t>
      </w:r>
      <w:r w:rsidR="00852F1F" w:rsidRPr="00BE5472">
        <w:rPr>
          <w:rFonts w:ascii="Times New Roman" w:hAnsi="Times New Roman" w:cs="Times New Roman"/>
          <w:sz w:val="24"/>
          <w:szCs w:val="24"/>
        </w:rPr>
        <w:t>:</w:t>
      </w:r>
    </w:p>
    <w:p w14:paraId="47415B44" w14:textId="704C92B4" w:rsidR="006E052A" w:rsidRDefault="006E052A" w:rsidP="00106E7A">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 </w:t>
      </w:r>
      <w:hyperlink r:id="rId31" w:history="1">
        <w:r w:rsidRPr="00BE5472">
          <w:rPr>
            <w:rFonts w:ascii="Times New Roman" w:hAnsi="Times New Roman" w:cs="Times New Roman"/>
            <w:color w:val="0563C1" w:themeColor="hyperlink"/>
            <w:sz w:val="24"/>
            <w:szCs w:val="24"/>
            <w:u w:val="single"/>
          </w:rPr>
          <w:t>https://brandirectory.com/rankings/hotels/2023/charts</w:t>
        </w:r>
      </w:hyperlink>
      <w:r w:rsidRPr="00BE5472">
        <w:rPr>
          <w:rFonts w:ascii="Times New Roman" w:hAnsi="Times New Roman" w:cs="Times New Roman"/>
          <w:sz w:val="24"/>
          <w:szCs w:val="24"/>
        </w:rPr>
        <w:t xml:space="preserve"> Pristupljeno: 21. srpnja 2024. </w:t>
      </w:r>
    </w:p>
    <w:p w14:paraId="19B25746" w14:textId="77777777" w:rsidR="00820A56" w:rsidRPr="00BE5472" w:rsidRDefault="00820A56" w:rsidP="00106E7A">
      <w:pPr>
        <w:spacing w:after="0" w:line="360" w:lineRule="auto"/>
        <w:jc w:val="both"/>
        <w:rPr>
          <w:rFonts w:ascii="Times New Roman" w:hAnsi="Times New Roman" w:cs="Times New Roman"/>
          <w:sz w:val="24"/>
          <w:szCs w:val="24"/>
        </w:rPr>
      </w:pPr>
    </w:p>
    <w:p w14:paraId="31571DAA"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Brand Finance</w:t>
      </w:r>
      <w:r w:rsidRPr="00BE5472">
        <w:rPr>
          <w:rFonts w:ascii="Times New Roman" w:hAnsi="Times New Roman" w:cs="Times New Roman"/>
          <w:sz w:val="24"/>
          <w:szCs w:val="24"/>
        </w:rPr>
        <w:t xml:space="preserve"> također koristi svoje istraživanje </w:t>
      </w:r>
      <w:r w:rsidRPr="00BE5472">
        <w:rPr>
          <w:rFonts w:ascii="Times New Roman" w:hAnsi="Times New Roman" w:cs="Times New Roman"/>
          <w:i/>
          <w:iCs/>
          <w:sz w:val="24"/>
          <w:szCs w:val="24"/>
        </w:rPr>
        <w:t>Global Brand Equity Monitor</w:t>
      </w:r>
      <w:r w:rsidRPr="00BE5472">
        <w:rPr>
          <w:rFonts w:ascii="Times New Roman" w:hAnsi="Times New Roman" w:cs="Times New Roman"/>
          <w:sz w:val="24"/>
          <w:szCs w:val="24"/>
        </w:rPr>
        <w:t xml:space="preserve"> (GBEM) za sastavljanje </w:t>
      </w:r>
      <w:r w:rsidRPr="00BE5472">
        <w:rPr>
          <w:rFonts w:ascii="Times New Roman" w:hAnsi="Times New Roman" w:cs="Times New Roman"/>
          <w:i/>
          <w:iCs/>
          <w:sz w:val="24"/>
          <w:szCs w:val="24"/>
        </w:rPr>
        <w:t>Indeksa percepcije održivosti</w:t>
      </w:r>
      <w:r w:rsidRPr="00BE5472">
        <w:rPr>
          <w:rFonts w:ascii="Times New Roman" w:hAnsi="Times New Roman" w:cs="Times New Roman"/>
          <w:sz w:val="24"/>
          <w:szCs w:val="24"/>
        </w:rPr>
        <w:t xml:space="preserve">. Ovim se indeksom utvrđuje: (1) kolika je uloga održivog i odgovornog poslovanja hotelskih poduzeća u poticanju lakšeg odabira potrošača/gosta za određenom hotelskom markom, odnosno (2) koja hotelska marka, prema njihovom odabiru je najviše predana održivom i odgovornom poslovanju, (3) udio vrijednosti marke dodijeljen percepciji održivosti i (4) rizičnu vrijednost koja predstavlja razliku između percepcije održivosti i aktualnih rezultata. Sukladno izračunu,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posjeduje najveću vrijednost percepcije održivosti </w:t>
      </w:r>
      <w:r w:rsidRPr="00BE5472">
        <w:rPr>
          <w:rFonts w:ascii="Times New Roman" w:hAnsi="Times New Roman" w:cs="Times New Roman"/>
          <w:sz w:val="24"/>
          <w:szCs w:val="24"/>
        </w:rPr>
        <w:lastRenderedPageBreak/>
        <w:t xml:space="preserve">(1.1 milijardi američkih dolara), a slijede ga </w:t>
      </w:r>
      <w:r w:rsidRPr="00BE5472">
        <w:rPr>
          <w:rFonts w:ascii="Times New Roman" w:hAnsi="Times New Roman" w:cs="Times New Roman"/>
          <w:i/>
          <w:iCs/>
          <w:sz w:val="24"/>
          <w:szCs w:val="24"/>
        </w:rPr>
        <w:t>Hyatt, Hampton Inn, Holiday Inn</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Double Tree</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Brand Finance</w:t>
      </w:r>
      <w:r w:rsidRPr="00BE5472">
        <w:rPr>
          <w:rFonts w:ascii="Times New Roman" w:hAnsi="Times New Roman" w:cs="Times New Roman"/>
          <w:sz w:val="24"/>
          <w:szCs w:val="24"/>
        </w:rPr>
        <w:t xml:space="preserve"> 2024).</w:t>
      </w:r>
    </w:p>
    <w:p w14:paraId="7619D40D"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Što se pak tiče ukupne prodaje najvećih hotelskih lanaca, </w:t>
      </w:r>
      <w:r w:rsidRPr="00BE5472">
        <w:rPr>
          <w:rFonts w:ascii="Times New Roman" w:hAnsi="Times New Roman" w:cs="Times New Roman"/>
          <w:i/>
          <w:iCs/>
          <w:sz w:val="24"/>
          <w:szCs w:val="24"/>
        </w:rPr>
        <w:t>Marriot International</w:t>
      </w:r>
      <w:r w:rsidRPr="00BE5472">
        <w:rPr>
          <w:rFonts w:ascii="Times New Roman" w:hAnsi="Times New Roman" w:cs="Times New Roman"/>
          <w:sz w:val="24"/>
          <w:szCs w:val="24"/>
        </w:rPr>
        <w:t xml:space="preserve"> je u 2023. godini realizirao ukupnu prodaju u vrijednosti od 24 milijarde američkih dolara (Statista 2024b).</w:t>
      </w:r>
    </w:p>
    <w:p w14:paraId="57E8F9FF"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Ako se želi sagledati ukupna veličina poduzeća prati se tržišna kapitalizacija. Od rujna 2023. godine globalno hotelsko poduzeće </w:t>
      </w:r>
      <w:r w:rsidRPr="00BE5472">
        <w:rPr>
          <w:rFonts w:ascii="Times New Roman" w:hAnsi="Times New Roman" w:cs="Times New Roman"/>
          <w:i/>
          <w:iCs/>
          <w:sz w:val="24"/>
          <w:szCs w:val="24"/>
        </w:rPr>
        <w:t>Marriott International</w:t>
      </w:r>
      <w:r w:rsidRPr="00BE5472">
        <w:rPr>
          <w:rFonts w:ascii="Times New Roman" w:hAnsi="Times New Roman" w:cs="Times New Roman"/>
          <w:sz w:val="24"/>
          <w:szCs w:val="24"/>
        </w:rPr>
        <w:t>, Inc. sa sjedištem u SAD-u, hotelsko je poduzeće s najvećom tržišnom kapitalizacijom</w:t>
      </w:r>
      <w:r w:rsidRPr="00BE5472">
        <w:rPr>
          <w:rFonts w:ascii="Times New Roman" w:hAnsi="Times New Roman" w:cs="Times New Roman"/>
          <w:sz w:val="24"/>
          <w:szCs w:val="24"/>
          <w:vertAlign w:val="superscript"/>
        </w:rPr>
        <w:footnoteReference w:id="2"/>
      </w:r>
      <w:r w:rsidRPr="00BE5472">
        <w:rPr>
          <w:rFonts w:ascii="Times New Roman" w:hAnsi="Times New Roman" w:cs="Times New Roman"/>
          <w:sz w:val="24"/>
          <w:szCs w:val="24"/>
        </w:rPr>
        <w:t xml:space="preserve"> u svijetu, odnosno najvećom ukupnom tržišnom vrijednosti nepromijenjenih dionica poduzeća. Tržišna kapitalizacija </w:t>
      </w:r>
      <w:r w:rsidRPr="00BE5472">
        <w:rPr>
          <w:rFonts w:ascii="Times New Roman" w:hAnsi="Times New Roman" w:cs="Times New Roman"/>
          <w:i/>
          <w:iCs/>
          <w:sz w:val="24"/>
          <w:szCs w:val="24"/>
        </w:rPr>
        <w:t>Marriotta</w:t>
      </w:r>
      <w:r w:rsidRPr="00BE5472">
        <w:rPr>
          <w:rFonts w:ascii="Times New Roman" w:hAnsi="Times New Roman" w:cs="Times New Roman"/>
          <w:sz w:val="24"/>
          <w:szCs w:val="24"/>
        </w:rPr>
        <w:t xml:space="preserve"> iznosila je gotovo 60,6 milijardi američkih dolara. Druga američka tvrtka </w:t>
      </w:r>
      <w:r w:rsidRPr="00BE5472">
        <w:rPr>
          <w:rFonts w:ascii="Times New Roman" w:hAnsi="Times New Roman" w:cs="Times New Roman"/>
          <w:i/>
          <w:iCs/>
          <w:sz w:val="24"/>
          <w:szCs w:val="24"/>
        </w:rPr>
        <w:t>Hilton Worldwide Holdings Inc.</w:t>
      </w:r>
      <w:r w:rsidRPr="00BE5472">
        <w:rPr>
          <w:rFonts w:ascii="Times New Roman" w:hAnsi="Times New Roman" w:cs="Times New Roman"/>
          <w:sz w:val="24"/>
          <w:szCs w:val="24"/>
        </w:rPr>
        <w:t xml:space="preserve"> slijedi na ljestvici s tržišnom kapitalizacijom od 40,4 milijarde američkih dolara (Statista 2024c). </w:t>
      </w:r>
    </w:p>
    <w:p w14:paraId="1FCB8E78" w14:textId="5962C8F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Kada se pak promatra ukupni portfelj globalnih hotelskih poduzeća onda se ističe Wyndham Hotels and Resorts sa svojih 9.059 objekata diljem svijeta. Slijedi ga Marriot i Choice Hotels International. Na Prikazu </w:t>
      </w:r>
      <w:r w:rsidR="00D95BE4" w:rsidRPr="00BE5472">
        <w:rPr>
          <w:rFonts w:ascii="Times New Roman" w:hAnsi="Times New Roman" w:cs="Times New Roman"/>
          <w:sz w:val="24"/>
          <w:szCs w:val="24"/>
        </w:rPr>
        <w:t>5</w:t>
      </w:r>
      <w:r w:rsidRPr="00BE5472">
        <w:rPr>
          <w:rFonts w:ascii="Times New Roman" w:hAnsi="Times New Roman" w:cs="Times New Roman"/>
          <w:sz w:val="24"/>
          <w:szCs w:val="24"/>
        </w:rPr>
        <w:t xml:space="preserve"> prikazano je </w:t>
      </w:r>
      <w:r w:rsidR="00053BCE" w:rsidRPr="00BE5472">
        <w:rPr>
          <w:rFonts w:ascii="Times New Roman" w:hAnsi="Times New Roman" w:cs="Times New Roman"/>
          <w:sz w:val="24"/>
          <w:szCs w:val="24"/>
        </w:rPr>
        <w:t>deset</w:t>
      </w:r>
      <w:r w:rsidRPr="00BE5472">
        <w:rPr>
          <w:rFonts w:ascii="Times New Roman" w:hAnsi="Times New Roman" w:cs="Times New Roman"/>
          <w:sz w:val="24"/>
          <w:szCs w:val="24"/>
        </w:rPr>
        <w:t xml:space="preserve"> najvećih hotelskih poduzeća prema ukupnom broju objekata u </w:t>
      </w:r>
      <w:r w:rsidR="00BE380A">
        <w:rPr>
          <w:rFonts w:ascii="Times New Roman" w:hAnsi="Times New Roman" w:cs="Times New Roman"/>
          <w:sz w:val="24"/>
          <w:szCs w:val="24"/>
        </w:rPr>
        <w:t xml:space="preserve">portfelju </w:t>
      </w:r>
      <w:r w:rsidR="006D7754">
        <w:rPr>
          <w:rFonts w:ascii="Times New Roman" w:hAnsi="Times New Roman" w:cs="Times New Roman"/>
          <w:sz w:val="24"/>
          <w:szCs w:val="24"/>
        </w:rPr>
        <w:t>u 2024. godini.</w:t>
      </w:r>
    </w:p>
    <w:p w14:paraId="23D365C6" w14:textId="77777777" w:rsidR="00820A56" w:rsidRDefault="00820A56" w:rsidP="006E052A">
      <w:pPr>
        <w:spacing w:after="120" w:line="360" w:lineRule="auto"/>
        <w:jc w:val="both"/>
        <w:rPr>
          <w:rFonts w:ascii="Times New Roman" w:hAnsi="Times New Roman" w:cs="Times New Roman"/>
          <w:sz w:val="24"/>
          <w:szCs w:val="24"/>
        </w:rPr>
        <w:sectPr w:rsidR="00820A56" w:rsidSect="00D03C2F">
          <w:pgSz w:w="12240" w:h="15840"/>
          <w:pgMar w:top="1440" w:right="1440" w:bottom="1440" w:left="1440" w:header="708" w:footer="708" w:gutter="0"/>
          <w:cols w:space="708"/>
          <w:docGrid w:linePitch="360"/>
        </w:sectPr>
      </w:pPr>
    </w:p>
    <w:p w14:paraId="5F255B79" w14:textId="46EE8AB2" w:rsidR="006E052A" w:rsidRPr="00C87D90" w:rsidRDefault="00C87D90" w:rsidP="00C87D90">
      <w:pPr>
        <w:pStyle w:val="Caption"/>
        <w:rPr>
          <w:rFonts w:ascii="Times New Roman" w:hAnsi="Times New Roman" w:cs="Times New Roman"/>
          <w:sz w:val="24"/>
          <w:szCs w:val="24"/>
        </w:rPr>
      </w:pPr>
      <w:bookmarkStart w:id="45" w:name="_Toc241865273"/>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5</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Najveća hotelska poduzeća prema broju objekata u portfelju</w:t>
      </w:r>
      <w:bookmarkEnd w:id="45"/>
    </w:p>
    <w:p w14:paraId="7B516CD7" w14:textId="77777777" w:rsidR="00106E7A"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427044E6" wp14:editId="1A0A9A6F">
            <wp:extent cx="5454502" cy="3051544"/>
            <wp:effectExtent l="0" t="0" r="13335" b="15875"/>
            <wp:docPr id="1" name="Grafikon 1">
              <a:extLst xmlns:a="http://schemas.openxmlformats.org/drawingml/2006/main">
                <a:ext uri="{FF2B5EF4-FFF2-40B4-BE49-F238E27FC236}">
                  <a16:creationId xmlns:a16="http://schemas.microsoft.com/office/drawing/2014/main" id="{8969C9F8-4ACB-4ED7-A566-00833AA54F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CC1BF51" w14:textId="24736E0B"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izrada autora prema: </w:t>
      </w:r>
      <w:bookmarkStart w:id="46" w:name="_Hlk172471881"/>
      <w:r w:rsidRPr="00BE5472">
        <w:rPr>
          <w:rFonts w:ascii="Times New Roman" w:hAnsi="Times New Roman" w:cs="Times New Roman"/>
          <w:sz w:val="24"/>
          <w:szCs w:val="24"/>
        </w:rPr>
        <w:t xml:space="preserve">Statista (2024d). </w:t>
      </w:r>
      <w:r w:rsidRPr="00BE5472">
        <w:rPr>
          <w:rFonts w:ascii="Times New Roman" w:hAnsi="Times New Roman" w:cs="Times New Roman"/>
          <w:bCs/>
          <w:i/>
          <w:iCs/>
          <w:sz w:val="24"/>
          <w:szCs w:val="24"/>
        </w:rPr>
        <w:t>Leading hotel companies worldwide as of June 2023</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by number of properties</w:t>
      </w:r>
      <w:r w:rsidRPr="00BE5472">
        <w:rPr>
          <w:rFonts w:ascii="Times New Roman" w:hAnsi="Times New Roman" w:cs="Times New Roman"/>
          <w:bCs/>
          <w:sz w:val="24"/>
          <w:szCs w:val="24"/>
        </w:rPr>
        <w:t xml:space="preserve">. Dostupno na: </w:t>
      </w:r>
      <w:hyperlink r:id="rId33" w:history="1">
        <w:r w:rsidRPr="00BE5472">
          <w:rPr>
            <w:rFonts w:ascii="Times New Roman" w:hAnsi="Times New Roman" w:cs="Times New Roman"/>
            <w:bCs/>
            <w:color w:val="0563C1" w:themeColor="hyperlink"/>
            <w:sz w:val="24"/>
            <w:szCs w:val="24"/>
            <w:u w:val="single"/>
          </w:rPr>
          <w:t>https://www.statista.com/statistics/197869/us-hotel-companies-by-number-of-properties-worldwide/</w:t>
        </w:r>
      </w:hyperlink>
      <w:r w:rsidRPr="00BE5472">
        <w:rPr>
          <w:rFonts w:ascii="Times New Roman" w:hAnsi="Times New Roman" w:cs="Times New Roman"/>
          <w:bCs/>
          <w:sz w:val="24"/>
          <w:szCs w:val="24"/>
        </w:rPr>
        <w:t xml:space="preserve"> Pristupljeno: 21. srpnja 2024.</w:t>
      </w:r>
      <w:r w:rsidRPr="00BE5472">
        <w:rPr>
          <w:rFonts w:ascii="Times New Roman" w:hAnsi="Times New Roman" w:cs="Times New Roman"/>
          <w:b/>
          <w:bCs/>
          <w:sz w:val="24"/>
          <w:szCs w:val="24"/>
        </w:rPr>
        <w:t xml:space="preserve"> </w:t>
      </w:r>
      <w:bookmarkEnd w:id="46"/>
    </w:p>
    <w:p w14:paraId="6FD55194" w14:textId="77777777" w:rsidR="006E052A" w:rsidRPr="00BE5472" w:rsidRDefault="006E052A" w:rsidP="006E052A">
      <w:pPr>
        <w:spacing w:after="120" w:line="360" w:lineRule="auto"/>
        <w:jc w:val="both"/>
        <w:rPr>
          <w:rFonts w:ascii="Times New Roman" w:hAnsi="Times New Roman" w:cs="Times New Roman"/>
          <w:sz w:val="24"/>
          <w:szCs w:val="24"/>
        </w:rPr>
      </w:pPr>
    </w:p>
    <w:p w14:paraId="65A77BB9" w14:textId="3E645916"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Globalna hotelska industrija visoko je konsolidirana. Deset najvećih hotelskih lanaca – kao što su </w:t>
      </w:r>
      <w:r w:rsidRPr="00BE5472">
        <w:rPr>
          <w:rFonts w:ascii="Times New Roman" w:hAnsi="Times New Roman" w:cs="Times New Roman"/>
          <w:i/>
          <w:iCs/>
          <w:sz w:val="24"/>
          <w:szCs w:val="24"/>
        </w:rPr>
        <w:t>Marriott International, Hilton, InterContinental Hotels Group</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IHG</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Hyatt i Accor</w:t>
      </w:r>
      <w:r w:rsidRPr="00BE5472">
        <w:rPr>
          <w:rFonts w:ascii="Times New Roman" w:hAnsi="Times New Roman" w:cs="Times New Roman"/>
          <w:sz w:val="24"/>
          <w:szCs w:val="24"/>
        </w:rPr>
        <w:t xml:space="preserve"> – 2022. godine su kontroliral</w:t>
      </w:r>
      <w:r w:rsidR="00053BCE" w:rsidRPr="00BE5472">
        <w:rPr>
          <w:rFonts w:ascii="Times New Roman" w:hAnsi="Times New Roman" w:cs="Times New Roman"/>
          <w:sz w:val="24"/>
          <w:szCs w:val="24"/>
        </w:rPr>
        <w:t>i</w:t>
      </w:r>
      <w:r w:rsidRPr="00BE5472">
        <w:rPr>
          <w:rFonts w:ascii="Times New Roman" w:hAnsi="Times New Roman" w:cs="Times New Roman"/>
          <w:sz w:val="24"/>
          <w:szCs w:val="24"/>
        </w:rPr>
        <w:t xml:space="preserve"> nevjerojatnih 74,77</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 globalnog tržišta (Martin 2024).</w:t>
      </w:r>
    </w:p>
    <w:p w14:paraId="654243D8" w14:textId="185C7060"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Konsolidacija i svojevrsna dominacija im omogućava da iskoriste prepoznatljivost svojih marki i programa lojalnosti, a sve kako bi privukli goste. Jedna od ključnih strategija koju koriste jest širenje marki, odnosno megamarki</w:t>
      </w:r>
      <w:r w:rsidR="00053BCE" w:rsidRPr="00BE5472">
        <w:rPr>
          <w:rFonts w:ascii="Times New Roman" w:hAnsi="Times New Roman" w:cs="Times New Roman"/>
          <w:sz w:val="24"/>
          <w:szCs w:val="24"/>
        </w:rPr>
        <w:t>,</w:t>
      </w:r>
      <w:r w:rsidRPr="00BE5472">
        <w:rPr>
          <w:rFonts w:ascii="Times New Roman" w:hAnsi="Times New Roman" w:cs="Times New Roman"/>
          <w:sz w:val="24"/>
          <w:szCs w:val="24"/>
        </w:rPr>
        <w:t xml:space="preserve"> gledajući broj objekata i smještajnih jedinica. Njihovi su distribucijski kanali vrlo učinkoviti jer im je cilj da budu što prihvatljiviji klijentima. Nudeći širok raspon marki kojima zadovoljavaju različite budžete, stilove putovanja i željene lokacije/destinacije, osiguravaju si pristup širem i većem tržištu u vrlo konkurentnom okruženju. Nadalje, ovakav pristup omoguć</w:t>
      </w:r>
      <w:r w:rsidR="00053BCE" w:rsidRPr="00BE5472">
        <w:rPr>
          <w:rFonts w:ascii="Times New Roman" w:hAnsi="Times New Roman" w:cs="Times New Roman"/>
          <w:sz w:val="24"/>
          <w:szCs w:val="24"/>
        </w:rPr>
        <w:t>uje</w:t>
      </w:r>
      <w:r w:rsidRPr="00BE5472">
        <w:rPr>
          <w:rFonts w:ascii="Times New Roman" w:hAnsi="Times New Roman" w:cs="Times New Roman"/>
          <w:sz w:val="24"/>
          <w:szCs w:val="24"/>
        </w:rPr>
        <w:t xml:space="preserve"> lakše upravljanje rizikom i nesigurnošću poslovanja. Ako, primjerice, dođe do ekonomske krize, oni uvijek imaju opcije marki kojima se lakše cjenovno prilagođavaju tržištu. </w:t>
      </w:r>
      <w:r w:rsidRPr="00BE5472">
        <w:rPr>
          <w:rFonts w:ascii="Times New Roman" w:hAnsi="Times New Roman" w:cs="Times New Roman"/>
          <w:i/>
          <w:sz w:val="24"/>
          <w:szCs w:val="24"/>
        </w:rPr>
        <w:t>Ne postoji takva stvar kao previše marki!</w:t>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 xml:space="preserve">There is no such thing as too </w:t>
      </w:r>
      <w:r w:rsidRPr="00BE5472">
        <w:rPr>
          <w:rFonts w:ascii="Times New Roman" w:hAnsi="Times New Roman" w:cs="Times New Roman"/>
          <w:i/>
          <w:sz w:val="24"/>
          <w:szCs w:val="24"/>
        </w:rPr>
        <w:lastRenderedPageBreak/>
        <w:t>many brands!</w:t>
      </w:r>
      <w:r w:rsidRPr="00BE5472">
        <w:rPr>
          <w:rFonts w:ascii="Times New Roman" w:hAnsi="Times New Roman" w:cs="Times New Roman"/>
          <w:sz w:val="24"/>
          <w:szCs w:val="24"/>
        </w:rPr>
        <w:t xml:space="preserve">) riječi su Tine Edmundson, voditeljice marki i luksuznog portfelja </w:t>
      </w:r>
      <w:r w:rsidRPr="00BE5472">
        <w:rPr>
          <w:rFonts w:ascii="Times New Roman" w:hAnsi="Times New Roman" w:cs="Times New Roman"/>
          <w:i/>
          <w:iCs/>
          <w:sz w:val="24"/>
          <w:szCs w:val="24"/>
        </w:rPr>
        <w:t>Marriot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International</w:t>
      </w:r>
      <w:r w:rsidRPr="00BE5472">
        <w:rPr>
          <w:rFonts w:ascii="Times New Roman" w:hAnsi="Times New Roman" w:cs="Times New Roman"/>
          <w:sz w:val="24"/>
          <w:szCs w:val="24"/>
        </w:rPr>
        <w:t xml:space="preserve"> koja smatra da su hotelski lanci konkurentniji </w:t>
      </w:r>
      <w:r w:rsidR="00053BCE" w:rsidRPr="00BE5472">
        <w:rPr>
          <w:rFonts w:ascii="Times New Roman" w:hAnsi="Times New Roman" w:cs="Times New Roman"/>
          <w:sz w:val="24"/>
          <w:szCs w:val="24"/>
        </w:rPr>
        <w:t>a</w:t>
      </w:r>
      <w:r w:rsidRPr="00BE5472">
        <w:rPr>
          <w:rFonts w:ascii="Times New Roman" w:hAnsi="Times New Roman" w:cs="Times New Roman"/>
          <w:sz w:val="24"/>
          <w:szCs w:val="24"/>
        </w:rPr>
        <w:t>ko posjeduju više marki (Ting 2018).</w:t>
      </w:r>
    </w:p>
    <w:p w14:paraId="3A3194EE" w14:textId="2D4FDFD4"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Većina velikih hotelskih lanaca ne posjeduje većinu hotela u svom portfelju, već s njima imaju ugovore o upravljanju ili franšizi. Danas većina velikih hotelskih poduzeća slijedi strategiju „lagane imovine“ (eng. </w:t>
      </w:r>
      <w:r w:rsidRPr="00BE5472">
        <w:rPr>
          <w:rFonts w:ascii="Times New Roman" w:hAnsi="Times New Roman" w:cs="Times New Roman"/>
          <w:i/>
          <w:sz w:val="24"/>
          <w:szCs w:val="24"/>
        </w:rPr>
        <w:t>asset light</w:t>
      </w:r>
      <w:r w:rsidRPr="00BE5472">
        <w:rPr>
          <w:rFonts w:ascii="Times New Roman" w:hAnsi="Times New Roman" w:cs="Times New Roman"/>
          <w:sz w:val="24"/>
          <w:szCs w:val="24"/>
        </w:rPr>
        <w:t>)</w:t>
      </w:r>
      <w:r w:rsidR="00053BCE" w:rsidRPr="00BE5472">
        <w:rPr>
          <w:rFonts w:ascii="Times New Roman" w:hAnsi="Times New Roman" w:cs="Times New Roman"/>
          <w:sz w:val="24"/>
          <w:szCs w:val="24"/>
        </w:rPr>
        <w:t>,</w:t>
      </w:r>
      <w:r w:rsidRPr="00BE5472">
        <w:rPr>
          <w:rFonts w:ascii="Times New Roman" w:hAnsi="Times New Roman" w:cs="Times New Roman"/>
          <w:sz w:val="24"/>
          <w:szCs w:val="24"/>
        </w:rPr>
        <w:t xml:space="preserve"> ostavljajući vlasništvo nad zgradama i nekretninama obiteljima, investicijskim poduzećima ili pojedincima. Za vlasnike nezavisnih hotela, širenje hotelskih marki istovremeno pruža priliku da se istaknu iz takve mase i veličine. </w:t>
      </w:r>
    </w:p>
    <w:p w14:paraId="1B2B31AD" w14:textId="77777777" w:rsidR="006E052A" w:rsidRPr="00BE5472" w:rsidRDefault="006E052A" w:rsidP="006E052A">
      <w:pPr>
        <w:spacing w:after="120" w:line="360" w:lineRule="auto"/>
        <w:jc w:val="both"/>
        <w:rPr>
          <w:rFonts w:ascii="Times New Roman" w:hAnsi="Times New Roman" w:cs="Times New Roman"/>
          <w:sz w:val="24"/>
          <w:szCs w:val="24"/>
        </w:rPr>
      </w:pPr>
    </w:p>
    <w:p w14:paraId="631D6AB3" w14:textId="19A4AB72" w:rsidR="006E052A" w:rsidRPr="00BE5472" w:rsidRDefault="006E052A" w:rsidP="003D13C0">
      <w:pPr>
        <w:pStyle w:val="Heading2"/>
        <w:rPr>
          <w:rFonts w:ascii="Times New Roman" w:hAnsi="Times New Roman" w:cs="Times New Roman"/>
        </w:rPr>
      </w:pPr>
      <w:bookmarkStart w:id="47" w:name="_Toc210381408"/>
      <w:bookmarkStart w:id="48" w:name="_Toc241865132"/>
      <w:r w:rsidRPr="00BE5472">
        <w:rPr>
          <w:rFonts w:ascii="Times New Roman" w:hAnsi="Times New Roman" w:cs="Times New Roman"/>
        </w:rPr>
        <w:t>2.3. H</w:t>
      </w:r>
      <w:bookmarkEnd w:id="47"/>
      <w:r w:rsidR="0048684D" w:rsidRPr="00BE5472">
        <w:rPr>
          <w:rFonts w:ascii="Times New Roman" w:hAnsi="Times New Roman" w:cs="Times New Roman"/>
        </w:rPr>
        <w:t>otelska industrija u Hrvatskoj</w:t>
      </w:r>
      <w:bookmarkEnd w:id="48"/>
      <w:r w:rsidR="0048684D" w:rsidRPr="00BE5472">
        <w:rPr>
          <w:rFonts w:ascii="Times New Roman" w:hAnsi="Times New Roman" w:cs="Times New Roman"/>
        </w:rPr>
        <w:t xml:space="preserve"> </w:t>
      </w:r>
      <w:r w:rsidRPr="00BE5472">
        <w:rPr>
          <w:rFonts w:ascii="Times New Roman" w:hAnsi="Times New Roman" w:cs="Times New Roman"/>
        </w:rPr>
        <w:t xml:space="preserve"> </w:t>
      </w:r>
    </w:p>
    <w:p w14:paraId="478A8311" w14:textId="77777777" w:rsidR="00BC3443" w:rsidRPr="00BE5472" w:rsidRDefault="00BC3443" w:rsidP="00BC3443">
      <w:pPr>
        <w:rPr>
          <w:rFonts w:ascii="Times New Roman" w:hAnsi="Times New Roman" w:cs="Times New Roman"/>
        </w:rPr>
      </w:pPr>
    </w:p>
    <w:p w14:paraId="7A933F59" w14:textId="5C792B6D"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Hrvatskom hotelskom industrijom dominira deset hotelskih poduzeća s bogatim portfeljem hotelskih objekata i kampova u prepoznatljivim turističkim destinacijama na Jadranu i u Zagrebu. To su, prvenstveno, velika hotelska poduzeća, </w:t>
      </w:r>
      <w:r w:rsidR="00053BCE" w:rsidRPr="00BE5472">
        <w:rPr>
          <w:rFonts w:ascii="Times New Roman" w:hAnsi="Times New Roman" w:cs="Times New Roman"/>
          <w:sz w:val="24"/>
          <w:szCs w:val="24"/>
        </w:rPr>
        <w:t>i</w:t>
      </w:r>
      <w:r w:rsidRPr="00BE5472">
        <w:rPr>
          <w:rFonts w:ascii="Times New Roman" w:hAnsi="Times New Roman" w:cs="Times New Roman"/>
          <w:sz w:val="24"/>
          <w:szCs w:val="24"/>
        </w:rPr>
        <w:t xml:space="preserve"> po prihodima i po dobiti </w:t>
      </w:r>
      <w:r w:rsidR="00053BCE" w:rsidRPr="00BE5472">
        <w:rPr>
          <w:rFonts w:ascii="Times New Roman" w:hAnsi="Times New Roman" w:cs="Times New Roman"/>
          <w:sz w:val="24"/>
          <w:szCs w:val="24"/>
        </w:rPr>
        <w:t>te</w:t>
      </w:r>
      <w:r w:rsidRPr="00BE5472">
        <w:rPr>
          <w:rFonts w:ascii="Times New Roman" w:hAnsi="Times New Roman" w:cs="Times New Roman"/>
          <w:sz w:val="24"/>
          <w:szCs w:val="24"/>
        </w:rPr>
        <w:t xml:space="preserve"> broju zaposlenih. </w:t>
      </w:r>
    </w:p>
    <w:p w14:paraId="4F233F46" w14:textId="3BF26555"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Hotelska industrija u Hrvatskoj doživljava dinamičan rast i razvoj, posebno u segmentu hotelskih poduzeća koja dominiraju u turističkoj ponudi zemlje. Unatoč izazovima pandemije COVID-19, hrvatska hotelska poduzeća pokazala su izuzetnu otpornost i prilagodljivost, čime su pridonijela stabilizaciji i ponovnom uzletu turističkog sektora. Velika hotelska poduzeća poput </w:t>
      </w:r>
      <w:r w:rsidRPr="00BE5472">
        <w:rPr>
          <w:rFonts w:ascii="Times New Roman" w:hAnsi="Times New Roman" w:cs="Times New Roman"/>
          <w:i/>
          <w:iCs/>
          <w:sz w:val="24"/>
          <w:szCs w:val="24"/>
        </w:rPr>
        <w:t>Valamara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Maistra Grupe</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Plave Lagune</w:t>
      </w:r>
      <w:r w:rsidRPr="00BE5472">
        <w:rPr>
          <w:rFonts w:ascii="Times New Roman" w:hAnsi="Times New Roman" w:cs="Times New Roman"/>
          <w:sz w:val="24"/>
          <w:szCs w:val="24"/>
        </w:rPr>
        <w:t xml:space="preserve"> nastavljaju s investicijama u modernizaciju i proširenje svojih kapaciteta. Usmjereni su prvenstveno na podizanje kvalitete usluge i zadovoljavanje sve zahtjevnijih gostiju. Uz kontinuirano ulaganje u infrastrukturu i razvoj inovativnih turističkih proizvoda i doživljaja, hotelska poduzeća u Hrvatskoj uvode održive modele poslovanja i digitalno transformiraju svoje poslovanje. To ih čini konkurentnijima na globalnom tržištu.</w:t>
      </w:r>
      <w:r w:rsidR="0027369E">
        <w:rPr>
          <w:rFonts w:ascii="Times New Roman" w:hAnsi="Times New Roman" w:cs="Times New Roman"/>
          <w:sz w:val="24"/>
          <w:szCs w:val="24"/>
        </w:rPr>
        <w:t xml:space="preserve"> </w:t>
      </w:r>
      <w:r w:rsidRPr="00BE5472">
        <w:rPr>
          <w:rFonts w:ascii="Times New Roman" w:hAnsi="Times New Roman" w:cs="Times New Roman"/>
          <w:sz w:val="24"/>
          <w:szCs w:val="24"/>
        </w:rPr>
        <w:t xml:space="preserve">Prije konkretne analize rezultata poslovanja vodećih hotelskih poduzeća u Hrvatskoj, predstavit će se ukratko opća slika hrvatskog turizma. </w:t>
      </w:r>
    </w:p>
    <w:p w14:paraId="6ACD9E27" w14:textId="15B93F8B" w:rsidR="00BC3443"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podacima Državnog zavoda za statistiku (2024) u Hrvatskoj je 2023. godine u komercijalnim smještajnim objektima ostvareno 19,5 milijuna dolazaka i 92,4 milijuna noćenja turista. To predstavlja povećanje za 9,7</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 dolazaka turista i za 2,6</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 noćenja u odnosu na godinu ranije. Najviše su dolazaka i noćenja ostvarili strani turisti. Hrvatska narodna banka (2024) u svom priopćenju naglašava značajan rast turističkih prihoda za cijelu 2023. godinu, s 13,1 mlrd. EUR u 2022. na 14,6 mlrd. EUR u 2023. godini. Prihodi od turizma su činili 19,6</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BDP-a, čime se bilježi </w:t>
      </w:r>
      <w:r w:rsidRPr="00BE5472">
        <w:rPr>
          <w:rFonts w:ascii="Times New Roman" w:hAnsi="Times New Roman" w:cs="Times New Roman"/>
          <w:sz w:val="24"/>
          <w:szCs w:val="24"/>
        </w:rPr>
        <w:lastRenderedPageBreak/>
        <w:t>rast od 1,49 mlrd. EUR ili 11,4</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w:t>
      </w:r>
      <w:r w:rsidR="004D37E0">
        <w:rPr>
          <w:rFonts w:ascii="Times New Roman" w:hAnsi="Times New Roman" w:cs="Times New Roman"/>
          <w:sz w:val="24"/>
          <w:szCs w:val="24"/>
        </w:rPr>
        <w:t xml:space="preserve"> </w:t>
      </w:r>
      <w:r w:rsidRPr="00BE5472">
        <w:rPr>
          <w:rFonts w:ascii="Times New Roman" w:hAnsi="Times New Roman" w:cs="Times New Roman"/>
          <w:sz w:val="24"/>
          <w:szCs w:val="24"/>
        </w:rPr>
        <w:t>Kretanje ukupnog volumena smještajnih kapaciteta u Republici Hrvatskoj od 2019. godine do kraja 2023. godine da</w:t>
      </w:r>
      <w:r w:rsidR="00053BCE" w:rsidRPr="00BE5472">
        <w:rPr>
          <w:rFonts w:ascii="Times New Roman" w:hAnsi="Times New Roman" w:cs="Times New Roman"/>
          <w:sz w:val="24"/>
          <w:szCs w:val="24"/>
        </w:rPr>
        <w:t>n</w:t>
      </w:r>
      <w:r w:rsidRPr="00BE5472">
        <w:rPr>
          <w:rFonts w:ascii="Times New Roman" w:hAnsi="Times New Roman" w:cs="Times New Roman"/>
          <w:sz w:val="24"/>
          <w:szCs w:val="24"/>
        </w:rPr>
        <w:t xml:space="preserve">o je na Prikazu </w:t>
      </w:r>
      <w:r w:rsidR="00223D5B" w:rsidRPr="00BE5472">
        <w:rPr>
          <w:rFonts w:ascii="Times New Roman" w:hAnsi="Times New Roman" w:cs="Times New Roman"/>
          <w:sz w:val="24"/>
          <w:szCs w:val="24"/>
        </w:rPr>
        <w:t>6</w:t>
      </w:r>
      <w:r w:rsidRPr="00BE5472">
        <w:rPr>
          <w:rFonts w:ascii="Times New Roman" w:hAnsi="Times New Roman" w:cs="Times New Roman"/>
          <w:sz w:val="24"/>
          <w:szCs w:val="24"/>
        </w:rPr>
        <w:t>.</w:t>
      </w:r>
    </w:p>
    <w:p w14:paraId="53ADEA3E" w14:textId="62C15FED" w:rsidR="006E052A" w:rsidRPr="00C87D90" w:rsidRDefault="00C87D90" w:rsidP="00C87D90">
      <w:pPr>
        <w:pStyle w:val="Caption"/>
        <w:rPr>
          <w:rFonts w:ascii="Times New Roman" w:hAnsi="Times New Roman" w:cs="Times New Roman"/>
          <w:sz w:val="24"/>
          <w:szCs w:val="24"/>
        </w:rPr>
      </w:pPr>
      <w:bookmarkStart w:id="49" w:name="_Toc241865274"/>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6</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xml:space="preserve">: Smještajni kapaciteti u Republici Hrvatskoj od 2019. </w:t>
      </w:r>
      <w:r w:rsidR="00053BCE" w:rsidRPr="00C87D90">
        <w:rPr>
          <w:rFonts w:ascii="Times New Roman" w:hAnsi="Times New Roman" w:cs="Times New Roman"/>
          <w:sz w:val="24"/>
          <w:szCs w:val="24"/>
        </w:rPr>
        <w:t>do</w:t>
      </w:r>
      <w:r w:rsidR="006E052A" w:rsidRPr="00C87D90">
        <w:rPr>
          <w:rFonts w:ascii="Times New Roman" w:hAnsi="Times New Roman" w:cs="Times New Roman"/>
          <w:sz w:val="24"/>
          <w:szCs w:val="24"/>
        </w:rPr>
        <w:t xml:space="preserve"> 2023. godine</w:t>
      </w:r>
      <w:bookmarkEnd w:id="49"/>
    </w:p>
    <w:p w14:paraId="52001CD9"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46DD25B2" wp14:editId="2CFBF183">
            <wp:extent cx="5905501" cy="4438650"/>
            <wp:effectExtent l="0" t="0" r="0" b="0"/>
            <wp:docPr id="2" name="Grafikon 2">
              <a:extLst xmlns:a="http://schemas.openxmlformats.org/drawingml/2006/main">
                <a:ext uri="{FF2B5EF4-FFF2-40B4-BE49-F238E27FC236}">
                  <a16:creationId xmlns:a16="http://schemas.microsoft.com/office/drawing/2014/main" id="{35D20002-B73F-406F-AF28-CE90F5326A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95F7FE1" w14:textId="77777777" w:rsidR="006E052A" w:rsidRPr="00BE5472" w:rsidRDefault="006E052A" w:rsidP="006E052A">
      <w:pPr>
        <w:spacing w:after="120" w:line="360" w:lineRule="auto"/>
        <w:jc w:val="both"/>
        <w:rPr>
          <w:rFonts w:ascii="Times New Roman" w:hAnsi="Times New Roman" w:cs="Times New Roman"/>
          <w:sz w:val="24"/>
          <w:szCs w:val="24"/>
        </w:rPr>
      </w:pPr>
      <w:bookmarkStart w:id="50" w:name="_Hlk173227064"/>
      <w:r w:rsidRPr="00BE5472">
        <w:rPr>
          <w:rFonts w:ascii="Times New Roman" w:hAnsi="Times New Roman" w:cs="Times New Roman"/>
          <w:sz w:val="24"/>
          <w:szCs w:val="24"/>
        </w:rPr>
        <w:t xml:space="preserve">Izvor: izrada autora prema: Hrvatska turistička zajednica (2024). </w:t>
      </w:r>
      <w:r w:rsidRPr="00BE5472">
        <w:rPr>
          <w:rFonts w:ascii="Times New Roman" w:hAnsi="Times New Roman" w:cs="Times New Roman"/>
          <w:i/>
          <w:sz w:val="24"/>
          <w:szCs w:val="24"/>
        </w:rPr>
        <w:t>Rezultati hrvatskog turizma u razdoblju 2019. – 2023. Zagreb</w:t>
      </w:r>
      <w:r w:rsidRPr="00BE5472">
        <w:rPr>
          <w:rFonts w:ascii="Times New Roman" w:hAnsi="Times New Roman" w:cs="Times New Roman"/>
          <w:sz w:val="24"/>
          <w:szCs w:val="24"/>
        </w:rPr>
        <w:t xml:space="preserve">: Hrvatska turistička zajednica, str. 4. </w:t>
      </w:r>
    </w:p>
    <w:bookmarkEnd w:id="50"/>
    <w:p w14:paraId="0FB9CCC8" w14:textId="72AC0BCB"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analizi, najveći broj kapaciteta nalazi se u domaćinstvu, nakon čega slijedi nekomercijalni smještaj (tzv. „vikendice“) pa kampovi. Hoteli zauzimaju četvrto mjesto prema ukupnom volumenu. U hotelima je 2023. godine bilo registrirano 180.388 kreveta. Ukupno je u Republici Hrvatskoj 2023. godine bilo registrirano 1.881.516 kreveta (11,3</w:t>
      </w:r>
      <w:r w:rsidR="00053BCE"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povećanje u odnosu na stanje 2019. godine). </w:t>
      </w:r>
    </w:p>
    <w:p w14:paraId="443DC0BF" w14:textId="6A5A3A6F" w:rsidR="00BC3443"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Kretanja ukupnog obujma smještajnih kapaciteta prema različitim vrstama smještajnih kapaciteta od 2019. do 2023. (razlika) ilustrirano je na Prikazu </w:t>
      </w:r>
      <w:r w:rsidR="00223D5B" w:rsidRPr="00BE5472">
        <w:rPr>
          <w:rFonts w:ascii="Times New Roman" w:hAnsi="Times New Roman" w:cs="Times New Roman"/>
          <w:sz w:val="24"/>
          <w:szCs w:val="24"/>
        </w:rPr>
        <w:t>7</w:t>
      </w:r>
      <w:r w:rsidRPr="00BE5472">
        <w:rPr>
          <w:rFonts w:ascii="Times New Roman" w:hAnsi="Times New Roman" w:cs="Times New Roman"/>
          <w:sz w:val="24"/>
          <w:szCs w:val="24"/>
        </w:rPr>
        <w:t>.</w:t>
      </w:r>
    </w:p>
    <w:p w14:paraId="292693FC" w14:textId="045B8660" w:rsidR="006E052A" w:rsidRPr="00C87D90" w:rsidRDefault="00C87D90" w:rsidP="00C87D90">
      <w:pPr>
        <w:pStyle w:val="Caption"/>
        <w:rPr>
          <w:rFonts w:ascii="Times New Roman" w:hAnsi="Times New Roman" w:cs="Times New Roman"/>
          <w:sz w:val="24"/>
          <w:szCs w:val="24"/>
        </w:rPr>
      </w:pPr>
      <w:bookmarkStart w:id="51" w:name="_Toc241865275"/>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7</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Ukupan broj kreveta prema vrstama smještajnih kapaciteta (razlika 2019. – 2023.)</w:t>
      </w:r>
      <w:bookmarkEnd w:id="51"/>
      <w:r w:rsidR="006E052A" w:rsidRPr="00C87D90">
        <w:rPr>
          <w:rFonts w:ascii="Times New Roman" w:hAnsi="Times New Roman" w:cs="Times New Roman"/>
          <w:sz w:val="24"/>
          <w:szCs w:val="24"/>
        </w:rPr>
        <w:t xml:space="preserve"> </w:t>
      </w:r>
    </w:p>
    <w:p w14:paraId="6A63944A" w14:textId="65062449" w:rsidR="00340B77" w:rsidRDefault="00DF18B7" w:rsidP="00DF18B7">
      <w:pPr>
        <w:spacing w:after="120" w:line="360" w:lineRule="auto"/>
        <w:jc w:val="center"/>
        <w:rPr>
          <w:rFonts w:ascii="Times New Roman" w:hAnsi="Times New Roman" w:cs="Times New Roman"/>
          <w:sz w:val="24"/>
          <w:szCs w:val="24"/>
        </w:rPr>
      </w:pPr>
      <w:r>
        <w:rPr>
          <w:noProof/>
        </w:rPr>
        <mc:AlternateContent>
          <mc:Choice Requires="cx4">
            <w:drawing>
              <wp:inline distT="0" distB="0" distL="0" distR="0" wp14:anchorId="37AAF330" wp14:editId="376ED774">
                <wp:extent cx="4410075" cy="3933825"/>
                <wp:effectExtent l="0" t="0" r="9525" b="9525"/>
                <wp:docPr id="2020776326" name="Chart 1">
                  <a:extLst xmlns:a="http://schemas.openxmlformats.org/drawingml/2006/main">
                    <a:ext uri="{FF2B5EF4-FFF2-40B4-BE49-F238E27FC236}">
                      <a16:creationId xmlns:a16="http://schemas.microsoft.com/office/drawing/2014/main" id="{74C2A647-BE9E-9C67-016C-053CECC1D3CD}"/>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35"/>
                  </a:graphicData>
                </a:graphic>
              </wp:inline>
            </w:drawing>
          </mc:Choice>
          <mc:Fallback>
            <w:drawing>
              <wp:inline distT="0" distB="0" distL="0" distR="0" wp14:anchorId="37AAF330" wp14:editId="376ED774">
                <wp:extent cx="4410075" cy="3933825"/>
                <wp:effectExtent l="0" t="0" r="9525" b="9525"/>
                <wp:docPr id="2020776326" name="Chart 1">
                  <a:extLst xmlns:a="http://schemas.openxmlformats.org/drawingml/2006/main">
                    <a:ext uri="{FF2B5EF4-FFF2-40B4-BE49-F238E27FC236}">
                      <a16:creationId xmlns:a16="http://schemas.microsoft.com/office/drawing/2014/main" id="{74C2A647-BE9E-9C67-016C-053CECC1D3CD}"/>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20776326" name="Chart 1">
                          <a:extLst>
                            <a:ext uri="{FF2B5EF4-FFF2-40B4-BE49-F238E27FC236}">
                              <a16:creationId xmlns:a16="http://schemas.microsoft.com/office/drawing/2014/main" id="{74C2A647-BE9E-9C67-016C-053CECC1D3CD}"/>
                            </a:ext>
                          </a:extLst>
                        </pic:cNvPr>
                        <pic:cNvPicPr>
                          <a:picLocks noGrp="1" noRot="1" noChangeAspect="1" noMove="1" noResize="1" noEditPoints="1" noAdjustHandles="1" noChangeArrowheads="1" noChangeShapeType="1"/>
                        </pic:cNvPicPr>
                      </pic:nvPicPr>
                      <pic:blipFill>
                        <a:blip r:embed="rId36"/>
                        <a:stretch>
                          <a:fillRect/>
                        </a:stretch>
                      </pic:blipFill>
                      <pic:spPr>
                        <a:xfrm>
                          <a:off x="0" y="0"/>
                          <a:ext cx="4410075" cy="3933825"/>
                        </a:xfrm>
                        <a:prstGeom prst="rect">
                          <a:avLst/>
                        </a:prstGeom>
                      </pic:spPr>
                    </pic:pic>
                  </a:graphicData>
                </a:graphic>
              </wp:inline>
            </w:drawing>
          </mc:Fallback>
        </mc:AlternateContent>
      </w:r>
    </w:p>
    <w:p w14:paraId="76833CCC" w14:textId="2D13C46F"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izrada autora prema: Hrvatska turistička zajednica (2024). </w:t>
      </w:r>
      <w:r w:rsidRPr="00BE5472">
        <w:rPr>
          <w:rFonts w:ascii="Times New Roman" w:hAnsi="Times New Roman" w:cs="Times New Roman"/>
          <w:i/>
          <w:sz w:val="24"/>
          <w:szCs w:val="24"/>
        </w:rPr>
        <w:t>Rezultati hrvatskog turizma u razdoblju 2019. – 2023. Zagreb</w:t>
      </w:r>
      <w:r w:rsidRPr="00BE5472">
        <w:rPr>
          <w:rFonts w:ascii="Times New Roman" w:hAnsi="Times New Roman" w:cs="Times New Roman"/>
          <w:sz w:val="24"/>
          <w:szCs w:val="24"/>
        </w:rPr>
        <w:t xml:space="preserve">: Hrvatska turistička zajednica, str. 5. </w:t>
      </w:r>
    </w:p>
    <w:p w14:paraId="25ACD7B6" w14:textId="6C47DC1F"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Hotelska su poduzeća neznatno povećala ukupan broj kreveta u svojim hotelima. U promatranom razdoblju najveće se povećanje dogodilo u nekomercijalnom smještaju, tzv. „vikendicama“ kao posljedica povećane gradnje, prvenstveno duž jadranske obale. Hotelska poduzeća ulažu u svoje objekte, no povećavaju se sobe, dodaje se sadržaj, a broj kreveta ostaje, načelno, isti. Istra je turistički klaster koji kontinuirano bilježi najveći volumen smještajnih kapaciteta u hotelima, a Istra je također sjedište najvećih hotelskih poduzeća u Hrvatskoj. Nakon Istre, izdvajaju se dva velika turistička klastera (prema broju smještajnih kapaciteta u hotelima), a tu su Dalmacija – Split i Kvarner (Hrvatska turistička zajednica 2024: 8). Analiza Hrvatske turističke zajednice (2024: 9) ukazuje da hotelska poduzeća u svom portfelju imaju najviše kapaciteta registriranih višom ili visokom kategorijom. U promatranom se razdoblju njihov volumen kontinuirano povećavao. Ispravno je reći da se posljednjih 20 godina kontinuirano ulaže u hotelske kapacitete na način da se oni ponovno kategoriziraju sukladno investicijskim ulaganjima hotelskih poduzeća. Ni COVID </w:t>
      </w:r>
      <w:r w:rsidRPr="00BE5472">
        <w:rPr>
          <w:rFonts w:ascii="Times New Roman" w:hAnsi="Times New Roman" w:cs="Times New Roman"/>
          <w:sz w:val="24"/>
          <w:szCs w:val="24"/>
        </w:rPr>
        <w:lastRenderedPageBreak/>
        <w:t>-19 pandemija nije omela hotelska poduzeća da ulažu u svoje objekte. U razdoblju od 2019. do 2023. godine bilježi se povećanje od 4,4</w:t>
      </w:r>
      <w:r w:rsidR="009765DA" w:rsidRPr="00BE5472">
        <w:rPr>
          <w:rFonts w:ascii="Times New Roman" w:hAnsi="Times New Roman" w:cs="Times New Roman"/>
          <w:sz w:val="24"/>
          <w:szCs w:val="24"/>
        </w:rPr>
        <w:t xml:space="preserve"> </w:t>
      </w:r>
      <w:r w:rsidRPr="00BE5472">
        <w:rPr>
          <w:rFonts w:ascii="Times New Roman" w:hAnsi="Times New Roman" w:cs="Times New Roman"/>
          <w:sz w:val="24"/>
          <w:szCs w:val="24"/>
        </w:rPr>
        <w:t>% kapaciteta više i visoke kategorije. Srednji vrijednosni segment opada (6</w:t>
      </w:r>
      <w:r w:rsidR="009765DA" w:rsidRPr="00BE5472">
        <w:rPr>
          <w:rFonts w:ascii="Times New Roman" w:hAnsi="Times New Roman" w:cs="Times New Roman"/>
          <w:sz w:val="24"/>
          <w:szCs w:val="24"/>
        </w:rPr>
        <w:t xml:space="preserve"> </w:t>
      </w:r>
      <w:r w:rsidRPr="00BE5472">
        <w:rPr>
          <w:rFonts w:ascii="Times New Roman" w:hAnsi="Times New Roman" w:cs="Times New Roman"/>
          <w:sz w:val="24"/>
          <w:szCs w:val="24"/>
        </w:rPr>
        <w:t>% pad) u promatranom razdoblju</w:t>
      </w:r>
      <w:r w:rsidR="009765DA" w:rsidRPr="00BE5472">
        <w:rPr>
          <w:rFonts w:ascii="Times New Roman" w:hAnsi="Times New Roman" w:cs="Times New Roman"/>
          <w:sz w:val="24"/>
          <w:szCs w:val="24"/>
        </w:rPr>
        <w:t>.</w:t>
      </w:r>
      <w:r w:rsidRPr="00BE5472">
        <w:rPr>
          <w:rFonts w:ascii="Times New Roman" w:hAnsi="Times New Roman" w:cs="Times New Roman"/>
          <w:sz w:val="24"/>
          <w:szCs w:val="24"/>
        </w:rPr>
        <w:t xml:space="preserve"> kao i onaj niske/niže kategorije (4</w:t>
      </w:r>
      <w:r w:rsidR="009765DA"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pad). Ministarstvo turizma i sporta Republike Hrvatske redovno objavljuje popis kategoriziranih smještajnih objekata na području Republike Hrvatske. Prema posljednjoj verziji od 14. lipnja 2024. godine u Hrvatskoj je bilo registrirano ukupno 749 hotela s 60.696 smještajnih jedinica i 119.019 ležajeva. Konkretna distribucija hotela prema kategoriji prikazana je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851DBE" w:rsidRPr="00BE5472">
        <w:rPr>
          <w:rFonts w:ascii="Times New Roman" w:hAnsi="Times New Roman" w:cs="Times New Roman"/>
          <w:sz w:val="24"/>
          <w:szCs w:val="24"/>
        </w:rPr>
        <w:t>4</w:t>
      </w:r>
      <w:r w:rsidRPr="00BE5472">
        <w:rPr>
          <w:rFonts w:ascii="Times New Roman" w:hAnsi="Times New Roman" w:cs="Times New Roman"/>
          <w:sz w:val="24"/>
          <w:szCs w:val="24"/>
        </w:rPr>
        <w:t xml:space="preserve">. </w:t>
      </w:r>
    </w:p>
    <w:p w14:paraId="72DC2633" w14:textId="4F03C23E" w:rsidR="006E052A" w:rsidRPr="00C87D90" w:rsidRDefault="00C87D90" w:rsidP="00C87D90">
      <w:pPr>
        <w:pStyle w:val="Caption"/>
        <w:rPr>
          <w:rFonts w:ascii="Times New Roman" w:hAnsi="Times New Roman" w:cs="Times New Roman"/>
          <w:sz w:val="24"/>
          <w:szCs w:val="24"/>
        </w:rPr>
      </w:pPr>
      <w:bookmarkStart w:id="52" w:name="_Toc241865198"/>
      <w:r w:rsidRPr="00C87D90">
        <w:rPr>
          <w:rFonts w:ascii="Times New Roman" w:hAnsi="Times New Roman" w:cs="Times New Roman"/>
          <w:sz w:val="24"/>
          <w:szCs w:val="24"/>
        </w:rPr>
        <w:t xml:space="preserve">Tablica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Tablica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4</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Hoteli prema kategorijama</w:t>
      </w:r>
      <w:bookmarkEnd w:id="52"/>
    </w:p>
    <w:tbl>
      <w:tblPr>
        <w:tblStyle w:val="TableGrid"/>
        <w:tblW w:w="0" w:type="auto"/>
        <w:tblLook w:val="04A0" w:firstRow="1" w:lastRow="0" w:firstColumn="1" w:lastColumn="0" w:noHBand="0" w:noVBand="1"/>
      </w:tblPr>
      <w:tblGrid>
        <w:gridCol w:w="2364"/>
        <w:gridCol w:w="2196"/>
        <w:gridCol w:w="2971"/>
        <w:gridCol w:w="1679"/>
      </w:tblGrid>
      <w:tr w:rsidR="006E052A" w:rsidRPr="00BE5472" w14:paraId="6628D93C" w14:textId="77777777" w:rsidTr="00851DBE">
        <w:trPr>
          <w:trHeight w:val="867"/>
        </w:trPr>
        <w:tc>
          <w:tcPr>
            <w:tcW w:w="2364" w:type="dxa"/>
            <w:vAlign w:val="center"/>
            <w:hideMark/>
          </w:tcPr>
          <w:p w14:paraId="02B25E81"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KATEGORIJA HOTELA</w:t>
            </w:r>
          </w:p>
        </w:tc>
        <w:tc>
          <w:tcPr>
            <w:tcW w:w="2196" w:type="dxa"/>
            <w:noWrap/>
            <w:vAlign w:val="center"/>
            <w:hideMark/>
          </w:tcPr>
          <w:p w14:paraId="0FE0249A"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Ukupno objekata</w:t>
            </w:r>
          </w:p>
        </w:tc>
        <w:tc>
          <w:tcPr>
            <w:tcW w:w="2971" w:type="dxa"/>
            <w:vAlign w:val="center"/>
            <w:hideMark/>
          </w:tcPr>
          <w:p w14:paraId="24E8E218"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 xml:space="preserve">Ukupan broj </w:t>
            </w:r>
            <w:r w:rsidRPr="00BE5472">
              <w:rPr>
                <w:rFonts w:ascii="Times New Roman" w:hAnsi="Times New Roman" w:cs="Times New Roman"/>
                <w:b/>
                <w:bCs/>
                <w:sz w:val="24"/>
                <w:szCs w:val="24"/>
              </w:rPr>
              <w:br/>
              <w:t>smještajnih</w:t>
            </w:r>
            <w:r w:rsidRPr="00BE5472">
              <w:rPr>
                <w:rFonts w:ascii="Times New Roman" w:hAnsi="Times New Roman" w:cs="Times New Roman"/>
                <w:b/>
                <w:bCs/>
                <w:sz w:val="24"/>
                <w:szCs w:val="24"/>
              </w:rPr>
              <w:br/>
              <w:t>jedinica</w:t>
            </w:r>
          </w:p>
        </w:tc>
        <w:tc>
          <w:tcPr>
            <w:tcW w:w="1679" w:type="dxa"/>
            <w:vAlign w:val="center"/>
            <w:hideMark/>
          </w:tcPr>
          <w:p w14:paraId="15367B67"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Ukupan broj</w:t>
            </w:r>
            <w:r w:rsidRPr="00BE5472">
              <w:rPr>
                <w:rFonts w:ascii="Times New Roman" w:hAnsi="Times New Roman" w:cs="Times New Roman"/>
                <w:b/>
                <w:bCs/>
                <w:sz w:val="24"/>
                <w:szCs w:val="24"/>
              </w:rPr>
              <w:br/>
              <w:t>stalnih kreveta</w:t>
            </w:r>
          </w:p>
        </w:tc>
      </w:tr>
      <w:tr w:rsidR="006E052A" w:rsidRPr="00BE5472" w14:paraId="711BCE94" w14:textId="77777777" w:rsidTr="00851DBE">
        <w:trPr>
          <w:trHeight w:val="289"/>
        </w:trPr>
        <w:tc>
          <w:tcPr>
            <w:tcW w:w="2364" w:type="dxa"/>
            <w:noWrap/>
            <w:vAlign w:val="center"/>
            <w:hideMark/>
          </w:tcPr>
          <w:p w14:paraId="4822C330"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2*</w:t>
            </w:r>
          </w:p>
        </w:tc>
        <w:tc>
          <w:tcPr>
            <w:tcW w:w="2196" w:type="dxa"/>
            <w:noWrap/>
            <w:vAlign w:val="center"/>
            <w:hideMark/>
          </w:tcPr>
          <w:p w14:paraId="78A6F3F5"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37</w:t>
            </w:r>
          </w:p>
        </w:tc>
        <w:tc>
          <w:tcPr>
            <w:tcW w:w="2971" w:type="dxa"/>
            <w:noWrap/>
            <w:vAlign w:val="center"/>
            <w:hideMark/>
          </w:tcPr>
          <w:p w14:paraId="37E9F0F2"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3.144</w:t>
            </w:r>
          </w:p>
        </w:tc>
        <w:tc>
          <w:tcPr>
            <w:tcW w:w="1679" w:type="dxa"/>
            <w:noWrap/>
            <w:vAlign w:val="center"/>
            <w:hideMark/>
          </w:tcPr>
          <w:p w14:paraId="24CD3FF8"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6.349</w:t>
            </w:r>
          </w:p>
        </w:tc>
      </w:tr>
      <w:tr w:rsidR="006E052A" w:rsidRPr="00BE5472" w14:paraId="50B3A3E0" w14:textId="77777777" w:rsidTr="00851DBE">
        <w:trPr>
          <w:trHeight w:val="289"/>
        </w:trPr>
        <w:tc>
          <w:tcPr>
            <w:tcW w:w="2364" w:type="dxa"/>
            <w:noWrap/>
            <w:vAlign w:val="center"/>
            <w:hideMark/>
          </w:tcPr>
          <w:p w14:paraId="52D0FA87"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3*</w:t>
            </w:r>
          </w:p>
        </w:tc>
        <w:tc>
          <w:tcPr>
            <w:tcW w:w="2196" w:type="dxa"/>
            <w:noWrap/>
            <w:vAlign w:val="center"/>
            <w:hideMark/>
          </w:tcPr>
          <w:p w14:paraId="3627E323"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289</w:t>
            </w:r>
          </w:p>
        </w:tc>
        <w:tc>
          <w:tcPr>
            <w:tcW w:w="2971" w:type="dxa"/>
            <w:noWrap/>
            <w:vAlign w:val="center"/>
            <w:hideMark/>
          </w:tcPr>
          <w:p w14:paraId="3341843E"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17.706</w:t>
            </w:r>
          </w:p>
        </w:tc>
        <w:tc>
          <w:tcPr>
            <w:tcW w:w="1679" w:type="dxa"/>
            <w:noWrap/>
            <w:vAlign w:val="center"/>
            <w:hideMark/>
          </w:tcPr>
          <w:p w14:paraId="737AFFC8"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35.078</w:t>
            </w:r>
          </w:p>
        </w:tc>
      </w:tr>
      <w:tr w:rsidR="006E052A" w:rsidRPr="00BE5472" w14:paraId="15A35547" w14:textId="77777777" w:rsidTr="00851DBE">
        <w:trPr>
          <w:trHeight w:val="289"/>
        </w:trPr>
        <w:tc>
          <w:tcPr>
            <w:tcW w:w="2364" w:type="dxa"/>
            <w:noWrap/>
            <w:vAlign w:val="center"/>
            <w:hideMark/>
          </w:tcPr>
          <w:p w14:paraId="16A2AAE9"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4*</w:t>
            </w:r>
          </w:p>
        </w:tc>
        <w:tc>
          <w:tcPr>
            <w:tcW w:w="2196" w:type="dxa"/>
            <w:noWrap/>
            <w:vAlign w:val="center"/>
            <w:hideMark/>
          </w:tcPr>
          <w:p w14:paraId="79835AA6"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366</w:t>
            </w:r>
          </w:p>
        </w:tc>
        <w:tc>
          <w:tcPr>
            <w:tcW w:w="2971" w:type="dxa"/>
            <w:noWrap/>
            <w:vAlign w:val="center"/>
            <w:hideMark/>
          </w:tcPr>
          <w:p w14:paraId="3F398060"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32.486</w:t>
            </w:r>
          </w:p>
        </w:tc>
        <w:tc>
          <w:tcPr>
            <w:tcW w:w="1679" w:type="dxa"/>
            <w:noWrap/>
            <w:vAlign w:val="center"/>
            <w:hideMark/>
          </w:tcPr>
          <w:p w14:paraId="1BFEB646"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63.085</w:t>
            </w:r>
          </w:p>
        </w:tc>
      </w:tr>
      <w:tr w:rsidR="006E052A" w:rsidRPr="00BE5472" w14:paraId="672298D5" w14:textId="77777777" w:rsidTr="00851DBE">
        <w:trPr>
          <w:trHeight w:val="289"/>
        </w:trPr>
        <w:tc>
          <w:tcPr>
            <w:tcW w:w="2364" w:type="dxa"/>
            <w:noWrap/>
            <w:vAlign w:val="center"/>
            <w:hideMark/>
          </w:tcPr>
          <w:p w14:paraId="360B40F6"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5*</w:t>
            </w:r>
          </w:p>
        </w:tc>
        <w:tc>
          <w:tcPr>
            <w:tcW w:w="2196" w:type="dxa"/>
            <w:noWrap/>
            <w:vAlign w:val="center"/>
            <w:hideMark/>
          </w:tcPr>
          <w:p w14:paraId="68C7F1BC"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57</w:t>
            </w:r>
          </w:p>
        </w:tc>
        <w:tc>
          <w:tcPr>
            <w:tcW w:w="2971" w:type="dxa"/>
            <w:noWrap/>
            <w:vAlign w:val="center"/>
            <w:hideMark/>
          </w:tcPr>
          <w:p w14:paraId="5991A75E"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7.360</w:t>
            </w:r>
          </w:p>
        </w:tc>
        <w:tc>
          <w:tcPr>
            <w:tcW w:w="1679" w:type="dxa"/>
            <w:noWrap/>
            <w:vAlign w:val="center"/>
            <w:hideMark/>
          </w:tcPr>
          <w:p w14:paraId="43CE9478" w14:textId="77777777" w:rsidR="006E052A" w:rsidRPr="00BE5472" w:rsidRDefault="006E052A" w:rsidP="00851DBE">
            <w:pPr>
              <w:spacing w:after="120" w:line="360" w:lineRule="auto"/>
              <w:jc w:val="center"/>
              <w:rPr>
                <w:rFonts w:ascii="Times New Roman" w:hAnsi="Times New Roman" w:cs="Times New Roman"/>
                <w:sz w:val="24"/>
                <w:szCs w:val="24"/>
              </w:rPr>
            </w:pPr>
            <w:r w:rsidRPr="00BE5472">
              <w:rPr>
                <w:rFonts w:ascii="Times New Roman" w:hAnsi="Times New Roman" w:cs="Times New Roman"/>
                <w:sz w:val="24"/>
                <w:szCs w:val="24"/>
              </w:rPr>
              <w:t>14.507</w:t>
            </w:r>
          </w:p>
        </w:tc>
      </w:tr>
      <w:tr w:rsidR="006E052A" w:rsidRPr="00BE5472" w14:paraId="76516D96" w14:textId="77777777" w:rsidTr="00851DBE">
        <w:trPr>
          <w:trHeight w:val="289"/>
        </w:trPr>
        <w:tc>
          <w:tcPr>
            <w:tcW w:w="2364" w:type="dxa"/>
            <w:noWrap/>
            <w:vAlign w:val="center"/>
            <w:hideMark/>
          </w:tcPr>
          <w:p w14:paraId="354E0A08"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UKUPNO</w:t>
            </w:r>
          </w:p>
        </w:tc>
        <w:tc>
          <w:tcPr>
            <w:tcW w:w="2196" w:type="dxa"/>
            <w:noWrap/>
            <w:vAlign w:val="center"/>
            <w:hideMark/>
          </w:tcPr>
          <w:p w14:paraId="0DE3A8E7"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749</w:t>
            </w:r>
          </w:p>
        </w:tc>
        <w:tc>
          <w:tcPr>
            <w:tcW w:w="2971" w:type="dxa"/>
            <w:noWrap/>
            <w:vAlign w:val="center"/>
            <w:hideMark/>
          </w:tcPr>
          <w:p w14:paraId="71D37125"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60.696</w:t>
            </w:r>
          </w:p>
        </w:tc>
        <w:tc>
          <w:tcPr>
            <w:tcW w:w="1679" w:type="dxa"/>
            <w:noWrap/>
            <w:vAlign w:val="center"/>
            <w:hideMark/>
          </w:tcPr>
          <w:p w14:paraId="57A8805E" w14:textId="77777777" w:rsidR="006E052A" w:rsidRPr="00BE5472" w:rsidRDefault="006E052A" w:rsidP="00851DBE">
            <w:pPr>
              <w:spacing w:after="120"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119.019</w:t>
            </w:r>
          </w:p>
        </w:tc>
      </w:tr>
    </w:tbl>
    <w:p w14:paraId="2CE612B9" w14:textId="6CF27DD4"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izrada autora prema: </w:t>
      </w:r>
      <w:bookmarkStart w:id="53" w:name="_Hlk173232384"/>
      <w:r w:rsidRPr="00BE5472">
        <w:rPr>
          <w:rFonts w:ascii="Times New Roman" w:hAnsi="Times New Roman" w:cs="Times New Roman"/>
          <w:sz w:val="24"/>
          <w:szCs w:val="24"/>
        </w:rPr>
        <w:t>Ministarstvo turizma i sporta Republike Hrvatske (2024). Popis kategoriziranih turističkih objekata u Republici Hrvatskoj (14.</w:t>
      </w:r>
      <w:r w:rsidR="009765DA" w:rsidRPr="00BE5472">
        <w:rPr>
          <w:rFonts w:ascii="Times New Roman" w:hAnsi="Times New Roman" w:cs="Times New Roman"/>
          <w:sz w:val="24"/>
          <w:szCs w:val="24"/>
        </w:rPr>
        <w:t xml:space="preserve"> lipnja </w:t>
      </w:r>
      <w:r w:rsidRPr="00BE5472">
        <w:rPr>
          <w:rFonts w:ascii="Times New Roman" w:hAnsi="Times New Roman" w:cs="Times New Roman"/>
          <w:sz w:val="24"/>
          <w:szCs w:val="24"/>
        </w:rPr>
        <w:t>2024.)</w:t>
      </w:r>
    </w:p>
    <w:p w14:paraId="1169072C" w14:textId="77777777" w:rsidR="006E052A" w:rsidRPr="00BE5472" w:rsidRDefault="006E052A" w:rsidP="006E052A">
      <w:pPr>
        <w:spacing w:after="120" w:line="360" w:lineRule="auto"/>
        <w:jc w:val="both"/>
        <w:rPr>
          <w:rFonts w:ascii="Times New Roman" w:hAnsi="Times New Roman" w:cs="Times New Roman"/>
          <w:sz w:val="24"/>
          <w:szCs w:val="24"/>
        </w:rPr>
      </w:pPr>
    </w:p>
    <w:p w14:paraId="0544CCCC" w14:textId="7EA70A23"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Uz hotele, hotelska poduzeća u svom portfelju imaju turistička naselja kojih u Hrvatskoj ima ukupno 67 s 10.953 smještajnih jedinica i 26.198 registriranih ležajeva. Uz turistička naselja tu su i turistički apartmani</w:t>
      </w:r>
      <w:r w:rsidR="009765DA" w:rsidRPr="00BE5472">
        <w:rPr>
          <w:rFonts w:ascii="Times New Roman" w:hAnsi="Times New Roman" w:cs="Times New Roman"/>
          <w:sz w:val="24"/>
          <w:szCs w:val="24"/>
        </w:rPr>
        <w:t>,</w:t>
      </w:r>
      <w:r w:rsidRPr="00BE5472">
        <w:rPr>
          <w:rFonts w:ascii="Times New Roman" w:hAnsi="Times New Roman" w:cs="Times New Roman"/>
          <w:sz w:val="24"/>
          <w:szCs w:val="24"/>
        </w:rPr>
        <w:t xml:space="preserve"> kojih ukupno ima 42 s 3.138 smještajnih jedinica i 9.759 registriranih ležajeva. Nezaobilazno je spomenuti i kampove u portfeljima hotelskih poduzeća. U Hrvatskoj, što u vlasništvu velikih hotelskih poduzeća, što u rukama drugih pravnih osoba (manjih poduzetnika) ima ukupno 216 kampova s 225.042 ležaja (Ministarstvo turizma i sporta Republike Hrvatske 2024). </w:t>
      </w:r>
    </w:p>
    <w:p w14:paraId="3B716F39" w14:textId="77777777" w:rsidR="006E052A" w:rsidRPr="00BE5472" w:rsidRDefault="006E052A" w:rsidP="006E052A">
      <w:pPr>
        <w:spacing w:after="120" w:line="360" w:lineRule="auto"/>
        <w:jc w:val="both"/>
        <w:rPr>
          <w:rFonts w:ascii="Times New Roman" w:hAnsi="Times New Roman" w:cs="Times New Roman"/>
          <w:sz w:val="24"/>
          <w:szCs w:val="24"/>
        </w:rPr>
      </w:pPr>
    </w:p>
    <w:bookmarkEnd w:id="53"/>
    <w:p w14:paraId="09C4B1A1" w14:textId="3ACB7C08"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Ukupni prihodi, dobit prije poreza, kamata i amortizacije (u daljnjem tekstu: EBITDA) i dobit razdoblja najvećih hrvatskih hotelskih poduzeća u području djelatnosti smještaja te pripreme i usluživanja hrane (djelatnost I) u 2023. godini prikazani su na Prikazu broj </w:t>
      </w:r>
      <w:r w:rsidR="00747B69" w:rsidRPr="00BE5472">
        <w:rPr>
          <w:rFonts w:ascii="Times New Roman" w:hAnsi="Times New Roman" w:cs="Times New Roman"/>
          <w:sz w:val="24"/>
          <w:szCs w:val="24"/>
        </w:rPr>
        <w:t>8</w:t>
      </w:r>
      <w:r w:rsidRPr="00BE5472">
        <w:rPr>
          <w:rFonts w:ascii="Times New Roman" w:hAnsi="Times New Roman" w:cs="Times New Roman"/>
          <w:sz w:val="24"/>
          <w:szCs w:val="24"/>
        </w:rPr>
        <w:t xml:space="preserve">. </w:t>
      </w:r>
    </w:p>
    <w:p w14:paraId="59DF31BF" w14:textId="007FF4DE" w:rsidR="006E052A" w:rsidRPr="00C87D90" w:rsidRDefault="00C87D90" w:rsidP="00C87D90">
      <w:pPr>
        <w:pStyle w:val="Caption"/>
        <w:rPr>
          <w:rFonts w:ascii="Times New Roman" w:hAnsi="Times New Roman" w:cs="Times New Roman"/>
          <w:sz w:val="24"/>
          <w:szCs w:val="24"/>
        </w:rPr>
      </w:pPr>
      <w:bookmarkStart w:id="54" w:name="_Toc241865276"/>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8</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xml:space="preserve">: Ukupni prihodi, dobit prije poreza, kamata i amortizacije (EBITDA) i dobit razdoblja najvećih </w:t>
      </w:r>
      <w:r w:rsidR="009765DA" w:rsidRPr="00C87D90">
        <w:rPr>
          <w:rFonts w:ascii="Times New Roman" w:hAnsi="Times New Roman" w:cs="Times New Roman"/>
          <w:sz w:val="24"/>
          <w:szCs w:val="24"/>
        </w:rPr>
        <w:t>deset</w:t>
      </w:r>
      <w:r w:rsidR="006E052A" w:rsidRPr="00C87D90">
        <w:rPr>
          <w:rFonts w:ascii="Times New Roman" w:hAnsi="Times New Roman" w:cs="Times New Roman"/>
          <w:sz w:val="24"/>
          <w:szCs w:val="24"/>
        </w:rPr>
        <w:t xml:space="preserve"> hrvatskih hotelskih poduzeća u 2023. godini</w:t>
      </w:r>
      <w:bookmarkEnd w:id="54"/>
    </w:p>
    <w:p w14:paraId="6284586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13EFC8E7" wp14:editId="70FAF87E">
            <wp:extent cx="6381750" cy="5391150"/>
            <wp:effectExtent l="0" t="0" r="0" b="0"/>
            <wp:docPr id="5" name="Grafikon 5">
              <a:extLst xmlns:a="http://schemas.openxmlformats.org/drawingml/2006/main">
                <a:ext uri="{FF2B5EF4-FFF2-40B4-BE49-F238E27FC236}">
                  <a16:creationId xmlns:a16="http://schemas.microsoft.com/office/drawing/2014/main" id="{36A19548-0B68-4CDA-B4B5-1CBA29066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A417152"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izrada autora prema: Fina info.Biz (2024).</w:t>
      </w:r>
    </w:p>
    <w:p w14:paraId="0BA505D9" w14:textId="04740F1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Prema ukupnim prihodima hotelsko poduzeća </w:t>
      </w: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d.d. prednjači u Hrvatskoj nakon čega slijedi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d.d., </w:t>
      </w: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d.d. i </w:t>
      </w:r>
      <w:r w:rsidRPr="00BE5472">
        <w:rPr>
          <w:rFonts w:ascii="Times New Roman" w:hAnsi="Times New Roman" w:cs="Times New Roman"/>
          <w:i/>
          <w:iCs/>
          <w:sz w:val="24"/>
          <w:szCs w:val="24"/>
        </w:rPr>
        <w:t>Arena Hospitality Group</w:t>
      </w:r>
      <w:r w:rsidRPr="00BE5472">
        <w:rPr>
          <w:rFonts w:ascii="Times New Roman" w:hAnsi="Times New Roman" w:cs="Times New Roman"/>
          <w:sz w:val="24"/>
          <w:szCs w:val="24"/>
        </w:rPr>
        <w:t xml:space="preserve"> d.d. </w:t>
      </w: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u 2023. godini ostvarila je najvišu EBITDA-u, odnosno operativnu dobit, od preko 81 milijuna </w:t>
      </w:r>
      <w:r w:rsidR="009765DA" w:rsidRPr="00BE5472">
        <w:rPr>
          <w:rFonts w:ascii="Times New Roman" w:hAnsi="Times New Roman" w:cs="Times New Roman"/>
          <w:sz w:val="24"/>
          <w:szCs w:val="24"/>
        </w:rPr>
        <w:t>e</w:t>
      </w:r>
      <w:r w:rsidRPr="00BE5472">
        <w:rPr>
          <w:rFonts w:ascii="Times New Roman" w:hAnsi="Times New Roman" w:cs="Times New Roman"/>
          <w:sz w:val="24"/>
          <w:szCs w:val="24"/>
        </w:rPr>
        <w:t xml:space="preserve">ura, a slijedi </w:t>
      </w: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s preko 80 milijuna i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s</w:t>
      </w:r>
      <w:r w:rsidR="009765DA" w:rsidRPr="00BE5472">
        <w:rPr>
          <w:rFonts w:ascii="Times New Roman" w:hAnsi="Times New Roman" w:cs="Times New Roman"/>
          <w:sz w:val="24"/>
          <w:szCs w:val="24"/>
        </w:rPr>
        <w:t>a</w:t>
      </w:r>
      <w:r w:rsidRPr="00BE5472">
        <w:rPr>
          <w:rFonts w:ascii="Times New Roman" w:hAnsi="Times New Roman" w:cs="Times New Roman"/>
          <w:sz w:val="24"/>
          <w:szCs w:val="24"/>
        </w:rPr>
        <w:t xml:space="preserve"> 73 milijuna </w:t>
      </w:r>
      <w:r w:rsidR="009765DA" w:rsidRPr="00BE5472">
        <w:rPr>
          <w:rFonts w:ascii="Times New Roman" w:hAnsi="Times New Roman" w:cs="Times New Roman"/>
          <w:sz w:val="24"/>
          <w:szCs w:val="24"/>
        </w:rPr>
        <w:t>e</w:t>
      </w:r>
      <w:r w:rsidRPr="00BE5472">
        <w:rPr>
          <w:rFonts w:ascii="Times New Roman" w:hAnsi="Times New Roman" w:cs="Times New Roman"/>
          <w:sz w:val="24"/>
          <w:szCs w:val="24"/>
        </w:rPr>
        <w:t xml:space="preserve">ura. </w:t>
      </w:r>
      <w:r w:rsidRPr="00BE5472">
        <w:rPr>
          <w:rFonts w:ascii="Times New Roman" w:hAnsi="Times New Roman" w:cs="Times New Roman"/>
          <w:i/>
          <w:iCs/>
          <w:sz w:val="24"/>
          <w:szCs w:val="24"/>
        </w:rPr>
        <w:t>Arena Hospitality Group</w:t>
      </w:r>
      <w:r w:rsidRPr="00BE5472">
        <w:rPr>
          <w:rFonts w:ascii="Times New Roman" w:hAnsi="Times New Roman" w:cs="Times New Roman"/>
          <w:sz w:val="24"/>
          <w:szCs w:val="24"/>
        </w:rPr>
        <w:t xml:space="preserve"> </w:t>
      </w:r>
      <w:r w:rsidRPr="00BE5472">
        <w:rPr>
          <w:rFonts w:ascii="Times New Roman" w:hAnsi="Times New Roman" w:cs="Times New Roman"/>
          <w:sz w:val="24"/>
          <w:szCs w:val="24"/>
        </w:rPr>
        <w:lastRenderedPageBreak/>
        <w:t xml:space="preserve">ostvaruje značajno nižu EBITDA-u u iznosu od nešto više od 20 milijuna. Najveću neto dobit bilježi hotelsko poduzeće </w:t>
      </w: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u iznosu od preko 44 milijuna </w:t>
      </w:r>
      <w:r w:rsidR="009765DA" w:rsidRPr="00BE5472">
        <w:rPr>
          <w:rFonts w:ascii="Times New Roman" w:hAnsi="Times New Roman" w:cs="Times New Roman"/>
          <w:sz w:val="24"/>
          <w:szCs w:val="24"/>
        </w:rPr>
        <w:t>e</w:t>
      </w:r>
      <w:r w:rsidRPr="00BE5472">
        <w:rPr>
          <w:rFonts w:ascii="Times New Roman" w:hAnsi="Times New Roman" w:cs="Times New Roman"/>
          <w:sz w:val="24"/>
          <w:szCs w:val="24"/>
        </w:rPr>
        <w:t xml:space="preserve">ura, a slijede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Imperial Riviera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Četiri hotelska poduzeća koja bilježe vrlo dobre rezultate poslovanja (gledajući ukupne prihode i EBITDA-u) svoje sjedište imaju u Istri, no destinacije u kojima djeluju i nude svoje kapacitete nalaze se i na Kvarneru (Krk, Rijeka), te u Dalmaciji (Makarska, Hvar) i Dubrovniku. Dva poduzeća kapacitete imaju i izvan Republike Hrvatske. Hotelska su to poduzeća koja postaju prepoznatljiva i po svojim markama. </w:t>
      </w:r>
    </w:p>
    <w:p w14:paraId="54DE0C01"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Valamar</w:t>
      </w:r>
      <w:r w:rsidRPr="00BE5472">
        <w:rPr>
          <w:rFonts w:ascii="Times New Roman" w:hAnsi="Times New Roman" w:cs="Times New Roman"/>
          <w:sz w:val="24"/>
          <w:szCs w:val="24"/>
        </w:rPr>
        <w:t xml:space="preserve"> tako izdvaja svoje marke: </w:t>
      </w:r>
    </w:p>
    <w:p w14:paraId="657F68B7" w14:textId="77777777" w:rsidR="006E052A" w:rsidRPr="00BE5472" w:rsidRDefault="006E052A" w:rsidP="006E052A">
      <w:pPr>
        <w:numPr>
          <w:ilvl w:val="0"/>
          <w:numId w:val="2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Valamar Collection</w:t>
      </w:r>
      <w:r w:rsidRPr="00BE5472">
        <w:rPr>
          <w:rFonts w:ascii="Times New Roman" w:hAnsi="Times New Roman" w:cs="Times New Roman"/>
          <w:sz w:val="24"/>
          <w:szCs w:val="24"/>
        </w:rPr>
        <w:t xml:space="preserve">, </w:t>
      </w:r>
    </w:p>
    <w:p w14:paraId="63E112F7" w14:textId="77777777" w:rsidR="006E052A" w:rsidRPr="00BE5472" w:rsidRDefault="006E052A" w:rsidP="006E052A">
      <w:pPr>
        <w:numPr>
          <w:ilvl w:val="0"/>
          <w:numId w:val="2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Valamar Hotels &amp; Resorts</w:t>
      </w:r>
      <w:r w:rsidRPr="00BE5472">
        <w:rPr>
          <w:rFonts w:ascii="Times New Roman" w:hAnsi="Times New Roman" w:cs="Times New Roman"/>
          <w:sz w:val="24"/>
          <w:szCs w:val="24"/>
        </w:rPr>
        <w:t xml:space="preserve">, </w:t>
      </w:r>
    </w:p>
    <w:p w14:paraId="4CA16971" w14:textId="77777777" w:rsidR="006E052A" w:rsidRPr="00BE5472" w:rsidRDefault="006E052A" w:rsidP="006E052A">
      <w:pPr>
        <w:numPr>
          <w:ilvl w:val="0"/>
          <w:numId w:val="2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PLACES by Valamar</w:t>
      </w:r>
      <w:r w:rsidRPr="00BE5472">
        <w:rPr>
          <w:rFonts w:ascii="Times New Roman" w:hAnsi="Times New Roman" w:cs="Times New Roman"/>
          <w:sz w:val="24"/>
          <w:szCs w:val="24"/>
        </w:rPr>
        <w:t xml:space="preserve">, </w:t>
      </w:r>
    </w:p>
    <w:p w14:paraId="6756FA7A" w14:textId="77777777" w:rsidR="006E052A" w:rsidRPr="00BE5472" w:rsidRDefault="006E052A" w:rsidP="006E052A">
      <w:pPr>
        <w:numPr>
          <w:ilvl w:val="0"/>
          <w:numId w:val="2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Sunny by Valamar</w:t>
      </w:r>
      <w:r w:rsidRPr="00BE5472">
        <w:rPr>
          <w:rFonts w:ascii="Times New Roman" w:hAnsi="Times New Roman" w:cs="Times New Roman"/>
          <w:sz w:val="24"/>
          <w:szCs w:val="24"/>
        </w:rPr>
        <w:t xml:space="preserve"> i </w:t>
      </w:r>
    </w:p>
    <w:p w14:paraId="0ED3FFC7" w14:textId="77777777" w:rsidR="006E052A" w:rsidRPr="00BE5472" w:rsidRDefault="006E052A" w:rsidP="006E052A">
      <w:pPr>
        <w:numPr>
          <w:ilvl w:val="0"/>
          <w:numId w:val="23"/>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Camping Adriatic by Valamar</w:t>
      </w:r>
      <w:r w:rsidRPr="00BE5472">
        <w:rPr>
          <w:rFonts w:ascii="Times New Roman" w:hAnsi="Times New Roman" w:cs="Times New Roman"/>
          <w:sz w:val="24"/>
          <w:szCs w:val="24"/>
        </w:rPr>
        <w:t xml:space="preserve">.  </w:t>
      </w:r>
    </w:p>
    <w:p w14:paraId="5A74F111" w14:textId="77777777" w:rsidR="003D46C7" w:rsidRDefault="003D46C7" w:rsidP="006E052A">
      <w:pPr>
        <w:spacing w:after="120" w:line="360" w:lineRule="auto"/>
        <w:jc w:val="both"/>
        <w:rPr>
          <w:rFonts w:ascii="Times New Roman" w:hAnsi="Times New Roman" w:cs="Times New Roman"/>
          <w:sz w:val="24"/>
          <w:szCs w:val="24"/>
        </w:rPr>
      </w:pPr>
    </w:p>
    <w:p w14:paraId="76082685" w14:textId="1D9439A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Hotelsko poduzeće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koje sebe vidi kao vodećeg hotelijera u segmentu luksuznog hotelijerstva u Hrvatskoj, razvilo je sljedeće marke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bez dat.):</w:t>
      </w:r>
    </w:p>
    <w:p w14:paraId="31BAA31F" w14:textId="77777777" w:rsidR="006E052A" w:rsidRPr="00BE5472" w:rsidRDefault="006E052A" w:rsidP="006E052A">
      <w:pPr>
        <w:numPr>
          <w:ilvl w:val="0"/>
          <w:numId w:val="2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Maistra Collection</w:t>
      </w:r>
      <w:r w:rsidRPr="00BE5472">
        <w:rPr>
          <w:rFonts w:ascii="Times New Roman" w:hAnsi="Times New Roman" w:cs="Times New Roman"/>
          <w:sz w:val="24"/>
          <w:szCs w:val="24"/>
        </w:rPr>
        <w:t xml:space="preserve"> – „Maistra Collection donosi jedinstvenu priču i iskustvo Istre kroz revitalizaciju svih osjetila.“</w:t>
      </w:r>
    </w:p>
    <w:p w14:paraId="601097D4" w14:textId="77777777" w:rsidR="006E052A" w:rsidRPr="00BE5472" w:rsidRDefault="006E052A" w:rsidP="006E052A">
      <w:pPr>
        <w:numPr>
          <w:ilvl w:val="0"/>
          <w:numId w:val="2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Maistra Select</w:t>
      </w:r>
      <w:r w:rsidRPr="00BE5472">
        <w:rPr>
          <w:rFonts w:ascii="Times New Roman" w:hAnsi="Times New Roman" w:cs="Times New Roman"/>
          <w:sz w:val="24"/>
          <w:szCs w:val="24"/>
        </w:rPr>
        <w:t xml:space="preserve"> – „Odabrani hoteli i resorti na najljepšim lokacijama uz more.“</w:t>
      </w:r>
    </w:p>
    <w:p w14:paraId="779D895D" w14:textId="77777777" w:rsidR="006E052A" w:rsidRPr="00BE5472" w:rsidRDefault="006E052A" w:rsidP="006E052A">
      <w:pPr>
        <w:numPr>
          <w:ilvl w:val="0"/>
          <w:numId w:val="22"/>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Maistra Camping</w:t>
      </w:r>
      <w:r w:rsidRPr="00BE5472">
        <w:rPr>
          <w:rFonts w:ascii="Times New Roman" w:hAnsi="Times New Roman" w:cs="Times New Roman"/>
          <w:sz w:val="24"/>
          <w:szCs w:val="24"/>
        </w:rPr>
        <w:t xml:space="preserve"> – „</w:t>
      </w:r>
      <w:r w:rsidRPr="00BE5472">
        <w:rPr>
          <w:rFonts w:ascii="Times New Roman" w:hAnsi="Times New Roman" w:cs="Times New Roman"/>
          <w:i/>
          <w:iCs/>
          <w:sz w:val="24"/>
          <w:szCs w:val="24"/>
        </w:rPr>
        <w:t xml:space="preserve">Maistra Camping </w:t>
      </w:r>
      <w:r w:rsidRPr="00BE5472">
        <w:rPr>
          <w:rFonts w:ascii="Times New Roman" w:hAnsi="Times New Roman" w:cs="Times New Roman"/>
          <w:sz w:val="24"/>
          <w:szCs w:val="24"/>
        </w:rPr>
        <w:t>donosi odmor ispunjen doživljajima u neponovljivoj prirodi Rovinja i Vrsara.“</w:t>
      </w:r>
    </w:p>
    <w:p w14:paraId="67DA6055" w14:textId="77777777" w:rsidR="003D46C7" w:rsidRDefault="003D46C7" w:rsidP="006E052A">
      <w:pPr>
        <w:spacing w:after="120" w:line="360" w:lineRule="auto"/>
        <w:jc w:val="both"/>
        <w:rPr>
          <w:rFonts w:ascii="Times New Roman" w:hAnsi="Times New Roman" w:cs="Times New Roman"/>
          <w:i/>
          <w:iCs/>
          <w:sz w:val="24"/>
          <w:szCs w:val="24"/>
        </w:rPr>
      </w:pPr>
    </w:p>
    <w:p w14:paraId="71AB9D75" w14:textId="53510FDD"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nije svoj portfelj proizvoda diferencirala tržišno prepoznatljivim markama, a </w:t>
      </w:r>
      <w:r w:rsidRPr="00BE5472">
        <w:rPr>
          <w:rFonts w:ascii="Times New Roman" w:hAnsi="Times New Roman" w:cs="Times New Roman"/>
          <w:i/>
          <w:iCs/>
          <w:sz w:val="24"/>
          <w:szCs w:val="24"/>
        </w:rPr>
        <w:t>Arena Hospitality Group</w:t>
      </w:r>
      <w:r w:rsidRPr="00BE5472">
        <w:rPr>
          <w:rFonts w:ascii="Times New Roman" w:hAnsi="Times New Roman" w:cs="Times New Roman"/>
          <w:sz w:val="24"/>
          <w:szCs w:val="24"/>
        </w:rPr>
        <w:t xml:space="preserve"> izdvaja svoje „in house“ marke: </w:t>
      </w:r>
      <w:r w:rsidRPr="00BE5472">
        <w:rPr>
          <w:rFonts w:ascii="Times New Roman" w:hAnsi="Times New Roman" w:cs="Times New Roman"/>
          <w:i/>
          <w:iCs/>
          <w:sz w:val="24"/>
          <w:szCs w:val="24"/>
        </w:rPr>
        <w:t>Radisson Collection</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Red Radisson</w:t>
      </w:r>
      <w:r w:rsidRPr="00BE5472">
        <w:rPr>
          <w:rFonts w:ascii="Times New Roman" w:hAnsi="Times New Roman" w:cs="Times New Roman"/>
          <w:sz w:val="24"/>
          <w:szCs w:val="24"/>
        </w:rPr>
        <w:t xml:space="preserve"> te marke partnera, a to su: </w:t>
      </w:r>
      <w:r w:rsidRPr="00BE5472">
        <w:rPr>
          <w:rFonts w:ascii="Times New Roman" w:hAnsi="Times New Roman" w:cs="Times New Roman"/>
          <w:i/>
          <w:iCs/>
          <w:sz w:val="24"/>
          <w:szCs w:val="24"/>
        </w:rPr>
        <w:t>Park Plaza, Art'otel, Arena Hotels</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Arena Campsites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Arena Hospitality Group</w:t>
      </w:r>
      <w:r w:rsidRPr="00BE5472">
        <w:rPr>
          <w:rFonts w:ascii="Times New Roman" w:hAnsi="Times New Roman" w:cs="Times New Roman"/>
          <w:sz w:val="24"/>
          <w:szCs w:val="24"/>
        </w:rPr>
        <w:t xml:space="preserve"> bez dat.). </w:t>
      </w:r>
    </w:p>
    <w:p w14:paraId="2FC9E432" w14:textId="77777777" w:rsidR="004E4B8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Bruto investicije u dugotrajnu imovinu hrvatskih hotelskih poduzeća u 2023. godini prikazuju se u nastavku.</w:t>
      </w:r>
    </w:p>
    <w:p w14:paraId="5FA1025D" w14:textId="6D3AD123" w:rsidR="006E052A" w:rsidRPr="00C87D90" w:rsidRDefault="00C87D90" w:rsidP="00C87D90">
      <w:pPr>
        <w:pStyle w:val="Caption"/>
        <w:rPr>
          <w:rFonts w:ascii="Times New Roman" w:hAnsi="Times New Roman" w:cs="Times New Roman"/>
          <w:sz w:val="24"/>
          <w:szCs w:val="24"/>
        </w:rPr>
      </w:pPr>
      <w:bookmarkStart w:id="55" w:name="_Toc241865277"/>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9</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Bruto investicije u dugotrajnu imovinu najvećih 10 hrvatskih hotelskih poduzeća u 2023. godini</w:t>
      </w:r>
      <w:bookmarkEnd w:id="55"/>
    </w:p>
    <w:p w14:paraId="3EE4A019"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671BEAEA" wp14:editId="350FF7A3">
            <wp:extent cx="5086350" cy="3709988"/>
            <wp:effectExtent l="0" t="0" r="0" b="5080"/>
            <wp:docPr id="6" name="Grafikon 6">
              <a:extLst xmlns:a="http://schemas.openxmlformats.org/drawingml/2006/main">
                <a:ext uri="{FF2B5EF4-FFF2-40B4-BE49-F238E27FC236}">
                  <a16:creationId xmlns:a16="http://schemas.microsoft.com/office/drawing/2014/main" id="{B5B7F18C-799E-46BF-83BB-333B53DC1B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3DEB1A7"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izrada autora prema: Fina info.Biz (2024).</w:t>
      </w:r>
    </w:p>
    <w:p w14:paraId="715233F3"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Najviše bruto investicije u 2023. godine zabilježene su kod hotelskog poduzeća </w:t>
      </w:r>
      <w:r w:rsidRPr="00BE5472">
        <w:rPr>
          <w:rFonts w:ascii="Times New Roman" w:hAnsi="Times New Roman" w:cs="Times New Roman"/>
          <w:i/>
          <w:iCs/>
          <w:sz w:val="24"/>
          <w:szCs w:val="24"/>
        </w:rPr>
        <w:t>Hup-Zagreb</w:t>
      </w:r>
      <w:r w:rsidRPr="00BE5472">
        <w:rPr>
          <w:rFonts w:ascii="Times New Roman" w:hAnsi="Times New Roman" w:cs="Times New Roman"/>
          <w:sz w:val="24"/>
          <w:szCs w:val="24"/>
        </w:rPr>
        <w:t xml:space="preserve"> d.d. nakon čega slijedi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d.d. i </w:t>
      </w:r>
      <w:r w:rsidRPr="00BE5472">
        <w:rPr>
          <w:rFonts w:ascii="Times New Roman" w:hAnsi="Times New Roman" w:cs="Times New Roman"/>
          <w:i/>
          <w:iCs/>
          <w:sz w:val="24"/>
          <w:szCs w:val="24"/>
        </w:rPr>
        <w:t>Imperial Riviera</w:t>
      </w:r>
      <w:r w:rsidRPr="00BE5472">
        <w:rPr>
          <w:rFonts w:ascii="Times New Roman" w:hAnsi="Times New Roman" w:cs="Times New Roman"/>
          <w:sz w:val="24"/>
          <w:szCs w:val="24"/>
        </w:rPr>
        <w:t xml:space="preserve"> d.d. </w:t>
      </w:r>
    </w:p>
    <w:p w14:paraId="799FDAC6" w14:textId="1761042B"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Prikazu </w:t>
      </w:r>
      <w:r w:rsidR="00956C22" w:rsidRPr="00BE5472">
        <w:rPr>
          <w:rFonts w:ascii="Times New Roman" w:hAnsi="Times New Roman" w:cs="Times New Roman"/>
          <w:sz w:val="24"/>
          <w:szCs w:val="24"/>
        </w:rPr>
        <w:t>10</w:t>
      </w:r>
      <w:r w:rsidRPr="00BE5472">
        <w:rPr>
          <w:rFonts w:ascii="Times New Roman" w:hAnsi="Times New Roman" w:cs="Times New Roman"/>
          <w:sz w:val="24"/>
          <w:szCs w:val="24"/>
        </w:rPr>
        <w:t xml:space="preserve"> izdvaja se broj zaposlenika prema satima rada</w:t>
      </w:r>
      <w:r w:rsidR="00E46072" w:rsidRPr="00BE5472">
        <w:rPr>
          <w:rFonts w:ascii="Times New Roman" w:hAnsi="Times New Roman" w:cs="Times New Roman"/>
          <w:sz w:val="24"/>
          <w:szCs w:val="24"/>
        </w:rPr>
        <w:t xml:space="preserve"> </w:t>
      </w:r>
      <w:r w:rsidR="009765DA" w:rsidRPr="00BE5472">
        <w:rPr>
          <w:rFonts w:ascii="Times New Roman" w:hAnsi="Times New Roman" w:cs="Times New Roman"/>
          <w:sz w:val="24"/>
          <w:szCs w:val="24"/>
        </w:rPr>
        <w:t>kod  deset</w:t>
      </w:r>
      <w:r w:rsidRPr="00BE5472">
        <w:rPr>
          <w:rFonts w:ascii="Times New Roman" w:hAnsi="Times New Roman" w:cs="Times New Roman"/>
          <w:sz w:val="24"/>
          <w:szCs w:val="24"/>
        </w:rPr>
        <w:t xml:space="preserve"> najvećih hrvatskih hotelskih poduzeća u 2023. godini.</w:t>
      </w:r>
    </w:p>
    <w:p w14:paraId="0498D48C" w14:textId="77777777" w:rsidR="006E052A" w:rsidRPr="00BE5472" w:rsidRDefault="006E052A" w:rsidP="006E052A">
      <w:pPr>
        <w:spacing w:after="120" w:line="360" w:lineRule="auto"/>
        <w:jc w:val="both"/>
        <w:rPr>
          <w:rFonts w:ascii="Times New Roman" w:hAnsi="Times New Roman" w:cs="Times New Roman"/>
          <w:sz w:val="24"/>
          <w:szCs w:val="24"/>
        </w:rPr>
      </w:pPr>
    </w:p>
    <w:p w14:paraId="761EA0A6" w14:textId="77777777" w:rsidR="006E052A" w:rsidRPr="00BE5472" w:rsidRDefault="006E052A" w:rsidP="006E052A">
      <w:pPr>
        <w:spacing w:after="120" w:line="360" w:lineRule="auto"/>
        <w:jc w:val="both"/>
        <w:rPr>
          <w:rFonts w:ascii="Times New Roman" w:hAnsi="Times New Roman" w:cs="Times New Roman"/>
          <w:sz w:val="24"/>
          <w:szCs w:val="24"/>
        </w:rPr>
      </w:pPr>
    </w:p>
    <w:p w14:paraId="1005FD70" w14:textId="77777777" w:rsidR="006E052A" w:rsidRPr="00BE5472" w:rsidRDefault="006E052A" w:rsidP="006E052A">
      <w:pPr>
        <w:spacing w:after="120" w:line="360" w:lineRule="auto"/>
        <w:jc w:val="both"/>
        <w:rPr>
          <w:rFonts w:ascii="Times New Roman" w:hAnsi="Times New Roman" w:cs="Times New Roman"/>
          <w:sz w:val="24"/>
          <w:szCs w:val="24"/>
        </w:rPr>
      </w:pPr>
    </w:p>
    <w:p w14:paraId="50D8725A" w14:textId="77777777" w:rsidR="006E052A" w:rsidRPr="00BE5472" w:rsidRDefault="006E052A" w:rsidP="006E052A">
      <w:pPr>
        <w:spacing w:after="120" w:line="360" w:lineRule="auto"/>
        <w:jc w:val="both"/>
        <w:rPr>
          <w:rFonts w:ascii="Times New Roman" w:hAnsi="Times New Roman" w:cs="Times New Roman"/>
          <w:sz w:val="24"/>
          <w:szCs w:val="24"/>
        </w:rPr>
      </w:pPr>
    </w:p>
    <w:p w14:paraId="1AA7B72C" w14:textId="77777777" w:rsidR="006E052A" w:rsidRPr="00BE5472" w:rsidRDefault="006E052A" w:rsidP="006E052A">
      <w:pPr>
        <w:spacing w:after="120" w:line="360" w:lineRule="auto"/>
        <w:jc w:val="both"/>
        <w:rPr>
          <w:rFonts w:ascii="Times New Roman" w:hAnsi="Times New Roman" w:cs="Times New Roman"/>
          <w:sz w:val="24"/>
          <w:szCs w:val="24"/>
        </w:rPr>
      </w:pPr>
    </w:p>
    <w:p w14:paraId="2F2AC99C" w14:textId="77777777" w:rsidR="006E052A" w:rsidRPr="00BE5472" w:rsidRDefault="006E052A" w:rsidP="006E052A">
      <w:pPr>
        <w:spacing w:after="120" w:line="360" w:lineRule="auto"/>
        <w:jc w:val="both"/>
        <w:rPr>
          <w:rFonts w:ascii="Times New Roman" w:hAnsi="Times New Roman" w:cs="Times New Roman"/>
          <w:sz w:val="24"/>
          <w:szCs w:val="24"/>
        </w:rPr>
      </w:pPr>
    </w:p>
    <w:p w14:paraId="32C97BD2" w14:textId="77777777" w:rsidR="00B52175" w:rsidRDefault="00B52175" w:rsidP="006E052A">
      <w:pPr>
        <w:spacing w:after="120" w:line="360" w:lineRule="auto"/>
        <w:jc w:val="both"/>
        <w:rPr>
          <w:rFonts w:ascii="Times New Roman" w:hAnsi="Times New Roman" w:cs="Times New Roman"/>
          <w:sz w:val="24"/>
          <w:szCs w:val="24"/>
        </w:rPr>
        <w:sectPr w:rsidR="00B52175" w:rsidSect="00D03C2F">
          <w:pgSz w:w="12240" w:h="15840"/>
          <w:pgMar w:top="1440" w:right="1440" w:bottom="1440" w:left="1440" w:header="708" w:footer="708" w:gutter="0"/>
          <w:cols w:space="708"/>
          <w:docGrid w:linePitch="360"/>
        </w:sectPr>
      </w:pPr>
    </w:p>
    <w:p w14:paraId="1785291C" w14:textId="13865D11" w:rsidR="006E052A" w:rsidRPr="00C87D90" w:rsidRDefault="00C87D90" w:rsidP="00C87D90">
      <w:pPr>
        <w:pStyle w:val="Caption"/>
        <w:rPr>
          <w:rFonts w:ascii="Times New Roman" w:hAnsi="Times New Roman" w:cs="Times New Roman"/>
          <w:sz w:val="24"/>
          <w:szCs w:val="24"/>
        </w:rPr>
      </w:pPr>
      <w:bookmarkStart w:id="56" w:name="_Toc241865278"/>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10</w:t>
      </w:r>
      <w:r w:rsidRPr="00C87D90">
        <w:rPr>
          <w:rFonts w:ascii="Times New Roman" w:hAnsi="Times New Roman" w:cs="Times New Roman"/>
          <w:sz w:val="24"/>
          <w:szCs w:val="24"/>
        </w:rPr>
        <w:fldChar w:fldCharType="end"/>
      </w:r>
      <w:r w:rsidR="006E052A" w:rsidRPr="00C87D90">
        <w:rPr>
          <w:rFonts w:ascii="Times New Roman" w:hAnsi="Times New Roman" w:cs="Times New Roman"/>
          <w:sz w:val="24"/>
          <w:szCs w:val="24"/>
        </w:rPr>
        <w:t xml:space="preserve">: Broj zaposlenika prema satima rada </w:t>
      </w:r>
      <w:r w:rsidR="009765DA" w:rsidRPr="00C87D90">
        <w:rPr>
          <w:rFonts w:ascii="Times New Roman" w:hAnsi="Times New Roman" w:cs="Times New Roman"/>
          <w:sz w:val="24"/>
          <w:szCs w:val="24"/>
        </w:rPr>
        <w:t>deset</w:t>
      </w:r>
      <w:r w:rsidR="00E427FF" w:rsidRPr="00C87D90">
        <w:rPr>
          <w:rFonts w:ascii="Times New Roman" w:hAnsi="Times New Roman" w:cs="Times New Roman"/>
          <w:sz w:val="24"/>
          <w:szCs w:val="24"/>
        </w:rPr>
        <w:t xml:space="preserve"> </w:t>
      </w:r>
      <w:r w:rsidR="006E052A" w:rsidRPr="00C87D90">
        <w:rPr>
          <w:rFonts w:ascii="Times New Roman" w:hAnsi="Times New Roman" w:cs="Times New Roman"/>
          <w:sz w:val="24"/>
          <w:szCs w:val="24"/>
        </w:rPr>
        <w:t>najvećih hrvatskih hotelskih poduzeća u 2023. godini</w:t>
      </w:r>
      <w:bookmarkEnd w:id="56"/>
    </w:p>
    <w:p w14:paraId="6A86DCE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409BFFE2" wp14:editId="3BB44882">
            <wp:extent cx="5772150" cy="4462464"/>
            <wp:effectExtent l="0" t="0" r="0" b="14605"/>
            <wp:docPr id="7" name="Grafikon 7">
              <a:extLst xmlns:a="http://schemas.openxmlformats.org/drawingml/2006/main">
                <a:ext uri="{FF2B5EF4-FFF2-40B4-BE49-F238E27FC236}">
                  <a16:creationId xmlns:a16="http://schemas.microsoft.com/office/drawing/2014/main" id="{E68ED1A6-EA18-4C6D-B34E-FCBCEC4E7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2D6746C"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izrada autora prema: </w:t>
      </w:r>
      <w:r w:rsidRPr="00BE5472">
        <w:rPr>
          <w:rFonts w:ascii="Times New Roman" w:hAnsi="Times New Roman" w:cs="Times New Roman"/>
          <w:i/>
          <w:iCs/>
          <w:sz w:val="24"/>
          <w:szCs w:val="24"/>
        </w:rPr>
        <w:t>Fina info.Biz</w:t>
      </w:r>
      <w:r w:rsidRPr="00BE5472">
        <w:rPr>
          <w:rFonts w:ascii="Times New Roman" w:hAnsi="Times New Roman" w:cs="Times New Roman"/>
          <w:sz w:val="24"/>
          <w:szCs w:val="24"/>
        </w:rPr>
        <w:t xml:space="preserve"> (2024).</w:t>
      </w:r>
    </w:p>
    <w:p w14:paraId="5D433DDB" w14:textId="759543F3"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Najviše zaposlenika prema satima rada evidentirano je kod poslodavca </w:t>
      </w: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d.d., a s razlikom od preko 1.000 zaposlenika prema satima rada slijedi </w:t>
      </w:r>
      <w:r w:rsidRPr="00BE5472">
        <w:rPr>
          <w:rFonts w:ascii="Times New Roman" w:hAnsi="Times New Roman" w:cs="Times New Roman"/>
          <w:i/>
          <w:iCs/>
          <w:sz w:val="24"/>
          <w:szCs w:val="24"/>
        </w:rPr>
        <w:t>Maistra</w:t>
      </w:r>
      <w:r w:rsidRPr="00BE5472">
        <w:rPr>
          <w:rFonts w:ascii="Times New Roman" w:hAnsi="Times New Roman" w:cs="Times New Roman"/>
          <w:sz w:val="24"/>
          <w:szCs w:val="24"/>
        </w:rPr>
        <w:t xml:space="preserve"> d.d. i </w:t>
      </w: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d.d..</w:t>
      </w:r>
    </w:p>
    <w:p w14:paraId="0F7B01B7" w14:textId="190042A5" w:rsidR="006E052A" w:rsidRPr="00BE5472" w:rsidRDefault="000621F2" w:rsidP="006E052A">
      <w:pPr>
        <w:spacing w:after="120" w:line="360" w:lineRule="auto"/>
        <w:jc w:val="both"/>
        <w:rPr>
          <w:rFonts w:ascii="Times New Roman" w:hAnsi="Times New Roman" w:cs="Times New Roman"/>
          <w:sz w:val="24"/>
          <w:szCs w:val="24"/>
        </w:rPr>
      </w:pPr>
      <w:r w:rsidRPr="00BE5472">
        <w:rPr>
          <w:rStyle w:val="CommentReference"/>
          <w:rFonts w:ascii="Times New Roman" w:hAnsi="Times New Roman" w:cs="Times New Roman"/>
          <w:sz w:val="24"/>
          <w:szCs w:val="24"/>
        </w:rPr>
        <w:t>Z</w:t>
      </w:r>
      <w:r w:rsidR="006E052A" w:rsidRPr="00BE5472">
        <w:rPr>
          <w:rFonts w:ascii="Times New Roman" w:hAnsi="Times New Roman" w:cs="Times New Roman"/>
          <w:sz w:val="24"/>
          <w:szCs w:val="24"/>
        </w:rPr>
        <w:t>animljivo je spomenuti istraživanje Pupavca i Kravaice (2021)</w:t>
      </w:r>
      <w:r w:rsidR="009765DA" w:rsidRPr="00BE5472">
        <w:rPr>
          <w:rFonts w:ascii="Times New Roman" w:hAnsi="Times New Roman" w:cs="Times New Roman"/>
          <w:sz w:val="24"/>
          <w:szCs w:val="24"/>
        </w:rPr>
        <w:t>,</w:t>
      </w:r>
      <w:r w:rsidR="006E052A" w:rsidRPr="00BE5472">
        <w:rPr>
          <w:rFonts w:ascii="Times New Roman" w:hAnsi="Times New Roman" w:cs="Times New Roman"/>
          <w:sz w:val="24"/>
          <w:szCs w:val="24"/>
        </w:rPr>
        <w:t xml:space="preserve"> koje ukazuje </w:t>
      </w:r>
      <w:r w:rsidR="009765DA" w:rsidRPr="00BE5472">
        <w:rPr>
          <w:rFonts w:ascii="Times New Roman" w:hAnsi="Times New Roman" w:cs="Times New Roman"/>
          <w:sz w:val="24"/>
          <w:szCs w:val="24"/>
        </w:rPr>
        <w:t xml:space="preserve">na to </w:t>
      </w:r>
      <w:r w:rsidR="006E052A" w:rsidRPr="00BE5472">
        <w:rPr>
          <w:rFonts w:ascii="Times New Roman" w:hAnsi="Times New Roman" w:cs="Times New Roman"/>
          <w:sz w:val="24"/>
          <w:szCs w:val="24"/>
        </w:rPr>
        <w:t xml:space="preserve">da je svaki drugi zaposlenik u hrvatskoj hotelskoj industriji nisko produktivan. </w:t>
      </w:r>
      <w:r w:rsidR="009765DA" w:rsidRPr="00BE5472">
        <w:rPr>
          <w:rFonts w:ascii="Times New Roman" w:hAnsi="Times New Roman" w:cs="Times New Roman"/>
          <w:sz w:val="24"/>
          <w:szCs w:val="24"/>
        </w:rPr>
        <w:t xml:space="preserve"> </w:t>
      </w:r>
    </w:p>
    <w:p w14:paraId="7CFD7A55" w14:textId="77777777" w:rsidR="006E052A" w:rsidRPr="00BE5472" w:rsidRDefault="006E052A" w:rsidP="006E052A">
      <w:pPr>
        <w:spacing w:after="120" w:line="360" w:lineRule="auto"/>
        <w:jc w:val="both"/>
        <w:rPr>
          <w:rFonts w:ascii="Times New Roman" w:hAnsi="Times New Roman" w:cs="Times New Roman"/>
          <w:sz w:val="24"/>
          <w:szCs w:val="24"/>
        </w:rPr>
      </w:pPr>
    </w:p>
    <w:p w14:paraId="234AF934" w14:textId="58EA6896"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d.d., najveće hotelsko poduzeće prema prihodima i broju zaposlenika u zemlji, izvijestila je o prihodima skoro na razini 300 milijuna </w:t>
      </w:r>
      <w:r w:rsidR="009765DA" w:rsidRPr="00BE5472">
        <w:rPr>
          <w:rFonts w:ascii="Times New Roman" w:hAnsi="Times New Roman" w:cs="Times New Roman"/>
          <w:sz w:val="24"/>
          <w:szCs w:val="24"/>
        </w:rPr>
        <w:t>e</w:t>
      </w:r>
      <w:r w:rsidRPr="00BE5472">
        <w:rPr>
          <w:rFonts w:ascii="Times New Roman" w:hAnsi="Times New Roman" w:cs="Times New Roman"/>
          <w:sz w:val="24"/>
          <w:szCs w:val="24"/>
        </w:rPr>
        <w:t>ura</w:t>
      </w:r>
      <w:r w:rsidR="009765DA"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predstavlja smanjenje od 9,6</w:t>
      </w:r>
      <w:r w:rsidR="009765DA" w:rsidRPr="00BE5472">
        <w:rPr>
          <w:rFonts w:ascii="Times New Roman" w:hAnsi="Times New Roman" w:cs="Times New Roman"/>
          <w:sz w:val="24"/>
          <w:szCs w:val="24"/>
        </w:rPr>
        <w:t xml:space="preserve"> </w:t>
      </w:r>
      <w:r w:rsidRPr="00BE5472">
        <w:rPr>
          <w:rFonts w:ascii="Times New Roman" w:hAnsi="Times New Roman" w:cs="Times New Roman"/>
          <w:sz w:val="24"/>
          <w:szCs w:val="24"/>
        </w:rPr>
        <w:t>% u odnosu na 2022. godinu</w:t>
      </w:r>
      <w:r w:rsidR="009765DA"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se objašnjava izostankom visokih neto prihoda od prodaje tri hotela povezanom društvu </w:t>
      </w:r>
      <w:r w:rsidRPr="00BE5472">
        <w:rPr>
          <w:rFonts w:ascii="Times New Roman" w:hAnsi="Times New Roman" w:cs="Times New Roman"/>
          <w:i/>
          <w:iCs/>
          <w:sz w:val="24"/>
          <w:szCs w:val="24"/>
        </w:rPr>
        <w:t>Imperial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Riviera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Valamar</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Riviera</w:t>
      </w:r>
      <w:r w:rsidRPr="00BE5472">
        <w:rPr>
          <w:rFonts w:ascii="Times New Roman" w:hAnsi="Times New Roman" w:cs="Times New Roman"/>
          <w:sz w:val="24"/>
          <w:szCs w:val="24"/>
        </w:rPr>
        <w:t xml:space="preserve"> 2023). </w:t>
      </w:r>
      <w:r w:rsidRPr="00BE5472">
        <w:rPr>
          <w:rFonts w:ascii="Times New Roman" w:hAnsi="Times New Roman" w:cs="Times New Roman"/>
          <w:i/>
          <w:iCs/>
          <w:sz w:val="24"/>
          <w:szCs w:val="24"/>
        </w:rPr>
        <w:t>Maistre Grupa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Plava Laguna</w:t>
      </w:r>
      <w:r w:rsidRPr="00BE5472">
        <w:rPr>
          <w:rFonts w:ascii="Times New Roman" w:hAnsi="Times New Roman" w:cs="Times New Roman"/>
          <w:sz w:val="24"/>
          <w:szCs w:val="24"/>
        </w:rPr>
        <w:t xml:space="preserve"> su zabilježile rast prihoda zahvaljujući povećanoj popunjenosti kapaciteta i višim cijenama smještaja.</w:t>
      </w:r>
    </w:p>
    <w:p w14:paraId="0E471024" w14:textId="33BB32A9"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EBITDA pokazatelj ovih poduzeća također je pozitivan i odražava njihovu sposobnost generiranja operativne dobiti i efikasnog upravljanja troškovima. Povećana EBITDA rezultat je optimizacije operativnih procesa, ulaganja u obnovu i modernizaciju objekata, kao i uspješnih marketinških strategija koje privlače veći broj gostiju. Neto dobit vodećih hotelskih poduzeća također je pozitivna, što dodatno potvrđuje uspješnost njihovih poslovnih modela i strateških inicijativa. Profitabilnost je potpomognuta ne samo rastom prihoda i kontrolom troškova, već i povoljnim uvjetima na tržištu kapitala te fiskalnim mjerama koje su olakšale poslovanje u postpandemijskom razdoblju.</w:t>
      </w:r>
    </w:p>
    <w:p w14:paraId="5742FD28"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Sveukupno, financijski rezultati hrvatskih hotelskih poduzeća ukazuju na uspješan oporavak i rast sektora, te postavljaju temelje za daljnji razvoj i jačanje konkurentnosti Hrvatske kao destinacije održivog turizma.</w:t>
      </w:r>
    </w:p>
    <w:p w14:paraId="3FF6DDB2" w14:textId="77777777" w:rsidR="006E052A" w:rsidRPr="00BE5472" w:rsidRDefault="006E052A" w:rsidP="006E052A">
      <w:pPr>
        <w:spacing w:after="120" w:line="360" w:lineRule="auto"/>
        <w:jc w:val="both"/>
        <w:rPr>
          <w:rFonts w:ascii="Times New Roman" w:hAnsi="Times New Roman" w:cs="Times New Roman"/>
          <w:sz w:val="24"/>
          <w:szCs w:val="24"/>
        </w:rPr>
      </w:pPr>
    </w:p>
    <w:p w14:paraId="7CA3BA4C" w14:textId="7EE7E310" w:rsidR="006E052A" w:rsidRPr="00BE5472" w:rsidRDefault="006E052A" w:rsidP="00055144">
      <w:pPr>
        <w:pStyle w:val="Heading2"/>
        <w:rPr>
          <w:rFonts w:ascii="Times New Roman" w:hAnsi="Times New Roman" w:cs="Times New Roman"/>
        </w:rPr>
      </w:pPr>
      <w:bookmarkStart w:id="57" w:name="_Toc210381409"/>
      <w:bookmarkStart w:id="58" w:name="_Toc241865133"/>
      <w:r w:rsidRPr="00BE5472">
        <w:rPr>
          <w:rFonts w:ascii="Times New Roman" w:hAnsi="Times New Roman" w:cs="Times New Roman"/>
        </w:rPr>
        <w:t>2.4. O</w:t>
      </w:r>
      <w:bookmarkEnd w:id="57"/>
      <w:r w:rsidR="0048684D" w:rsidRPr="00BE5472">
        <w:rPr>
          <w:rFonts w:ascii="Times New Roman" w:hAnsi="Times New Roman" w:cs="Times New Roman"/>
        </w:rPr>
        <w:t>bilježja i specifičnosti poslovanja hotelskog sektora</w:t>
      </w:r>
      <w:bookmarkEnd w:id="58"/>
    </w:p>
    <w:p w14:paraId="302EDE23" w14:textId="77777777" w:rsidR="006E052A" w:rsidRPr="00BE5472" w:rsidRDefault="006E052A" w:rsidP="006E052A">
      <w:pPr>
        <w:spacing w:after="120" w:line="360" w:lineRule="auto"/>
        <w:jc w:val="both"/>
        <w:rPr>
          <w:rFonts w:ascii="Times New Roman" w:hAnsi="Times New Roman" w:cs="Times New Roman"/>
          <w:sz w:val="24"/>
          <w:szCs w:val="24"/>
        </w:rPr>
      </w:pPr>
    </w:p>
    <w:p w14:paraId="110CA72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Hotelski sektor ima ključnu ulogu u oblikovanju ukupnog iskustva gostiju koji posjećuju neku destinaciju. Hotelski je sektor dinamičan. Formula uspješnog poslovanja u hotelskom sektoru pretpostavlja kombinaciju vrhunske usluge, strateške lokacije, suradnju s interesnim dionicima u turističkom ekosustavu, raznoliku ponudu, tehnološke inovacije, održivost, snažan identitet marke i razborito upravljanje prihodima i troškovima. Kontinuiranim prilagođavanjem tržišnim trendovima i očekivanjima gostiju hoteli mogu stvarati vrlo bogata i duboka iskustva i doživljaje kojima pridobivaju lojalne goste, a sebi osiguravaju dugoročni rast i mogućnosti daljnjeg razvoja. </w:t>
      </w:r>
    </w:p>
    <w:p w14:paraId="76C8C3EE" w14:textId="3FAE8EEC" w:rsidR="002F659D"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Hotelski je sektor uslužni sektor jer oblikuje, pruža i prodaje usluge koje imaju svoje jedinstvene karakteristike i time se značajno razlikuju od materijalnih dobara. </w:t>
      </w:r>
      <w:r w:rsidR="00D57990" w:rsidRPr="00BE5472">
        <w:rPr>
          <w:rFonts w:ascii="Times New Roman" w:hAnsi="Times New Roman" w:cs="Times New Roman"/>
          <w:sz w:val="24"/>
          <w:szCs w:val="24"/>
        </w:rPr>
        <w:t>Pivčević</w:t>
      </w:r>
      <w:r w:rsidRPr="00BE5472">
        <w:rPr>
          <w:rFonts w:ascii="Times New Roman" w:hAnsi="Times New Roman" w:cs="Times New Roman"/>
          <w:sz w:val="24"/>
          <w:szCs w:val="24"/>
        </w:rPr>
        <w:t xml:space="preserve"> (2006:43) opisuje usluge kao „specifikum cilja</w:t>
      </w:r>
      <w:r w:rsidR="009765DA" w:rsidRPr="00BE5472">
        <w:rPr>
          <w:rFonts w:ascii="Times New Roman" w:hAnsi="Times New Roman" w:cs="Times New Roman"/>
          <w:sz w:val="24"/>
          <w:szCs w:val="24"/>
        </w:rPr>
        <w:t xml:space="preserve"> '</w:t>
      </w:r>
      <w:r w:rsidRPr="00BE5472">
        <w:rPr>
          <w:rFonts w:ascii="Times New Roman" w:hAnsi="Times New Roman" w:cs="Times New Roman"/>
          <w:sz w:val="24"/>
          <w:szCs w:val="24"/>
        </w:rPr>
        <w:t>proizvodnja</w:t>
      </w:r>
      <w:r w:rsidR="009765DA" w:rsidRPr="00BE5472">
        <w:rPr>
          <w:rFonts w:ascii="Times New Roman" w:hAnsi="Times New Roman" w:cs="Times New Roman"/>
          <w:sz w:val="24"/>
          <w:szCs w:val="24"/>
        </w:rPr>
        <w:t>'</w:t>
      </w:r>
      <w:r w:rsidRPr="00BE5472">
        <w:rPr>
          <w:rFonts w:ascii="Times New Roman" w:hAnsi="Times New Roman" w:cs="Times New Roman"/>
          <w:sz w:val="24"/>
          <w:szCs w:val="24"/>
        </w:rPr>
        <w:t>, tj. pružanje i razmjena postavljaju niz posebnih zahtjeva o kojima svaki hotel mora voditi računa.“</w:t>
      </w:r>
    </w:p>
    <w:p w14:paraId="2DA5F27B" w14:textId="16528519"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Karakteristike usluga su sljedeće (Kandampully, Mok i Sparks 2009; Kaiser 2012; Dubei 2016): </w:t>
      </w:r>
    </w:p>
    <w:p w14:paraId="5254251C" w14:textId="2BE7BCAE" w:rsidR="006E052A" w:rsidRPr="00BE5472" w:rsidRDefault="006E052A" w:rsidP="006E052A">
      <w:pPr>
        <w:numPr>
          <w:ilvl w:val="0"/>
          <w:numId w:val="15"/>
        </w:numPr>
        <w:spacing w:after="120"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Nematerijalna priroda</w:t>
      </w:r>
      <w:r w:rsidRPr="00BE5472">
        <w:rPr>
          <w:rFonts w:ascii="Times New Roman" w:hAnsi="Times New Roman" w:cs="Times New Roman"/>
          <w:bCs/>
          <w:sz w:val="24"/>
          <w:szCs w:val="24"/>
        </w:rPr>
        <w:t xml:space="preserve"> - Osnovna razlika između dobara i uslužnih proizvoda je u tome što se dobra proizvode, dok se usluge pružaju uživo. To implicira da se svaka usluga pružena </w:t>
      </w:r>
      <w:r w:rsidRPr="00BE5472">
        <w:rPr>
          <w:rFonts w:ascii="Times New Roman" w:hAnsi="Times New Roman" w:cs="Times New Roman"/>
          <w:bCs/>
          <w:sz w:val="24"/>
          <w:szCs w:val="24"/>
        </w:rPr>
        <w:lastRenderedPageBreak/>
        <w:t>u hotelu ili restoranu razlikuje od druge, čak i ako se pruža na istom mjestu ili u isto vrijeme drugog dana</w:t>
      </w:r>
      <w:r w:rsidR="002F659D">
        <w:rPr>
          <w:rFonts w:ascii="Times New Roman" w:hAnsi="Times New Roman" w:cs="Times New Roman"/>
          <w:bCs/>
          <w:sz w:val="24"/>
          <w:szCs w:val="24"/>
        </w:rPr>
        <w:t>.</w:t>
      </w:r>
    </w:p>
    <w:p w14:paraId="01208781" w14:textId="77777777" w:rsidR="006E052A" w:rsidRPr="00BE5472" w:rsidRDefault="006E052A" w:rsidP="006E052A">
      <w:pPr>
        <w:numPr>
          <w:ilvl w:val="0"/>
          <w:numId w:val="15"/>
        </w:numPr>
        <w:spacing w:after="120"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Pokvarljivost i prolaznost</w:t>
      </w:r>
      <w:r w:rsidRPr="00BE5472">
        <w:rPr>
          <w:rFonts w:ascii="Times New Roman" w:hAnsi="Times New Roman" w:cs="Times New Roman"/>
          <w:bCs/>
          <w:sz w:val="24"/>
          <w:szCs w:val="24"/>
        </w:rPr>
        <w:t xml:space="preserve"> - Usluge se ne mogu skladištiti kao što se mogu skladištiti materijalna dobra i proizvodi. Ako se ne prodaju u za to predviđenom vremenu, više se ni neće moći prodati. </w:t>
      </w:r>
    </w:p>
    <w:p w14:paraId="57FB1BA8" w14:textId="77777777" w:rsidR="006E052A" w:rsidRPr="00BE5472" w:rsidRDefault="006E052A" w:rsidP="006E052A">
      <w:pPr>
        <w:numPr>
          <w:ilvl w:val="0"/>
          <w:numId w:val="15"/>
        </w:numPr>
        <w:spacing w:after="120"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Orijentiranost na ljude</w:t>
      </w:r>
      <w:r w:rsidRPr="00BE5472">
        <w:rPr>
          <w:rFonts w:ascii="Times New Roman" w:hAnsi="Times New Roman" w:cs="Times New Roman"/>
          <w:bCs/>
          <w:sz w:val="24"/>
          <w:szCs w:val="24"/>
        </w:rPr>
        <w:t xml:space="preserve"> - Interakcija između potrošača i zaposlenika u hotelskom sektoru osigurava kvalitetu proizvoda. Pružanje nezaboravnog iskustva gotovo u potpunosti ovisi o osobnoj interakciji s ljudima – zaposlenicima. Zaposlenici su ti koji izravno komuniciraju s gostima, a to čine gotovo svakog dana njihova boravka. Ovakva komunikacija otvara mogućnosti stvaranja brojnih grešaka u pružanju usluge, a sve se to može negativno odraziti na ukupni doživljaj gosta (Barjaktarović, 2013).</w:t>
      </w:r>
    </w:p>
    <w:p w14:paraId="5760D3EC" w14:textId="77777777" w:rsidR="006E052A" w:rsidRPr="00BE5472" w:rsidRDefault="006E052A" w:rsidP="006E052A">
      <w:pPr>
        <w:numPr>
          <w:ilvl w:val="0"/>
          <w:numId w:val="15"/>
        </w:numPr>
        <w:spacing w:after="120"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Nefleksibilnost</w:t>
      </w:r>
      <w:r w:rsidRPr="00BE5472">
        <w:rPr>
          <w:rFonts w:ascii="Times New Roman" w:hAnsi="Times New Roman" w:cs="Times New Roman"/>
          <w:bCs/>
          <w:sz w:val="24"/>
          <w:szCs w:val="24"/>
        </w:rPr>
        <w:t xml:space="preserve"> - Hotelski objekt ne može mijenjati svoje kapacitete kako bi odgovorio na više/manje potražnje u datom trenutku. </w:t>
      </w:r>
    </w:p>
    <w:p w14:paraId="38AEEC83" w14:textId="76CD7D3D" w:rsidR="006E052A" w:rsidRPr="00BE5472" w:rsidRDefault="006E052A" w:rsidP="006E052A">
      <w:pPr>
        <w:numPr>
          <w:ilvl w:val="0"/>
          <w:numId w:val="15"/>
        </w:numPr>
        <w:spacing w:after="120"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Heterogenost</w:t>
      </w:r>
      <w:r w:rsidRPr="00BE5472">
        <w:rPr>
          <w:rFonts w:ascii="Times New Roman" w:hAnsi="Times New Roman" w:cs="Times New Roman"/>
          <w:bCs/>
          <w:sz w:val="24"/>
          <w:szCs w:val="24"/>
        </w:rPr>
        <w:t xml:space="preserve"> - Različiti čimbenici utječu na proces pružanja usluga. Heterogenošću se može objasniti varijacija u interakciji sa svakim potrošačem/gostom, što također znači da će zadovoljstvo i iskustvo svakog potrošača/gosta biti drugačije iako se usluge pružaju u istom okruženju i mjestu.</w:t>
      </w:r>
    </w:p>
    <w:p w14:paraId="29B42705" w14:textId="77777777" w:rsidR="006E052A" w:rsidRPr="00BE5472" w:rsidRDefault="006E052A" w:rsidP="006E052A">
      <w:pPr>
        <w:numPr>
          <w:ilvl w:val="0"/>
          <w:numId w:val="15"/>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Neodvojivost (nedjeljivost)</w:t>
      </w:r>
      <w:r w:rsidRPr="00BE5472">
        <w:rPr>
          <w:rFonts w:ascii="Times New Roman" w:hAnsi="Times New Roman" w:cs="Times New Roman"/>
          <w:sz w:val="24"/>
          <w:szCs w:val="24"/>
        </w:rPr>
        <w:t xml:space="preserve"> - Ovo implicira da se čin pružanja usluge i potrošnja odvijaju istovremeno i u istom okruženju.</w:t>
      </w:r>
    </w:p>
    <w:p w14:paraId="7F49C4F4" w14:textId="77777777" w:rsidR="006E052A" w:rsidRPr="00BE5472" w:rsidRDefault="006E052A" w:rsidP="006E052A">
      <w:pPr>
        <w:numPr>
          <w:ilvl w:val="0"/>
          <w:numId w:val="15"/>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Imitacija</w:t>
      </w:r>
      <w:r w:rsidRPr="00BE5472">
        <w:rPr>
          <w:rFonts w:ascii="Times New Roman" w:hAnsi="Times New Roman" w:cs="Times New Roman"/>
          <w:sz w:val="24"/>
          <w:szCs w:val="24"/>
        </w:rPr>
        <w:t xml:space="preserve"> – Ponude i proizvodi hotelskih poduzeća mogu se vrlo lako imitirati, no pružanje usluge nije moguće kopirati. </w:t>
      </w:r>
    </w:p>
    <w:p w14:paraId="4C15B22F" w14:textId="77777777" w:rsidR="006E052A" w:rsidRPr="00BE5472" w:rsidRDefault="006E052A" w:rsidP="006E052A">
      <w:pPr>
        <w:spacing w:after="120" w:line="360" w:lineRule="auto"/>
        <w:jc w:val="both"/>
        <w:rPr>
          <w:rFonts w:ascii="Times New Roman" w:hAnsi="Times New Roman" w:cs="Times New Roman"/>
          <w:sz w:val="24"/>
          <w:szCs w:val="24"/>
        </w:rPr>
      </w:pPr>
    </w:p>
    <w:p w14:paraId="7761A47D"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Rispolli i Tama (1996) gornjem su nizu pridodali još neopipljivost usluge koja je komplementarna njihovoj nematerijalnoj prirodi i iznimno važna karakteristika usluge. Tek po dolasku u destinaciju, u konkretan hotelski objekt, gosti mogu osjetiti odnosno, konzumirati uslugu. </w:t>
      </w:r>
    </w:p>
    <w:p w14:paraId="77F0536E" w14:textId="71511B64"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Hotelske su usluge dio ukupne turističke ponude neke destinacije. Avelini Holjevac (2002) ističe da je potražnja za hotelskim smještajem izvedena iz ukupne turističke potražnje. To je zbog toga što valja uzeti u obzir neospornu činjenicu da, u pravilu, gost teži boraviti u nekoj destinaciji iz različitih razloga, a potom, kada odabere destinaciju koja mu odgovara, u potrazi je za hotelskim smještajem koji će, također, najbolje odgovarati njegovim željama i potrebama. Nadalje, da bi </w:t>
      </w:r>
      <w:r w:rsidRPr="00BE5472">
        <w:rPr>
          <w:rFonts w:ascii="Times New Roman" w:hAnsi="Times New Roman" w:cs="Times New Roman"/>
          <w:sz w:val="24"/>
          <w:szCs w:val="24"/>
        </w:rPr>
        <w:lastRenderedPageBreak/>
        <w:t xml:space="preserve">hotel pružio vrhunsku hotelsku uslugu, to ne može izolirano od ostalih sektora jednog gospodarstva. Oni utječu na poslovanje hotelskog poduzeća, kao i niz drugih elemenata koji čini ukupan turistički proizvod/uslugu. Kvaliteta hotelskih usluga uključuje poštivanje raznih procedura koje doprinose zadovoljnom gostu, a one su (Batinić 2016: 26): kultura usluge (hotelsko poduzeće mora jasno „živjeti“ i zračiti eksplicitnom kulturom usluge prema svom okruženju, a pozadina svega je uspješna kontrola kvalitete u hotelu), ljubaznost (od svih se zaposlenika očekuje da budu ljubazni, a posebice oni koji su u svakodnevnom i izravnom kontaktu s gostima hotela), standardizacija (proces i pružanje moraju se odvijati u skladu s očekivanjima gostiju), iskustvo (uslužno osoblje mora biti kompetentno za pružanje usluge što znači da mora ima profesionalnog znanja, ali se  mora znati i ophoditi prema gostima hotela) i reklamacije (bez reklamacija nema ni unaprjeđenja usluge). </w:t>
      </w:r>
    </w:p>
    <w:p w14:paraId="59BDA543"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Hotelsko poslovanje, nadalje, karakterizira (Lexpera 2023):</w:t>
      </w:r>
    </w:p>
    <w:p w14:paraId="5B79D062"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“ne postojanje kontinuiranog tijeka radnih procesa,</w:t>
      </w:r>
    </w:p>
    <w:p w14:paraId="6B3C1FA8" w14:textId="1AD94AE8" w:rsidR="006E052A" w:rsidRPr="00BE5472" w:rsidRDefault="00357B2F"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k</w:t>
      </w:r>
      <w:r w:rsidR="006E052A" w:rsidRPr="00BE5472">
        <w:rPr>
          <w:rFonts w:ascii="Times New Roman" w:hAnsi="Times New Roman" w:cs="Times New Roman"/>
          <w:sz w:val="24"/>
          <w:szCs w:val="24"/>
        </w:rPr>
        <w:t>ratko razdoblje trajanja proizvodnih i uslužnih procesa,</w:t>
      </w:r>
    </w:p>
    <w:p w14:paraId="7C976AFC"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korištenje materijala relativno visoke vrijednosti (skupe namirnice i pića),</w:t>
      </w:r>
    </w:p>
    <w:p w14:paraId="57F04898"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nužnost praćenja suvremene tehnologije,</w:t>
      </w:r>
    </w:p>
    <w:p w14:paraId="381DE395"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nemogućnost precizna planiranja,</w:t>
      </w:r>
    </w:p>
    <w:p w14:paraId="6DB0A856"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neprenosivost usluga i ugostiteljskih proizvoda,</w:t>
      </w:r>
    </w:p>
    <w:p w14:paraId="2D36E9F3"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visok udio fiksnih troškova,</w:t>
      </w:r>
    </w:p>
    <w:p w14:paraId="2EB9C8C0"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krutost opsega i strukture sredstava,</w:t>
      </w:r>
    </w:p>
    <w:p w14:paraId="28572D71"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visoko zahtjevni prinosi na kapital zbog visoko propulzivne djelatnosti,</w:t>
      </w:r>
    </w:p>
    <w:p w14:paraId="33770AAA"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potreba diferenciranja prodajnih cijena hotelskih usluga,</w:t>
      </w:r>
    </w:p>
    <w:p w14:paraId="78E0E196"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promjenjivost ulaznih cijena i</w:t>
      </w:r>
    </w:p>
    <w:p w14:paraId="663B42C8" w14:textId="77777777" w:rsidR="006E052A" w:rsidRPr="00BE5472" w:rsidRDefault="006E052A" w:rsidP="006E052A">
      <w:pPr>
        <w:numPr>
          <w:ilvl w:val="0"/>
          <w:numId w:val="14"/>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promjenjivost novčanog tijeka i dobiti”.</w:t>
      </w:r>
    </w:p>
    <w:p w14:paraId="0A7DE646" w14:textId="77777777" w:rsidR="006E052A" w:rsidRPr="00BE5472" w:rsidRDefault="006E052A" w:rsidP="006E052A">
      <w:pPr>
        <w:spacing w:after="120" w:line="360" w:lineRule="auto"/>
        <w:jc w:val="both"/>
        <w:rPr>
          <w:rFonts w:ascii="Times New Roman" w:hAnsi="Times New Roman" w:cs="Times New Roman"/>
          <w:sz w:val="24"/>
          <w:szCs w:val="24"/>
        </w:rPr>
      </w:pPr>
    </w:p>
    <w:p w14:paraId="1AF7C953"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Avelini Holjevac (1998: 43) izdvaja sljedeće specifičnosti hotelskog poslovanja: „kratko vrijeme trajanja proizvodnih i uslužnih procesa, diskontinuiranom tijeku radnih procesa, proizvodnji za nepotrebnu potrošnju (ne proizvodi se za skladište, nema rezervi), stalnoj pripravnosti radnika i sredstava za proizvodnju i obavljanje usluga koje počinju tek u trenutku dolaska gosta-potrošača, tj. njegovom narudžbom, raznovrsnosti proizvoda, raznovrsnosti usluga, neposrednom </w:t>
      </w:r>
      <w:r w:rsidRPr="00BE5472">
        <w:rPr>
          <w:rFonts w:ascii="Times New Roman" w:hAnsi="Times New Roman" w:cs="Times New Roman"/>
          <w:sz w:val="24"/>
          <w:szCs w:val="24"/>
        </w:rPr>
        <w:lastRenderedPageBreak/>
        <w:t xml:space="preserve">komuniciranju s gostima i potrebi stalnog prilagođavanja njihovom zahtjevima, specifičnim uvjetima rada (dugo stajanje, dugo hodanje, visoke temperature, određena živčana napetost i sl.), nemogućnosti precizna planiranja i raspodjele proizvodnje te obavljanje usluga u vremenu, krutosti opsega i strukture sredstava koja uvjetuju dominantno sudjelovanje fiksnih troškova u ukupnim troškovima hotela, nemogućnosti potpuno stalnoga usklađivanja broja radnika i razine zaposlenosti kapaciteta, elastičnosti radnog vremena, sezonskom radu, potrebi diferenciranja prodajnih cijena hotelskih usluga, tj. stalno prilagođavanje potrošnje“. </w:t>
      </w:r>
    </w:p>
    <w:p w14:paraId="2EF329FA" w14:textId="4F94B20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Dropulić Ružić (2011: 178) na hotelsko poduzeće gleda kao na „složen organizacijski sustav koji posluje u promjenljivim internim i eksternim uvjetima turističkog tržišta“ i zbog toga je kontinuirano prilagođavanje poslovanja nužno za osiguravanje konkurentnosti uz inovacije, kvalitetne ljudske potencijale te upravljanje kvalitetom i znanjem (Črnjar i Vrtodušić Hrgović 2013). Nadalje, Dropulić Ružić (2011: 180) zaključuje kako se hotelsko poduzeće razlikuje od drugih ugostiteljskih poduzeća zbog toga što je radno i kapitalno osjetljivije</w:t>
      </w:r>
      <w:r w:rsidR="006E3438"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značajno utječe na strukturu i mehanizme korporativnog upravljanja. </w:t>
      </w:r>
    </w:p>
    <w:p w14:paraId="419E37D5"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Hotelski objekti su svojevrsni „privremeni domovi“ gostiju, bez obzira jesu li oni na odmoru, poslovnom putovanju ili dolaze iz nekih drugih razloga. Poslovanje u hotelskom sektoru ima određene specifičnosti: </w:t>
      </w:r>
    </w:p>
    <w:p w14:paraId="6DD0C250" w14:textId="53AFAB7F"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Pružanje izvanredne i personalizirane usluge gostima podrazumijeva usmjeravanje pažnje ka detaljima, osiguravanje visokih standarda usluge jer to je neophodno u osiguravanju nezaboravnog iskustva u hotelu i destinaciji. Zbog toga je potrebno posvetiti pažnju kontinuiranoj edukaciji ljudskih resursa koji su ključni za osiguranje ovakve usluge. Navedeno vrlo dobro opisuju riječi Mattea Pacce iz </w:t>
      </w:r>
      <w:r w:rsidRPr="00BE5472">
        <w:rPr>
          <w:rFonts w:ascii="Times New Roman" w:hAnsi="Times New Roman" w:cs="Times New Roman"/>
          <w:i/>
          <w:iCs/>
          <w:sz w:val="24"/>
          <w:szCs w:val="24"/>
        </w:rPr>
        <w:t>McKinseya</w:t>
      </w:r>
      <w:r w:rsidRPr="00BE5472">
        <w:rPr>
          <w:rFonts w:ascii="Times New Roman" w:hAnsi="Times New Roman" w:cs="Times New Roman"/>
          <w:sz w:val="24"/>
          <w:szCs w:val="24"/>
        </w:rPr>
        <w:t xml:space="preserve">: „Hotelijerstvo je iskustvo. Veći dio tog iskustva pružaju ljudi i samo ljudi mogu osigurati fantastična iskustva, no da bi to mogli oni moraju biti sretni, zadovoljni, opušteni, dobro plaćeni i dobro educirani.“ (Constantin i sur. </w:t>
      </w:r>
      <w:r w:rsidR="002904D1" w:rsidRPr="00BE5472">
        <w:rPr>
          <w:rFonts w:ascii="Times New Roman" w:hAnsi="Times New Roman" w:cs="Times New Roman"/>
          <w:sz w:val="24"/>
          <w:szCs w:val="24"/>
        </w:rPr>
        <w:t>2023</w:t>
      </w:r>
      <w:r w:rsidRPr="00BE5472">
        <w:rPr>
          <w:rFonts w:ascii="Times New Roman" w:hAnsi="Times New Roman" w:cs="Times New Roman"/>
          <w:sz w:val="24"/>
          <w:szCs w:val="24"/>
        </w:rPr>
        <w:t xml:space="preserve">) Vrtiprah i Pavlić (2005) zaključuju da hotelski menadžment mora znati vrlo dobro upravljati ljudskim resursima u hotelijerstvu. </w:t>
      </w:r>
    </w:p>
    <w:p w14:paraId="7CBB7264" w14:textId="37377467"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Objekata iz skupine hoteli ima više i oni su različiti u smislu, prvenstveno, obuhvata usluge koja se pruža. Ovakva raznolikost omogućava hotelskih poduzećima da razvijaju vlastite marke kojima će se učinkovitij</w:t>
      </w:r>
      <w:r w:rsidR="00357B2F" w:rsidRPr="00BE5472">
        <w:rPr>
          <w:rFonts w:ascii="Times New Roman" w:hAnsi="Times New Roman" w:cs="Times New Roman"/>
          <w:sz w:val="24"/>
          <w:szCs w:val="24"/>
        </w:rPr>
        <w:t>e</w:t>
      </w:r>
      <w:r w:rsidRPr="00BE5472">
        <w:rPr>
          <w:rFonts w:ascii="Times New Roman" w:hAnsi="Times New Roman" w:cs="Times New Roman"/>
          <w:sz w:val="24"/>
          <w:szCs w:val="24"/>
        </w:rPr>
        <w:t xml:space="preserve"> obraćati željenom tržišnom segmentu ili </w:t>
      </w:r>
      <w:r w:rsidR="00F05CA1" w:rsidRPr="00BE5472">
        <w:rPr>
          <w:rFonts w:ascii="Times New Roman" w:hAnsi="Times New Roman" w:cs="Times New Roman"/>
          <w:sz w:val="24"/>
          <w:szCs w:val="24"/>
        </w:rPr>
        <w:t xml:space="preserve">se </w:t>
      </w:r>
      <w:r w:rsidRPr="00BE5472">
        <w:rPr>
          <w:rFonts w:ascii="Times New Roman" w:hAnsi="Times New Roman" w:cs="Times New Roman"/>
          <w:sz w:val="24"/>
          <w:szCs w:val="24"/>
        </w:rPr>
        <w:t xml:space="preserve">pak obraćati širem tržištu. </w:t>
      </w:r>
    </w:p>
    <w:p w14:paraId="3E2065EE" w14:textId="4DE035B1"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Uspjeh hotela vrlo </w:t>
      </w:r>
      <w:r w:rsidR="00F05CA1"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često povezan i ovisan o njegovoj lokaciji. Blizina ključnih atrakcija, poslovnih centara, prometnih čvorišta i bajkovitih lokacija može značajno utjecati na privlačnost hotela. Pristupačnost je ključan čimbenik privlačenja turista i poslovnih ljudi. </w:t>
      </w:r>
    </w:p>
    <w:p w14:paraId="7BF3422F" w14:textId="349064F3"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Suvremeni hoteli danas nude širok dijapazon usluga, a sve kako bi osigurali zadovoljstvo gosta ponudom i uslugama. To bi značilo da, uz osnovnu ponudu (često zakonski definiranu) nude dodatnu pogodnosti, a ujedno se njima prilagođavaju tržišnom segmentu kojem se obraćaju (npr. besplatan doručak, </w:t>
      </w:r>
      <w:r w:rsidRPr="00BE5472">
        <w:rPr>
          <w:rFonts w:ascii="Times New Roman" w:hAnsi="Times New Roman" w:cs="Times New Roman"/>
          <w:i/>
          <w:sz w:val="24"/>
          <w:szCs w:val="24"/>
        </w:rPr>
        <w:t>brunch</w:t>
      </w:r>
      <w:r w:rsidRPr="00BE5472">
        <w:rPr>
          <w:rFonts w:ascii="Times New Roman" w:hAnsi="Times New Roman" w:cs="Times New Roman"/>
          <w:sz w:val="24"/>
          <w:szCs w:val="24"/>
        </w:rPr>
        <w:t xml:space="preserve"> usred dana, određene luksuznije usluge poput spa tretmana, </w:t>
      </w:r>
      <w:r w:rsidRPr="00BE5472">
        <w:rPr>
          <w:rFonts w:ascii="Times New Roman" w:hAnsi="Times New Roman" w:cs="Times New Roman"/>
          <w:i/>
          <w:sz w:val="24"/>
          <w:szCs w:val="24"/>
        </w:rPr>
        <w:t>fine dining</w:t>
      </w:r>
      <w:r w:rsidRPr="00BE5472">
        <w:rPr>
          <w:rFonts w:ascii="Times New Roman" w:hAnsi="Times New Roman" w:cs="Times New Roman"/>
          <w:sz w:val="24"/>
          <w:szCs w:val="24"/>
        </w:rPr>
        <w:t xml:space="preserve"> restorana, usluge </w:t>
      </w:r>
      <w:r w:rsidRPr="00BE5472">
        <w:rPr>
          <w:rFonts w:ascii="Times New Roman" w:hAnsi="Times New Roman" w:cs="Times New Roman"/>
          <w:i/>
          <w:sz w:val="24"/>
          <w:szCs w:val="24"/>
        </w:rPr>
        <w:t>conciergea</w:t>
      </w:r>
      <w:r w:rsidRPr="00BE5472">
        <w:rPr>
          <w:rFonts w:ascii="Times New Roman" w:hAnsi="Times New Roman" w:cs="Times New Roman"/>
          <w:sz w:val="24"/>
          <w:szCs w:val="24"/>
        </w:rPr>
        <w:t xml:space="preserve"> i rekreacijske sadržaje</w:t>
      </w:r>
      <w:r w:rsidR="00DA0436" w:rsidRPr="00BE5472">
        <w:rPr>
          <w:rFonts w:ascii="Times New Roman" w:hAnsi="Times New Roman" w:cs="Times New Roman"/>
          <w:sz w:val="24"/>
          <w:szCs w:val="24"/>
        </w:rPr>
        <w:t>)</w:t>
      </w:r>
      <w:r w:rsidRPr="00BE5472">
        <w:rPr>
          <w:rFonts w:ascii="Times New Roman" w:hAnsi="Times New Roman" w:cs="Times New Roman"/>
          <w:sz w:val="24"/>
          <w:szCs w:val="24"/>
        </w:rPr>
        <w:t>. Dostupnost i kvaliteta ovih dodatnih usluga ili pogodnosti mogu biti glavni čimbenik diferencijacije na konkurentnom hotelskom tržištu.</w:t>
      </w:r>
    </w:p>
    <w:p w14:paraId="3E3F0667" w14:textId="3E0F8E80"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Integracija tehnologije u hotelske operacije postala je sve važnija. Od </w:t>
      </w:r>
      <w:r w:rsidRPr="00BE5472">
        <w:rPr>
          <w:rFonts w:ascii="Times New Roman" w:hAnsi="Times New Roman" w:cs="Times New Roman"/>
          <w:i/>
          <w:iCs/>
          <w:sz w:val="24"/>
          <w:szCs w:val="24"/>
        </w:rPr>
        <w:t>online</w:t>
      </w:r>
      <w:r w:rsidRPr="00BE5472">
        <w:rPr>
          <w:rFonts w:ascii="Times New Roman" w:hAnsi="Times New Roman" w:cs="Times New Roman"/>
          <w:sz w:val="24"/>
          <w:szCs w:val="24"/>
        </w:rPr>
        <w:t xml:space="preserve"> rezervacijskih sustava i mobilnih prijava do pametnih kontrola soba i personaliziranih digitalnih iskustava. Tehnologija poboljšava operativnu učinkovitost i zadovoljstvo gostiju. Hoteli</w:t>
      </w:r>
      <w:r w:rsidR="00F05CA1" w:rsidRPr="00BE5472">
        <w:rPr>
          <w:rFonts w:ascii="Times New Roman" w:hAnsi="Times New Roman" w:cs="Times New Roman"/>
          <w:sz w:val="24"/>
          <w:szCs w:val="24"/>
        </w:rPr>
        <w:t xml:space="preserve"> se</w:t>
      </w:r>
      <w:r w:rsidRPr="00BE5472">
        <w:rPr>
          <w:rFonts w:ascii="Times New Roman" w:hAnsi="Times New Roman" w:cs="Times New Roman"/>
          <w:sz w:val="24"/>
          <w:szCs w:val="24"/>
        </w:rPr>
        <w:t xml:space="preserve"> koriste razn</w:t>
      </w:r>
      <w:r w:rsidR="00F05CA1" w:rsidRPr="00BE5472">
        <w:rPr>
          <w:rFonts w:ascii="Times New Roman" w:hAnsi="Times New Roman" w:cs="Times New Roman"/>
          <w:sz w:val="24"/>
          <w:szCs w:val="24"/>
        </w:rPr>
        <w:t>im</w:t>
      </w:r>
      <w:r w:rsidRPr="00BE5472">
        <w:rPr>
          <w:rFonts w:ascii="Times New Roman" w:hAnsi="Times New Roman" w:cs="Times New Roman"/>
          <w:sz w:val="24"/>
          <w:szCs w:val="24"/>
        </w:rPr>
        <w:t xml:space="preserve"> baz</w:t>
      </w:r>
      <w:r w:rsidR="00F05CA1" w:rsidRPr="00BE5472">
        <w:rPr>
          <w:rFonts w:ascii="Times New Roman" w:hAnsi="Times New Roman" w:cs="Times New Roman"/>
          <w:sz w:val="24"/>
          <w:szCs w:val="24"/>
        </w:rPr>
        <w:t>ama</w:t>
      </w:r>
      <w:r w:rsidRPr="00BE5472">
        <w:rPr>
          <w:rFonts w:ascii="Times New Roman" w:hAnsi="Times New Roman" w:cs="Times New Roman"/>
          <w:sz w:val="24"/>
          <w:szCs w:val="24"/>
        </w:rPr>
        <w:t xml:space="preserve"> podataka i tehnološk</w:t>
      </w:r>
      <w:r w:rsidR="00F05CA1" w:rsidRPr="00BE5472">
        <w:rPr>
          <w:rFonts w:ascii="Times New Roman" w:hAnsi="Times New Roman" w:cs="Times New Roman"/>
          <w:sz w:val="24"/>
          <w:szCs w:val="24"/>
        </w:rPr>
        <w:t>im</w:t>
      </w:r>
      <w:r w:rsidRPr="00BE5472">
        <w:rPr>
          <w:rFonts w:ascii="Times New Roman" w:hAnsi="Times New Roman" w:cs="Times New Roman"/>
          <w:sz w:val="24"/>
          <w:szCs w:val="24"/>
        </w:rPr>
        <w:t xml:space="preserve"> mogućnosti</w:t>
      </w:r>
      <w:r w:rsidR="00F05CA1" w:rsidRPr="00BE5472">
        <w:rPr>
          <w:rFonts w:ascii="Times New Roman" w:hAnsi="Times New Roman" w:cs="Times New Roman"/>
          <w:sz w:val="24"/>
          <w:szCs w:val="24"/>
        </w:rPr>
        <w:t>ma</w:t>
      </w:r>
      <w:r w:rsidRPr="00BE5472">
        <w:rPr>
          <w:rFonts w:ascii="Times New Roman" w:hAnsi="Times New Roman" w:cs="Times New Roman"/>
          <w:sz w:val="24"/>
          <w:szCs w:val="24"/>
        </w:rPr>
        <w:t xml:space="preserve"> (</w:t>
      </w:r>
      <w:r w:rsidR="00F05CA1" w:rsidRPr="00BE5472">
        <w:rPr>
          <w:rFonts w:ascii="Times New Roman" w:hAnsi="Times New Roman" w:cs="Times New Roman"/>
          <w:sz w:val="24"/>
          <w:szCs w:val="24"/>
        </w:rPr>
        <w:t xml:space="preserve">kao  što su </w:t>
      </w:r>
      <w:r w:rsidRPr="00BE5472">
        <w:rPr>
          <w:rFonts w:ascii="Times New Roman" w:hAnsi="Times New Roman" w:cs="Times New Roman"/>
          <w:i/>
          <w:iCs/>
          <w:sz w:val="24"/>
          <w:szCs w:val="24"/>
        </w:rPr>
        <w:t>Big Data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IoT</w:t>
      </w:r>
      <w:r w:rsidRPr="00BE5472">
        <w:rPr>
          <w:rFonts w:ascii="Times New Roman" w:hAnsi="Times New Roman" w:cs="Times New Roman"/>
          <w:sz w:val="24"/>
          <w:szCs w:val="24"/>
        </w:rPr>
        <w:t>, umjetn</w:t>
      </w:r>
      <w:r w:rsidR="00F05CA1" w:rsidRPr="00BE5472">
        <w:rPr>
          <w:rFonts w:ascii="Times New Roman" w:hAnsi="Times New Roman" w:cs="Times New Roman"/>
          <w:sz w:val="24"/>
          <w:szCs w:val="24"/>
        </w:rPr>
        <w:t>a</w:t>
      </w:r>
      <w:r w:rsidRPr="00BE5472">
        <w:rPr>
          <w:rFonts w:ascii="Times New Roman" w:hAnsi="Times New Roman" w:cs="Times New Roman"/>
          <w:sz w:val="24"/>
          <w:szCs w:val="24"/>
        </w:rPr>
        <w:t xml:space="preserve"> inteligencij</w:t>
      </w:r>
      <w:r w:rsidR="00F05CA1" w:rsidRPr="00BE5472">
        <w:rPr>
          <w:rFonts w:ascii="Times New Roman" w:hAnsi="Times New Roman" w:cs="Times New Roman"/>
          <w:sz w:val="24"/>
          <w:szCs w:val="24"/>
        </w:rPr>
        <w:t>a</w:t>
      </w:r>
      <w:r w:rsidRPr="00BE5472">
        <w:rPr>
          <w:rFonts w:ascii="Times New Roman" w:hAnsi="Times New Roman" w:cs="Times New Roman"/>
          <w:sz w:val="24"/>
          <w:szCs w:val="24"/>
        </w:rPr>
        <w:t>) za razumijevanje preferencija gostiju i prilagođavanje svojih usluga.</w:t>
      </w:r>
    </w:p>
    <w:p w14:paraId="12E564AE" w14:textId="77777777"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Sve se veći naglasak stavlja na održivost i društveno-odgovorno poslovanje hotelskog sektora. Nerijetko se danas u hotelskim objektima integriraju ekološki učinkovita rješenja kojima se štedi na potrošnji energije, struje, kontrolira generiranje otpada i sl. Gosti to sve više cijene.</w:t>
      </w:r>
    </w:p>
    <w:p w14:paraId="055410BA" w14:textId="5B39B4C4"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Snažan identitet marke i reputacija su vitalni za uspješno poslovanje hotelskog sektora.  Markama se izgrađuje povjerenje i doprinosi pridobivanju lojalnog gosta. Upravljanje reputacijom, i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offline</w:t>
      </w:r>
      <w:r w:rsidRPr="00BE5472">
        <w:rPr>
          <w:rFonts w:ascii="Times New Roman" w:hAnsi="Times New Roman" w:cs="Times New Roman"/>
          <w:sz w:val="24"/>
          <w:szCs w:val="24"/>
        </w:rPr>
        <w:t xml:space="preserve">, ključno je jer recenzije i ocjene gostiju značajno utječu na imidž hotela i potencijal </w:t>
      </w:r>
      <w:r w:rsidR="00463AEF" w:rsidRPr="00BE5472">
        <w:rPr>
          <w:rFonts w:ascii="Times New Roman" w:hAnsi="Times New Roman" w:cs="Times New Roman"/>
          <w:sz w:val="24"/>
          <w:szCs w:val="24"/>
        </w:rPr>
        <w:t>za</w:t>
      </w:r>
      <w:r w:rsidRPr="00BE5472">
        <w:rPr>
          <w:rFonts w:ascii="Times New Roman" w:hAnsi="Times New Roman" w:cs="Times New Roman"/>
          <w:sz w:val="24"/>
          <w:szCs w:val="24"/>
        </w:rPr>
        <w:t xml:space="preserve"> privlačenje novih gostiju.</w:t>
      </w:r>
    </w:p>
    <w:p w14:paraId="051254D0" w14:textId="77777777"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Učinkovite strategije upravljanja prihodima su ključne za maksimiziranje profitabilnosti. To uključuje dinamično određivanje cijena, kontrolu zaliha i segmentaciju tržišta u svrhu optimizacije cijene soba i razine popunjenosti. Napredni softverski alati pomažu u predviđanju potražnje i postavljanju konkurentnih cijena.</w:t>
      </w:r>
    </w:p>
    <w:p w14:paraId="2B4C6D9B" w14:textId="77777777"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Hotelski objekti često usluge pružaju gostima koji dolaze iz različitih kulturnih sredina. Kulturna osjetljivost i inkluzivnost u pružanju usluga važni su kako bi se svi gosti osjećali dobrodošlima i uvaženima. To pretpostavlja višejezičnost u poslovanju, prihvaćanje i razumijevanje različitih prehrambenih preferencija, vjerskih i kulturoloških različitosti.</w:t>
      </w:r>
    </w:p>
    <w:p w14:paraId="2E159612" w14:textId="004B94B0" w:rsidR="006E052A" w:rsidRPr="00BE5472" w:rsidRDefault="006E052A" w:rsidP="006E052A">
      <w:pPr>
        <w:numPr>
          <w:ilvl w:val="0"/>
          <w:numId w:val="21"/>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Osiguranje sigurnosti i zaštita gostiju je od najvećeg značaj</w:t>
      </w:r>
      <w:r w:rsidR="00F05CA1" w:rsidRPr="00BE5472">
        <w:rPr>
          <w:rFonts w:ascii="Times New Roman" w:hAnsi="Times New Roman" w:cs="Times New Roman"/>
          <w:sz w:val="24"/>
          <w:szCs w:val="24"/>
        </w:rPr>
        <w:t>a</w:t>
      </w:r>
      <w:r w:rsidRPr="00BE5472">
        <w:rPr>
          <w:rFonts w:ascii="Times New Roman" w:hAnsi="Times New Roman" w:cs="Times New Roman"/>
          <w:sz w:val="24"/>
          <w:szCs w:val="24"/>
        </w:rPr>
        <w:t xml:space="preserve"> u hotelskom sektoru. Sveobuhvatne sigurnosne mjere, nadzorni sustav</w:t>
      </w:r>
      <w:r w:rsidR="00F05CA1" w:rsidRPr="00BE5472">
        <w:rPr>
          <w:rFonts w:ascii="Times New Roman" w:hAnsi="Times New Roman" w:cs="Times New Roman"/>
          <w:sz w:val="24"/>
          <w:szCs w:val="24"/>
        </w:rPr>
        <w:t>i</w:t>
      </w:r>
      <w:r w:rsidRPr="00BE5472">
        <w:rPr>
          <w:rFonts w:ascii="Times New Roman" w:hAnsi="Times New Roman" w:cs="Times New Roman"/>
          <w:sz w:val="24"/>
          <w:szCs w:val="24"/>
        </w:rPr>
        <w:t>, sigurnosne kontrole pristupa i protokoli za hitne slučajeve, neophodni</w:t>
      </w:r>
      <w:r w:rsidR="00F05CA1" w:rsidRPr="00BE5472">
        <w:rPr>
          <w:rFonts w:ascii="Times New Roman" w:hAnsi="Times New Roman" w:cs="Times New Roman"/>
          <w:sz w:val="24"/>
          <w:szCs w:val="24"/>
        </w:rPr>
        <w:t xml:space="preserve"> su</w:t>
      </w:r>
      <w:r w:rsidRPr="00BE5472">
        <w:rPr>
          <w:rFonts w:ascii="Times New Roman" w:hAnsi="Times New Roman" w:cs="Times New Roman"/>
          <w:sz w:val="24"/>
          <w:szCs w:val="24"/>
        </w:rPr>
        <w:t>. Također, zdravstveni i higijenski standardi dobivaju na značaju posebno u post-pandemijskom razdoblju.</w:t>
      </w:r>
    </w:p>
    <w:p w14:paraId="0D2B0450" w14:textId="77777777" w:rsidR="006E052A" w:rsidRPr="00BE5472" w:rsidRDefault="006E052A" w:rsidP="006E052A">
      <w:pPr>
        <w:spacing w:after="120" w:line="360" w:lineRule="auto"/>
        <w:jc w:val="both"/>
        <w:rPr>
          <w:rFonts w:ascii="Times New Roman" w:hAnsi="Times New Roman" w:cs="Times New Roman"/>
          <w:sz w:val="24"/>
          <w:szCs w:val="24"/>
        </w:rPr>
      </w:pPr>
    </w:p>
    <w:p w14:paraId="46512763"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Ključne čimbenike uspješnosti hotelskog sektora izdvojili su na </w:t>
      </w:r>
      <w:r w:rsidRPr="00BE5472">
        <w:rPr>
          <w:rFonts w:ascii="Times New Roman" w:hAnsi="Times New Roman" w:cs="Times New Roman"/>
          <w:i/>
          <w:iCs/>
          <w:sz w:val="24"/>
          <w:szCs w:val="24"/>
        </w:rPr>
        <w:t>Glion Institute of Higher Education</w:t>
      </w:r>
      <w:r w:rsidRPr="00BE5472">
        <w:rPr>
          <w:rFonts w:ascii="Times New Roman" w:hAnsi="Times New Roman" w:cs="Times New Roman"/>
          <w:sz w:val="24"/>
          <w:szCs w:val="24"/>
        </w:rPr>
        <w:t>. To su (Glion 2024): strateški odabir lokacije, usluga usmjerena na goste, upravljanje troškovima, razumijevanje dinamike ponude, pružanje jedinstvenih iskustava, održivost, prilagodljivost, učinkoviti marketing, upravljanje stopom popunjenosti i cijenama noćenja te posjedovanje pravih vještina i kvalifikacija. Svaki od ovih čimbenika doprinosi poboljšanju zadovoljstva gostiju, optimizaciji financijskog poslovanja i održavanju konkurentske prednosti.</w:t>
      </w:r>
    </w:p>
    <w:p w14:paraId="3260CEE4"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 </w:t>
      </w:r>
    </w:p>
    <w:p w14:paraId="46EDD712" w14:textId="410D8240" w:rsidR="006E052A" w:rsidRPr="00BE5472" w:rsidRDefault="006E052A" w:rsidP="003D13C0">
      <w:pPr>
        <w:pStyle w:val="Heading2"/>
        <w:rPr>
          <w:rFonts w:ascii="Times New Roman" w:hAnsi="Times New Roman" w:cs="Times New Roman"/>
        </w:rPr>
      </w:pPr>
      <w:bookmarkStart w:id="59" w:name="_Toc241865134"/>
      <w:r w:rsidRPr="00BE5472">
        <w:rPr>
          <w:rFonts w:ascii="Times New Roman" w:hAnsi="Times New Roman" w:cs="Times New Roman"/>
        </w:rPr>
        <w:t>2.5. S</w:t>
      </w:r>
      <w:r w:rsidR="0048684D" w:rsidRPr="00BE5472">
        <w:rPr>
          <w:rFonts w:ascii="Times New Roman" w:hAnsi="Times New Roman" w:cs="Times New Roman"/>
        </w:rPr>
        <w:t>uvremen</w:t>
      </w:r>
      <w:r w:rsidR="00FD0665" w:rsidRPr="00BE5472">
        <w:rPr>
          <w:rFonts w:ascii="Times New Roman" w:hAnsi="Times New Roman" w:cs="Times New Roman"/>
        </w:rPr>
        <w:t>i koncepti hotelskog menadžmenta</w:t>
      </w:r>
      <w:bookmarkEnd w:id="59"/>
      <w:r w:rsidRPr="00BE5472">
        <w:rPr>
          <w:rFonts w:ascii="Times New Roman" w:hAnsi="Times New Roman" w:cs="Times New Roman"/>
        </w:rPr>
        <w:t xml:space="preserve"> </w:t>
      </w:r>
    </w:p>
    <w:p w14:paraId="2D60AA01" w14:textId="77777777" w:rsidR="006E052A" w:rsidRPr="00BE5472" w:rsidRDefault="006E052A" w:rsidP="006E052A">
      <w:pPr>
        <w:spacing w:after="120" w:line="360" w:lineRule="auto"/>
        <w:jc w:val="both"/>
        <w:rPr>
          <w:rFonts w:ascii="Times New Roman" w:hAnsi="Times New Roman" w:cs="Times New Roman"/>
          <w:sz w:val="24"/>
          <w:szCs w:val="24"/>
        </w:rPr>
      </w:pPr>
    </w:p>
    <w:p w14:paraId="7066A162" w14:textId="686AF8E5"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Menadžment je univerzalan proces koji se, više ili manje uspješno, primjenjuje u različitim organizacija – društvenim, komercijalnim, političkim, vjerskim i dr. Primjenjuje se i u hotelu. Svaka od tih organizacija ima svoje specifičnosti, no svaka organizacija teži postizanju ciljeva i to skupnim naporima i zbog toga joj je potrebno planiranje, organizacija, upravljanje ljudskim resursima, vođenje i kontrola. Cerović (2010) navodi kako primjena menadžmenta u hotelijerstvu zaht</w:t>
      </w:r>
      <w:r w:rsidR="00412DF3" w:rsidRPr="00BE5472">
        <w:rPr>
          <w:rFonts w:ascii="Times New Roman" w:hAnsi="Times New Roman" w:cs="Times New Roman"/>
          <w:sz w:val="24"/>
          <w:szCs w:val="24"/>
        </w:rPr>
        <w:t>i</w:t>
      </w:r>
      <w:r w:rsidRPr="00BE5472">
        <w:rPr>
          <w:rFonts w:ascii="Times New Roman" w:hAnsi="Times New Roman" w:cs="Times New Roman"/>
          <w:sz w:val="24"/>
          <w:szCs w:val="24"/>
        </w:rPr>
        <w:t>jeva uvažavanje snage utjecaja sljedećih čimbenika: pravnog, ekonomskog i društveno-političkog okruženja, strukture kapitala, vlasništva i rada, specifičnosti potreba i motivacijskih čimbenika turističke potražnje, povijesnog i kulturnog naslijeđa neke destinacije, vjerskog opredjeljenja, posebnosti utjecaja turističke ponude, različitosti turističkih resursa destinacije, specifičnosti određenog hotela i njegove ukupne ponude, opć</w:t>
      </w:r>
      <w:r w:rsidR="00EF73B8" w:rsidRPr="00BE5472">
        <w:rPr>
          <w:rFonts w:ascii="Times New Roman" w:hAnsi="Times New Roman" w:cs="Times New Roman"/>
          <w:sz w:val="24"/>
          <w:szCs w:val="24"/>
        </w:rPr>
        <w:t>e</w:t>
      </w:r>
      <w:r w:rsidRPr="00BE5472">
        <w:rPr>
          <w:rFonts w:ascii="Times New Roman" w:hAnsi="Times New Roman" w:cs="Times New Roman"/>
          <w:sz w:val="24"/>
          <w:szCs w:val="24"/>
        </w:rPr>
        <w:t xml:space="preserve"> kultur</w:t>
      </w:r>
      <w:r w:rsidR="00EF73B8" w:rsidRPr="00BE5472">
        <w:rPr>
          <w:rFonts w:ascii="Times New Roman" w:hAnsi="Times New Roman" w:cs="Times New Roman"/>
          <w:sz w:val="24"/>
          <w:szCs w:val="24"/>
        </w:rPr>
        <w:t>e</w:t>
      </w:r>
      <w:r w:rsidRPr="00BE5472">
        <w:rPr>
          <w:rFonts w:ascii="Times New Roman" w:hAnsi="Times New Roman" w:cs="Times New Roman"/>
          <w:sz w:val="24"/>
          <w:szCs w:val="24"/>
        </w:rPr>
        <w:t>, znanj</w:t>
      </w:r>
      <w:r w:rsidR="00EF73B8" w:rsidRPr="00BE5472">
        <w:rPr>
          <w:rFonts w:ascii="Times New Roman" w:hAnsi="Times New Roman" w:cs="Times New Roman"/>
          <w:sz w:val="24"/>
          <w:szCs w:val="24"/>
        </w:rPr>
        <w:t>a</w:t>
      </w:r>
      <w:r w:rsidRPr="00BE5472">
        <w:rPr>
          <w:rFonts w:ascii="Times New Roman" w:hAnsi="Times New Roman" w:cs="Times New Roman"/>
          <w:sz w:val="24"/>
          <w:szCs w:val="24"/>
        </w:rPr>
        <w:t>, vještina, motivacij</w:t>
      </w:r>
      <w:r w:rsidR="00EF73B8" w:rsidRPr="00BE5472">
        <w:rPr>
          <w:rFonts w:ascii="Times New Roman" w:hAnsi="Times New Roman" w:cs="Times New Roman"/>
          <w:sz w:val="24"/>
          <w:szCs w:val="24"/>
        </w:rPr>
        <w:t>e</w:t>
      </w:r>
      <w:r w:rsidRPr="00BE5472">
        <w:rPr>
          <w:rFonts w:ascii="Times New Roman" w:hAnsi="Times New Roman" w:cs="Times New Roman"/>
          <w:sz w:val="24"/>
          <w:szCs w:val="24"/>
        </w:rPr>
        <w:t xml:space="preserve"> i obrazovanj</w:t>
      </w:r>
      <w:r w:rsidR="00EF73B8" w:rsidRPr="00BE5472">
        <w:rPr>
          <w:rFonts w:ascii="Times New Roman" w:hAnsi="Times New Roman" w:cs="Times New Roman"/>
          <w:sz w:val="24"/>
          <w:szCs w:val="24"/>
        </w:rPr>
        <w:t>a</w:t>
      </w:r>
      <w:r w:rsidRPr="00BE5472">
        <w:rPr>
          <w:rFonts w:ascii="Times New Roman" w:hAnsi="Times New Roman" w:cs="Times New Roman"/>
          <w:sz w:val="24"/>
          <w:szCs w:val="24"/>
        </w:rPr>
        <w:t xml:space="preserve"> zaposlenika hotela te infrastruktur</w:t>
      </w:r>
      <w:r w:rsidR="00412DF3" w:rsidRPr="00BE5472">
        <w:rPr>
          <w:rFonts w:ascii="Times New Roman" w:hAnsi="Times New Roman" w:cs="Times New Roman"/>
          <w:sz w:val="24"/>
          <w:szCs w:val="24"/>
        </w:rPr>
        <w:t>e</w:t>
      </w:r>
      <w:r w:rsidRPr="00BE5472">
        <w:rPr>
          <w:rFonts w:ascii="Times New Roman" w:hAnsi="Times New Roman" w:cs="Times New Roman"/>
          <w:sz w:val="24"/>
          <w:szCs w:val="24"/>
        </w:rPr>
        <w:t xml:space="preserve"> u destinaciji. Suština je menadžmenta integracija ljudskih i fizičkih (materijalnih) resursa na način na koji će njihova najbolja kombinacija doprinijeti uspješnosti poslovanja i </w:t>
      </w:r>
      <w:r w:rsidR="00D56795" w:rsidRPr="00BE5472">
        <w:rPr>
          <w:rFonts w:ascii="Times New Roman" w:hAnsi="Times New Roman" w:cs="Times New Roman"/>
          <w:sz w:val="24"/>
          <w:szCs w:val="24"/>
        </w:rPr>
        <w:t xml:space="preserve">ostvarenju </w:t>
      </w:r>
      <w:r w:rsidRPr="00BE5472">
        <w:rPr>
          <w:rFonts w:ascii="Times New Roman" w:hAnsi="Times New Roman" w:cs="Times New Roman"/>
          <w:sz w:val="24"/>
          <w:szCs w:val="24"/>
        </w:rPr>
        <w:t>postavljeni</w:t>
      </w:r>
      <w:r w:rsidR="00D56795" w:rsidRPr="00BE5472">
        <w:rPr>
          <w:rFonts w:ascii="Times New Roman" w:hAnsi="Times New Roman" w:cs="Times New Roman"/>
          <w:sz w:val="24"/>
          <w:szCs w:val="24"/>
        </w:rPr>
        <w:t>h</w:t>
      </w:r>
      <w:r w:rsidRPr="00BE5472">
        <w:rPr>
          <w:rFonts w:ascii="Times New Roman" w:hAnsi="Times New Roman" w:cs="Times New Roman"/>
          <w:sz w:val="24"/>
          <w:szCs w:val="24"/>
        </w:rPr>
        <w:t xml:space="preserve"> ciljev</w:t>
      </w:r>
      <w:r w:rsidR="00D56795" w:rsidRPr="00BE5472">
        <w:rPr>
          <w:rFonts w:ascii="Times New Roman" w:hAnsi="Times New Roman" w:cs="Times New Roman"/>
          <w:sz w:val="24"/>
          <w:szCs w:val="24"/>
        </w:rPr>
        <w:t>a</w:t>
      </w:r>
      <w:r w:rsidRPr="00BE5472">
        <w:rPr>
          <w:rFonts w:ascii="Times New Roman" w:hAnsi="Times New Roman" w:cs="Times New Roman"/>
          <w:sz w:val="24"/>
          <w:szCs w:val="24"/>
        </w:rPr>
        <w:t xml:space="preserve"> poduzeća (Kainthola 2009: 154). </w:t>
      </w:r>
    </w:p>
    <w:p w14:paraId="2C4A0F35" w14:textId="6ADB681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Hotelska industrija danas nadilazi samo pružanje usluge smještaja. Hotelski se sektor fokusira na jedinstvene izazove i prilike povezane s upravljanjem hotelima, turističkim naseljima, pansionima, </w:t>
      </w:r>
      <w:r w:rsidRPr="00BE5472">
        <w:rPr>
          <w:rFonts w:ascii="Times New Roman" w:hAnsi="Times New Roman" w:cs="Times New Roman"/>
          <w:sz w:val="24"/>
          <w:szCs w:val="24"/>
        </w:rPr>
        <w:lastRenderedPageBreak/>
        <w:t>motelima, odmaralištima i drugim vrstama smještajnih objekata. Hotelska je industrija vrlo raznolika i kompleksa (Jones 1999), a pružanje usluga zahtjeva i integraciju globalne poslovne prakse u multikulturalna okruženja današnjice (Sledge, Miles i Coppage 2008). Upravo danas, u svjetlu velike mobilnosti ljudi i radne snage te internacionalizacije poslovanja, hotelski menadžment mora dobro upravljati ljudskim resursima koji uživaju različite vrijednosti, navike i ponašanje (Groschl i Doherty 2000). Takve različite kulturološke skupine imaju vrlo snažan utjecaj na način na koji se posao obavlja u hotelu (Chen, Cheung i Law 2012).</w:t>
      </w:r>
    </w:p>
    <w:p w14:paraId="30363F98" w14:textId="0C86AC12"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Hotelski menadžment je praksa nadziranja svih poslovnih operacija nekog hotela i zahtijeva poznavanje strategije distribucije, financija i računovodstva, korisničke službe, upravljanja ljudskim resursima, marketinga, ugostiteljske prakse, hotelske administracije i dr. (</w:t>
      </w:r>
      <w:r w:rsidRPr="00BE5472">
        <w:rPr>
          <w:rFonts w:ascii="Times New Roman" w:hAnsi="Times New Roman" w:cs="Times New Roman"/>
          <w:i/>
          <w:iCs/>
          <w:sz w:val="24"/>
          <w:szCs w:val="24"/>
        </w:rPr>
        <w:t>SiteMinder</w:t>
      </w:r>
      <w:r w:rsidRPr="00BE5472">
        <w:rPr>
          <w:rFonts w:ascii="Times New Roman" w:hAnsi="Times New Roman" w:cs="Times New Roman"/>
          <w:sz w:val="24"/>
          <w:szCs w:val="24"/>
        </w:rPr>
        <w:t xml:space="preserve"> 2024a). Hotelski menadžment pretpostavlja koordinaciju i provođenje raznih operacija unutar hotela. Upravljanje hotelom pak uključuje niz aspekata od budžetiranja, marketinga i nabave pa sve do upravljanja ljudskim resursima i obavljanja raznih administrativnih poslova (Jackson 2018).</w:t>
      </w:r>
    </w:p>
    <w:p w14:paraId="2C326DC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svojoj srži, menadžment hotela znači preuzimanje odgovornosti i vođenje ljudi, u svrhu osiguranja profitabilnog poslovanja hotela i istovremenog premašivanja očekivanja gostiju (Les Roches bez dat.). Menadžeri hotela odgovorni su za nadgledanje svakodnevnih operacija hotela, kao i za razvoj i provedbu strategija poboljšanja poslovnih rezultata i osiguravanja profitabilnosti hotela. Oni moraju znati predvidjeti i odgovoriti na promjenjive potrebe i očekivanja svojih gostiju te kontinuirano osiguravati iznimnu reputaciju hotela (Hollander 2024). </w:t>
      </w:r>
    </w:p>
    <w:p w14:paraId="25AB4B88"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Menadžment u hotelijerstvu Pavia (1994) definira kao „sustav stvaranja, usmjeravanja i usklađivanja svih činitelja koji utječu na oblikovanje hotelske ponude“ (Pavia 1994: 127) s „ciljem ostvarivanja što boljih financijsko-poslovnih rezultata.“ (Pavia 2006: 132). </w:t>
      </w:r>
    </w:p>
    <w:p w14:paraId="377D7620"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Pavia (1994) izdvaja četiri značajne funkcije hotelskog menadžmenta: planiranje, izvršavanje i koordiniranje, organiziranje i kontrolu. Prema Negi (2014) zadaci su hotelskog menadžmenta: organizacija poslovanja svih odjela hotela, upravljanje zaposlenicima hotela, financijska analiza i kontrola, marketing i prodaja hotelskog proizvoda, osobni kontakti i poznavanje gostiju. </w:t>
      </w:r>
    </w:p>
    <w:p w14:paraId="63297BAB" w14:textId="1DE005C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SiteMinder</w:t>
      </w:r>
      <w:r w:rsidRPr="00BE5472">
        <w:rPr>
          <w:rFonts w:ascii="Times New Roman" w:hAnsi="Times New Roman" w:cs="Times New Roman"/>
          <w:sz w:val="24"/>
          <w:szCs w:val="24"/>
        </w:rPr>
        <w:t xml:space="preserve"> (2024a) razlikuje nekoliko tipova hotelskog menadžmenta: opći menadžment, menadžment prihoda, menadžment prodaje, market</w:t>
      </w:r>
      <w:r w:rsidR="00206B1E" w:rsidRPr="00BE5472">
        <w:rPr>
          <w:rFonts w:ascii="Times New Roman" w:hAnsi="Times New Roman" w:cs="Times New Roman"/>
          <w:sz w:val="24"/>
          <w:szCs w:val="24"/>
        </w:rPr>
        <w:t>n</w:t>
      </w:r>
      <w:r w:rsidRPr="00BE5472">
        <w:rPr>
          <w:rFonts w:ascii="Times New Roman" w:hAnsi="Times New Roman" w:cs="Times New Roman"/>
          <w:sz w:val="24"/>
          <w:szCs w:val="24"/>
        </w:rPr>
        <w:t>i</w:t>
      </w:r>
      <w:r w:rsidR="00206B1E" w:rsidRPr="00BE5472">
        <w:rPr>
          <w:rFonts w:ascii="Times New Roman" w:hAnsi="Times New Roman" w:cs="Times New Roman"/>
          <w:sz w:val="24"/>
          <w:szCs w:val="24"/>
        </w:rPr>
        <w:t>ški</w:t>
      </w:r>
      <w:r w:rsidRPr="00BE5472">
        <w:rPr>
          <w:rFonts w:ascii="Times New Roman" w:hAnsi="Times New Roman" w:cs="Times New Roman"/>
          <w:sz w:val="24"/>
          <w:szCs w:val="24"/>
        </w:rPr>
        <w:t xml:space="preserve"> menadžment, rezervacijski menadžment, </w:t>
      </w:r>
      <w:r w:rsidRPr="00BE5472">
        <w:rPr>
          <w:rFonts w:ascii="Times New Roman" w:hAnsi="Times New Roman" w:cs="Times New Roman"/>
          <w:i/>
          <w:sz w:val="24"/>
          <w:szCs w:val="24"/>
        </w:rPr>
        <w:t>front-desk</w:t>
      </w:r>
      <w:r w:rsidRPr="00BE5472">
        <w:rPr>
          <w:rFonts w:ascii="Times New Roman" w:hAnsi="Times New Roman" w:cs="Times New Roman"/>
          <w:sz w:val="24"/>
          <w:szCs w:val="24"/>
        </w:rPr>
        <w:t xml:space="preserve"> menadžment, menadžment nekretnina, menadžment domaćinstva, menadžment hrane i </w:t>
      </w:r>
      <w:r w:rsidRPr="00BE5472">
        <w:rPr>
          <w:rFonts w:ascii="Times New Roman" w:hAnsi="Times New Roman" w:cs="Times New Roman"/>
          <w:sz w:val="24"/>
          <w:szCs w:val="24"/>
        </w:rPr>
        <w:lastRenderedPageBreak/>
        <w:t>pića, menadžment ljudskih resursa. U Hrvatskoj se nerijetko riječ „menadžment“ zamjenjuje riječju „upravljanje“.</w:t>
      </w:r>
    </w:p>
    <w:p w14:paraId="497A4B5A"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Cerović (2010) na hotelski menadžment gleda kao na sustav te ga dijeli u tri podsustava: strateški (povezuje hotel s okruženjem, vrhovni ili </w:t>
      </w:r>
      <w:r w:rsidRPr="00BE5472">
        <w:rPr>
          <w:rFonts w:ascii="Times New Roman" w:hAnsi="Times New Roman" w:cs="Times New Roman"/>
          <w:i/>
          <w:sz w:val="24"/>
          <w:szCs w:val="24"/>
        </w:rPr>
        <w:t>top management</w:t>
      </w:r>
      <w:r w:rsidRPr="00BE5472">
        <w:rPr>
          <w:rFonts w:ascii="Times New Roman" w:hAnsi="Times New Roman" w:cs="Times New Roman"/>
          <w:sz w:val="24"/>
          <w:szCs w:val="24"/>
        </w:rPr>
        <w:t xml:space="preserve">), koordinacijski (integracijska uloga, srednja razina menadžmenta ili </w:t>
      </w:r>
      <w:r w:rsidRPr="00BE5472">
        <w:rPr>
          <w:rFonts w:ascii="Times New Roman" w:hAnsi="Times New Roman" w:cs="Times New Roman"/>
          <w:i/>
          <w:sz w:val="24"/>
          <w:szCs w:val="24"/>
        </w:rPr>
        <w:t>middle management</w:t>
      </w:r>
      <w:r w:rsidRPr="00BE5472">
        <w:rPr>
          <w:rFonts w:ascii="Times New Roman" w:hAnsi="Times New Roman" w:cs="Times New Roman"/>
          <w:sz w:val="24"/>
          <w:szCs w:val="24"/>
        </w:rPr>
        <w:t>) i operacijski (operativna realizacija zadataka).</w:t>
      </w:r>
    </w:p>
    <w:p w14:paraId="73A99BAD" w14:textId="1439AC3C"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svojoj srži, hotelski </w:t>
      </w:r>
      <w:r w:rsidR="00872525" w:rsidRPr="00BE5472">
        <w:rPr>
          <w:rFonts w:ascii="Times New Roman" w:hAnsi="Times New Roman" w:cs="Times New Roman"/>
          <w:sz w:val="24"/>
          <w:szCs w:val="24"/>
        </w:rPr>
        <w:t xml:space="preserve">je </w:t>
      </w:r>
      <w:r w:rsidRPr="00BE5472">
        <w:rPr>
          <w:rFonts w:ascii="Times New Roman" w:hAnsi="Times New Roman" w:cs="Times New Roman"/>
          <w:sz w:val="24"/>
          <w:szCs w:val="24"/>
        </w:rPr>
        <w:t>menadžment umjetnost i znanost koja zahtijeva kombinaciju strateškog planiranja, osiguravanja operativne učinkovitosti i izvrsnosti u pružanju usluga. Zadatak je osigurati da svaki aspekt hotela funkcionira skladno kako bi se, u konačnici, pružilo iznimno iskustvo svakom gostu. Pred hotelskim je menadžmentom danas pronalazak optimalne ravnoteže između pružanja iznimnog iskustva gostima, osiguravanja aktivnog i motivirajućeg angažmana, a istovremeno i zadovoljstva zaposlenika i osiguravanja profitabilnosti poduzeća. Hotelski menadžeri moraju se snalaziti u vrlo složenom okruženju kako bi optimizirali stope popunjenosti soba u hotelima, upravljali financijskim rezultatima, održavali visoke standarde usluge uz istovremenu prilagodbu promjenjivim očekivanjima gostiju. Zbog toga se mora reći da je njihov posao vrlo dinamičan i složen, a zaht</w:t>
      </w:r>
      <w:r w:rsidR="00872525" w:rsidRPr="00BE5472">
        <w:rPr>
          <w:rFonts w:ascii="Times New Roman" w:hAnsi="Times New Roman" w:cs="Times New Roman"/>
          <w:sz w:val="24"/>
          <w:szCs w:val="24"/>
        </w:rPr>
        <w:t>i</w:t>
      </w:r>
      <w:r w:rsidRPr="00BE5472">
        <w:rPr>
          <w:rFonts w:ascii="Times New Roman" w:hAnsi="Times New Roman" w:cs="Times New Roman"/>
          <w:sz w:val="24"/>
          <w:szCs w:val="24"/>
        </w:rPr>
        <w:t xml:space="preserve">jeva razumijevanje poslovanja hotela kao cjeline, ali i vrlo dobro poznavanje poslovanja svih pojedinačnih odjela hotela, menadžmenta ljudskih resursa i multikulturnog okruženja. </w:t>
      </w:r>
    </w:p>
    <w:p w14:paraId="4CC62FD6" w14:textId="60CA7CD6"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recepciji se upravlja rezervacijama, prijavljuju se i odjavljuju gosti, komunicira se s gostima, rješavaju se prigovori. Često se na ovaj odjel gleda kao na središte hotelskih operacija. Učinkovitost i profesionalnost zaposlenika ovog odjela su ključni jer o njima ovisi prvi i posljednji dojam gosta. Odjel domaćinstva osobito je važan odjel u jednom hotelu jer je odgovoran za održavanje čistoće i urednosti soba za goste, ali i svih drugih javnih prostora, osiguravajući time ugodno okruženje gostima. Upravljanje hranom i pićem, s druge strane, obuhvaća sve, od nadgledanja hotelskih restorana i barova do upravljanja banketima i posluge u sobi, a sve to značajno doprinosi prihodima hotela i zadovoljstvu gostiju. Osim operativnog upravljanja, hotelski menadžeri moraju biti vješti i u strateškom planiranju i financijskoj umješnosti. Oni su odgovorni za razvoj i implementaciju poslovnih planova koji su u skladu s ciljevima hotela, bilo da se radi o povećanju tržišnog udjela, unapređenju reputacije marke ili postizanju veće profitabilnosti. To zahtijeva temeljito poznavanje tržišnih trendova, strategija konkurenata i ekonomskih uvjeta. </w:t>
      </w:r>
      <w:r w:rsidRPr="00BE5472">
        <w:rPr>
          <w:rFonts w:ascii="Times New Roman" w:hAnsi="Times New Roman" w:cs="Times New Roman"/>
          <w:sz w:val="24"/>
          <w:szCs w:val="24"/>
        </w:rPr>
        <w:lastRenderedPageBreak/>
        <w:t xml:space="preserve">Financijsko </w:t>
      </w:r>
      <w:r w:rsidR="00872525"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upravljanje također važno. Ono uključuje budžetiranje, prognoziranje i financijsko izvještavanje. Hotelski menadžeri, dok maksimiziraju prihode i kontroliraju troškove, moraju osigurati da hotel posluje unutar budžeta.  </w:t>
      </w:r>
    </w:p>
    <w:p w14:paraId="6A260579"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U današnjem vrlo promjenjivom i kompleksnom turističkom okruženju, hotelski menadžment ima ključnu ulogu u osiguravanju uspjeha i održivog poslovanja hotelskih objekata. S obzirom na stalne promjene očekivanja, potreba, želja i, u konačnici, motivacije gostiju, kao i rastuću konkurenciju i brze tehnološke promjene, funkcije hotelskog menadžmenta postaju sve složenije i zahtjevnije. Funkcije hotelskog menadžmenta obuhvaćaju širok spektar aktivnosti koje uključuju planiranje, organiziranje, upravljanje ljudskim resursima, vođenje i kontrolu svih aspekata hotelskog poslovanja. Upravljanje smještajem, uslugama hrane i pića, marketingom, ljudskim resursima, nabavom i financijama zahtijeva visoku razinu stručnosti i prilagodljivosti. Osiguravanje visoke kvalitete usluge i zadovoljstva gostiju, upravljanje operativnim troškovima te implementacija inovacija i održivih praksi samo su neki od ključnih zadataka menadžera današnjih hotela. Specifičnosti hotelskog menadžmenta uključuju potrebu za stalnim praćenjem tržišnih trendova i inovacija u ugostiteljstvu i hotelijerstvu, kao i sposobnost brzog reagiranja na promjene i krizne situacije. Učinkovitim kombiniranjem dostupnih resursa, uvođenjem inovacija, prilagođavanjem promjenama menadžeri hotela mogu značajno doprinijeti stvaranju nezaboravnog iskustva gostiju, proširivanju baze lojalnih gostiju, a uz sve to, osiguravaju dugoročni uspjeh hotela i njegov opstanak na tržištu.</w:t>
      </w:r>
    </w:p>
    <w:p w14:paraId="4FACDFE7" w14:textId="77777777" w:rsidR="006E052A" w:rsidRPr="00BE5472" w:rsidRDefault="006E052A" w:rsidP="006E052A">
      <w:pPr>
        <w:spacing w:after="120" w:line="360" w:lineRule="auto"/>
        <w:jc w:val="both"/>
        <w:rPr>
          <w:rFonts w:ascii="Times New Roman" w:hAnsi="Times New Roman" w:cs="Times New Roman"/>
          <w:sz w:val="24"/>
          <w:szCs w:val="24"/>
        </w:rPr>
      </w:pPr>
    </w:p>
    <w:p w14:paraId="36167ECE" w14:textId="4D7AC4D7" w:rsidR="006E052A" w:rsidRPr="00BE5472" w:rsidRDefault="006E052A" w:rsidP="003D13C0">
      <w:pPr>
        <w:pStyle w:val="Heading2"/>
        <w:rPr>
          <w:rFonts w:ascii="Times New Roman" w:hAnsi="Times New Roman" w:cs="Times New Roman"/>
        </w:rPr>
      </w:pPr>
      <w:bookmarkStart w:id="60" w:name="_Toc210381411"/>
      <w:bookmarkStart w:id="61" w:name="_Toc241865135"/>
      <w:r w:rsidRPr="00BE5472">
        <w:rPr>
          <w:rFonts w:ascii="Times New Roman" w:hAnsi="Times New Roman" w:cs="Times New Roman"/>
        </w:rPr>
        <w:t xml:space="preserve">2.6. </w:t>
      </w:r>
      <w:bookmarkEnd w:id="60"/>
      <w:r w:rsidR="00285C61" w:rsidRPr="00BE5472">
        <w:rPr>
          <w:rFonts w:ascii="Times New Roman" w:hAnsi="Times New Roman" w:cs="Times New Roman"/>
        </w:rPr>
        <w:t>Budući trendovi u hotelijerstvu</w:t>
      </w:r>
      <w:bookmarkEnd w:id="61"/>
      <w:r w:rsidR="00285C61" w:rsidRPr="00BE5472">
        <w:rPr>
          <w:rFonts w:ascii="Times New Roman" w:hAnsi="Times New Roman" w:cs="Times New Roman"/>
        </w:rPr>
        <w:t xml:space="preserve"> </w:t>
      </w:r>
      <w:r w:rsidR="00404EE6" w:rsidRPr="00BE5472">
        <w:rPr>
          <w:rFonts w:ascii="Times New Roman" w:hAnsi="Times New Roman" w:cs="Times New Roman"/>
        </w:rPr>
        <w:t xml:space="preserve"> </w:t>
      </w:r>
      <w:r w:rsidRPr="00BE5472">
        <w:rPr>
          <w:rFonts w:ascii="Times New Roman" w:hAnsi="Times New Roman" w:cs="Times New Roman"/>
        </w:rPr>
        <w:t xml:space="preserve"> </w:t>
      </w:r>
    </w:p>
    <w:p w14:paraId="180B6F2B" w14:textId="77777777" w:rsidR="006E052A" w:rsidRPr="00BE5472" w:rsidRDefault="006E052A" w:rsidP="006E052A">
      <w:pPr>
        <w:spacing w:after="120" w:line="360" w:lineRule="auto"/>
        <w:jc w:val="center"/>
        <w:rPr>
          <w:rFonts w:ascii="Times New Roman" w:hAnsi="Times New Roman" w:cs="Times New Roman"/>
          <w:i/>
          <w:sz w:val="24"/>
          <w:szCs w:val="24"/>
        </w:rPr>
      </w:pPr>
    </w:p>
    <w:p w14:paraId="09B47F4B" w14:textId="4F2B9991" w:rsidR="006E052A" w:rsidRPr="00BE5472" w:rsidRDefault="006E052A" w:rsidP="006E052A">
      <w:pPr>
        <w:spacing w:after="120" w:line="360" w:lineRule="auto"/>
        <w:jc w:val="center"/>
        <w:rPr>
          <w:rFonts w:ascii="Times New Roman" w:hAnsi="Times New Roman" w:cs="Times New Roman"/>
          <w:sz w:val="24"/>
          <w:szCs w:val="24"/>
        </w:rPr>
      </w:pPr>
      <w:r w:rsidRPr="00BE5472">
        <w:rPr>
          <w:rFonts w:ascii="Times New Roman" w:hAnsi="Times New Roman" w:cs="Times New Roman"/>
          <w:i/>
          <w:sz w:val="24"/>
          <w:szCs w:val="24"/>
        </w:rPr>
        <w:t>„Kada uđete u svoj hotel, osoblje će vas pozdraviti po imenu, poznavati vaše putne preferencije i predvidjeti vaše potrebe. Gotovo svaki aspekt vašeg boravka bit će personaliziran prema vašim ukusima, a sobu ćete moći preurediti u bilo kojem trenutku kako bi bila prikladna za rad, vježbanje, druženje ili spavanje. Za sve vodeće hotelske marke, dobrobit gostiju i zaposlenika te zdravlje planeta bit će najvažniji prioriteti. Dobrodošli u novu normalu hotelske industrije.“</w:t>
      </w:r>
      <w:r w:rsidRPr="00BE5472">
        <w:rPr>
          <w:rFonts w:ascii="Times New Roman" w:hAnsi="Times New Roman" w:cs="Times New Roman"/>
          <w:sz w:val="24"/>
          <w:szCs w:val="24"/>
        </w:rPr>
        <w:t xml:space="preserve"> (McKinsey</w:t>
      </w:r>
      <w:r w:rsidR="0038775D" w:rsidRPr="00BE5472">
        <w:rPr>
          <w:rFonts w:ascii="Times New Roman" w:hAnsi="Times New Roman" w:cs="Times New Roman"/>
          <w:sz w:val="24"/>
          <w:szCs w:val="24"/>
        </w:rPr>
        <w:t xml:space="preserve"> &amp; Company</w:t>
      </w:r>
      <w:r w:rsidR="000134B5" w:rsidRPr="00BE5472">
        <w:rPr>
          <w:rFonts w:ascii="Times New Roman" w:hAnsi="Times New Roman" w:cs="Times New Roman"/>
          <w:sz w:val="24"/>
          <w:szCs w:val="24"/>
        </w:rPr>
        <w:t xml:space="preserve">, </w:t>
      </w:r>
      <w:r w:rsidR="00AD0F7C" w:rsidRPr="00BE5472">
        <w:rPr>
          <w:rFonts w:ascii="Times New Roman" w:hAnsi="Times New Roman" w:cs="Times New Roman"/>
          <w:sz w:val="24"/>
          <w:szCs w:val="24"/>
        </w:rPr>
        <w:t>2023</w:t>
      </w:r>
      <w:r w:rsidRPr="00BE5472">
        <w:rPr>
          <w:rFonts w:ascii="Times New Roman" w:hAnsi="Times New Roman" w:cs="Times New Roman"/>
          <w:sz w:val="24"/>
          <w:szCs w:val="24"/>
        </w:rPr>
        <w:t>)</w:t>
      </w:r>
    </w:p>
    <w:p w14:paraId="6C841C56" w14:textId="77777777" w:rsidR="006E052A" w:rsidRPr="00BE5472" w:rsidRDefault="006E052A" w:rsidP="006E052A">
      <w:pPr>
        <w:spacing w:after="120" w:line="360" w:lineRule="auto"/>
        <w:jc w:val="both"/>
        <w:rPr>
          <w:rFonts w:ascii="Times New Roman" w:hAnsi="Times New Roman" w:cs="Times New Roman"/>
          <w:sz w:val="24"/>
          <w:szCs w:val="24"/>
        </w:rPr>
      </w:pPr>
    </w:p>
    <w:p w14:paraId="23400302"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Analiza trendova u turizmu i hotelijerstvu nalaže analizu posljednjih objava najrelevantnijih turističkih portala, poduzeća specijaliziranih za razvoj softvera za hotelska i druga turistička poduzeća i konzultanata u turizmu. Oni su ti koji puno vremena posvećuju istraživanjima tržišta, a potom analizi podataka i predviđanju trendova. </w:t>
      </w:r>
    </w:p>
    <w:p w14:paraId="69C02FA0" w14:textId="7FEE9C5E"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Skift</w:t>
      </w:r>
      <w:r w:rsidRPr="00BE5472">
        <w:rPr>
          <w:rFonts w:ascii="Times New Roman" w:hAnsi="Times New Roman" w:cs="Times New Roman"/>
          <w:sz w:val="24"/>
          <w:szCs w:val="24"/>
        </w:rPr>
        <w:t xml:space="preserve">, jedan od vodećih internetskih medija koji pruža razne informacije, objavljuje rezultate istraživanja i izvještaje iz područja turističke industrije, a sve kako bi zainteresirani mogli bolje razumjeti okruženje u kojem posluju, prilagoditi se i kontinuirano pratiti promjene. </w:t>
      </w:r>
      <w:r w:rsidRPr="00BE5472">
        <w:rPr>
          <w:rFonts w:ascii="Times New Roman" w:hAnsi="Times New Roman" w:cs="Times New Roman"/>
          <w:i/>
          <w:iCs/>
          <w:sz w:val="24"/>
          <w:szCs w:val="24"/>
        </w:rPr>
        <w:t>Skift turistički mega trendovi 2023.</w:t>
      </w:r>
      <w:r w:rsidRPr="00BE5472">
        <w:rPr>
          <w:rFonts w:ascii="Times New Roman" w:hAnsi="Times New Roman" w:cs="Times New Roman"/>
          <w:sz w:val="24"/>
          <w:szCs w:val="24"/>
        </w:rPr>
        <w:t xml:space="preserve"> deseto je izdanje njihove godišnje publikacije o megatrendovima u turizmu. Slijedi sažeti prikaz očekivanih promjena u turističkom okruženju koje će, okrznuti ili pak duboko pogoditi, i hotelski sektor u budućnosti (</w:t>
      </w:r>
      <w:r w:rsidRPr="00BE5472">
        <w:rPr>
          <w:rFonts w:ascii="Times New Roman" w:hAnsi="Times New Roman" w:cs="Times New Roman"/>
          <w:i/>
          <w:iCs/>
          <w:sz w:val="24"/>
          <w:szCs w:val="24"/>
        </w:rPr>
        <w:t>Skift</w:t>
      </w:r>
      <w:r w:rsidRPr="00BE5472">
        <w:rPr>
          <w:rFonts w:ascii="Times New Roman" w:hAnsi="Times New Roman" w:cs="Times New Roman"/>
          <w:sz w:val="24"/>
          <w:szCs w:val="24"/>
        </w:rPr>
        <w:t xml:space="preserve"> bez dat.): </w:t>
      </w:r>
    </w:p>
    <w:p w14:paraId="0CF00D68"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Promjena preferencija putnika</w:t>
      </w:r>
      <w:r w:rsidRPr="00BE5472">
        <w:rPr>
          <w:rFonts w:ascii="Times New Roman" w:hAnsi="Times New Roman" w:cs="Times New Roman"/>
          <w:sz w:val="24"/>
          <w:szCs w:val="24"/>
        </w:rPr>
        <w:t>: Putnici, posebno milenijalci, traže jedinstvene i manje posjećene destinacije, što utječe na industriju koja teži pružanju autentičnih iskustava.</w:t>
      </w:r>
    </w:p>
    <w:p w14:paraId="703F010E"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Globalni pomaci na turističkim tržištima</w:t>
      </w:r>
      <w:r w:rsidRPr="00BE5472">
        <w:rPr>
          <w:rFonts w:ascii="Times New Roman" w:hAnsi="Times New Roman" w:cs="Times New Roman"/>
          <w:sz w:val="24"/>
          <w:szCs w:val="24"/>
        </w:rPr>
        <w:t xml:space="preserve">: Tržišta u razvoju poput Indije postaju sve značajnije emitivne destinacije, a druge se svjetske turističke destinacije (one receptivne) prilagođavaju kako bi mogle privući ovo veliko tržište, a uz to i tržište visokih primanja. </w:t>
      </w:r>
    </w:p>
    <w:p w14:paraId="3C1871B8"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Uvažavanje stanja anksioznosti putnika</w:t>
      </w:r>
      <w:r w:rsidRPr="00BE5472">
        <w:rPr>
          <w:rFonts w:ascii="Times New Roman" w:hAnsi="Times New Roman" w:cs="Times New Roman"/>
          <w:sz w:val="24"/>
          <w:szCs w:val="24"/>
        </w:rPr>
        <w:t xml:space="preserve">: Turistička poduzeća počinju prepoznavati stanje anksioznosti putnika i nude rješenja u ponudi koja uključuje humor, </w:t>
      </w:r>
      <w:r w:rsidRPr="00BE5472">
        <w:rPr>
          <w:rFonts w:ascii="Times New Roman" w:hAnsi="Times New Roman" w:cs="Times New Roman"/>
          <w:i/>
          <w:iCs/>
          <w:sz w:val="24"/>
          <w:szCs w:val="24"/>
        </w:rPr>
        <w:t>wellness</w:t>
      </w:r>
      <w:r w:rsidRPr="00BE5472">
        <w:rPr>
          <w:rFonts w:ascii="Times New Roman" w:hAnsi="Times New Roman" w:cs="Times New Roman"/>
          <w:sz w:val="24"/>
          <w:szCs w:val="24"/>
        </w:rPr>
        <w:t xml:space="preserve"> usluge i brigu o okolišu i zajednici. </w:t>
      </w:r>
    </w:p>
    <w:p w14:paraId="10CF6E99"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Fokus na održivom turizmu</w:t>
      </w:r>
      <w:r w:rsidRPr="00BE5472">
        <w:rPr>
          <w:rFonts w:ascii="Times New Roman" w:hAnsi="Times New Roman" w:cs="Times New Roman"/>
          <w:sz w:val="24"/>
          <w:szCs w:val="24"/>
        </w:rPr>
        <w:t>: Turistička industrija sve veći značaj pridaje održivosti,  naglašavanjem inicijativa smanjenja stvaranja ugljičnog otiska, promicanja ekološki prihvatljivih praksi i svog doprinosa u rješavanju problema klimatskih promjena.</w:t>
      </w:r>
    </w:p>
    <w:p w14:paraId="00D29364"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Ulazak financijskog sektora u turizam</w:t>
      </w:r>
      <w:r w:rsidRPr="00BE5472">
        <w:rPr>
          <w:rFonts w:ascii="Times New Roman" w:hAnsi="Times New Roman" w:cs="Times New Roman"/>
          <w:sz w:val="24"/>
          <w:szCs w:val="24"/>
        </w:rPr>
        <w:t>: Velike banke ulaze na turističko tržište, nudeći poticaje za rezervacije i povrat novca, što potencijalno mijenja krajobraz platformi za rezervacije putovanja.</w:t>
      </w:r>
    </w:p>
    <w:p w14:paraId="296D1276"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Spajanje rada i slobodnog vremena</w:t>
      </w:r>
      <w:r w:rsidRPr="00BE5472">
        <w:rPr>
          <w:rFonts w:ascii="Times New Roman" w:hAnsi="Times New Roman" w:cs="Times New Roman"/>
          <w:sz w:val="24"/>
          <w:szCs w:val="24"/>
        </w:rPr>
        <w:t>: Pandemijski pomak prema radu na daljinu doveo je do porasta kombiniranih putovanja, pri čemu putnici traže smještaj i iskustva koja zadovoljavaju potrebe za radom i odmorom.</w:t>
      </w:r>
    </w:p>
    <w:p w14:paraId="5869F602" w14:textId="7FF1CBF0"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Kratki videomarketing</w:t>
      </w:r>
      <w:r w:rsidRPr="00BE5472">
        <w:rPr>
          <w:rFonts w:ascii="Times New Roman" w:hAnsi="Times New Roman" w:cs="Times New Roman"/>
          <w:sz w:val="24"/>
          <w:szCs w:val="24"/>
        </w:rPr>
        <w:t xml:space="preserve">: Platforme za kratke videozapise poput </w:t>
      </w:r>
      <w:r w:rsidRPr="00BE5472">
        <w:rPr>
          <w:rFonts w:ascii="Times New Roman" w:hAnsi="Times New Roman" w:cs="Times New Roman"/>
          <w:i/>
          <w:iCs/>
          <w:sz w:val="24"/>
          <w:szCs w:val="24"/>
        </w:rPr>
        <w:t>TikToka</w:t>
      </w:r>
      <w:r w:rsidRPr="00BE5472">
        <w:rPr>
          <w:rFonts w:ascii="Times New Roman" w:hAnsi="Times New Roman" w:cs="Times New Roman"/>
          <w:sz w:val="24"/>
          <w:szCs w:val="24"/>
        </w:rPr>
        <w:t xml:space="preserve"> postaju ključne za marketing destinacija, nudeći sadržaj za privlačenje putnika, posebno mlađih.</w:t>
      </w:r>
    </w:p>
    <w:p w14:paraId="740F9875"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lastRenderedPageBreak/>
        <w:t>Transparentnost u kratkoročnim najmovima smještaja</w:t>
      </w:r>
      <w:r w:rsidRPr="00BE5472">
        <w:rPr>
          <w:rFonts w:ascii="Times New Roman" w:hAnsi="Times New Roman" w:cs="Times New Roman"/>
          <w:sz w:val="24"/>
          <w:szCs w:val="24"/>
        </w:rPr>
        <w:t>: Transparentnost u cijenama postaje sve prisutnija u sektoru kratkoročnih najmova (domaćinstvo), što koristi i gostima i domaćinima te mijenja pristup industrije strukturi cijena.</w:t>
      </w:r>
    </w:p>
    <w:p w14:paraId="1558AE0D"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Kašnjenja u obradi viza</w:t>
      </w:r>
      <w:r w:rsidRPr="00BE5472">
        <w:rPr>
          <w:rFonts w:ascii="Times New Roman" w:hAnsi="Times New Roman" w:cs="Times New Roman"/>
          <w:sz w:val="24"/>
          <w:szCs w:val="24"/>
        </w:rPr>
        <w:t>: Kašnjenja u obradi viza utječu na rast međunarodnih putovanja jer ometaju globalne inicijative za brži oporavak turizma.</w:t>
      </w:r>
    </w:p>
    <w:p w14:paraId="0619F1C8"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Digitalna transformacija u vođenju tura</w:t>
      </w:r>
      <w:r w:rsidRPr="00BE5472">
        <w:rPr>
          <w:rFonts w:ascii="Times New Roman" w:hAnsi="Times New Roman" w:cs="Times New Roman"/>
          <w:sz w:val="24"/>
          <w:szCs w:val="24"/>
        </w:rPr>
        <w:t>: Iako različitom brzinom, turoperatori prihvaćaju tehnologiju za optimizaciju operacija, poboljšanje učinkovitosti i unaprjeđenje iskustava kupaca.</w:t>
      </w:r>
    </w:p>
    <w:p w14:paraId="2C5D3CF4"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Luksuzna putovanja usmjerena na prirodu i kulturu</w:t>
      </w:r>
      <w:r w:rsidRPr="00BE5472">
        <w:rPr>
          <w:rFonts w:ascii="Times New Roman" w:hAnsi="Times New Roman" w:cs="Times New Roman"/>
          <w:sz w:val="24"/>
          <w:szCs w:val="24"/>
        </w:rPr>
        <w:t>: Luksuzne destinacije naglašavaju ponude temeljene na prirodi i kulturi kako bi privukle zahtjevne putnike koji traže autentična iskustva.</w:t>
      </w:r>
    </w:p>
    <w:p w14:paraId="0FF8386E"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Rješavanje izazova radne snage u turizmu</w:t>
      </w:r>
      <w:r w:rsidRPr="00BE5472">
        <w:rPr>
          <w:rFonts w:ascii="Times New Roman" w:hAnsi="Times New Roman" w:cs="Times New Roman"/>
          <w:sz w:val="24"/>
          <w:szCs w:val="24"/>
        </w:rPr>
        <w:t>: Turistička industrija rješava nedostatak radne snage kroz inovativne strategije zapošljavanja, programe obuke i fleksibilne radne aranžmane.</w:t>
      </w:r>
    </w:p>
    <w:p w14:paraId="40999AFE" w14:textId="325BBB26"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Integracija wellnessa i održivosti</w:t>
      </w:r>
      <w:r w:rsidRPr="00BE5472">
        <w:rPr>
          <w:rFonts w:ascii="Times New Roman" w:hAnsi="Times New Roman" w:cs="Times New Roman"/>
          <w:sz w:val="24"/>
          <w:szCs w:val="24"/>
        </w:rPr>
        <w:t xml:space="preserve">: Hotelske marke integriraju inicijative </w:t>
      </w:r>
      <w:r w:rsidRPr="00BE5472">
        <w:rPr>
          <w:rFonts w:ascii="Times New Roman" w:hAnsi="Times New Roman" w:cs="Times New Roman"/>
          <w:i/>
          <w:sz w:val="24"/>
          <w:szCs w:val="24"/>
        </w:rPr>
        <w:t>wellnessa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well-beinga</w:t>
      </w:r>
      <w:r w:rsidRPr="00BE5472">
        <w:rPr>
          <w:rFonts w:ascii="Times New Roman" w:hAnsi="Times New Roman" w:cs="Times New Roman"/>
          <w:sz w:val="24"/>
          <w:szCs w:val="24"/>
        </w:rPr>
        <w:t xml:space="preserve"> i održivosti kako bi zadovoljili promjenjive prioritete gostiju i potaknule pozitivne učinke na okoliš i zajednicu.</w:t>
      </w:r>
    </w:p>
    <w:p w14:paraId="5FDBE39B"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Utjecaj TikToka na turistički marketing</w:t>
      </w:r>
      <w:r w:rsidRPr="00BE5472">
        <w:rPr>
          <w:rFonts w:ascii="Times New Roman" w:hAnsi="Times New Roman" w:cs="Times New Roman"/>
          <w:sz w:val="24"/>
          <w:szCs w:val="24"/>
        </w:rPr>
        <w:t>: TikTok se pojavljuje kao značajna platforma za turistički marketing, izazivajući tradicionalne kanale oglašavanja i diverzificirajući marketinške strategije.</w:t>
      </w:r>
    </w:p>
    <w:p w14:paraId="11B78947" w14:textId="04277960"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Redefiniranje luksuznog hotelijerstva</w:t>
      </w:r>
      <w:r w:rsidRPr="00BE5472">
        <w:rPr>
          <w:rFonts w:ascii="Times New Roman" w:hAnsi="Times New Roman" w:cs="Times New Roman"/>
          <w:sz w:val="24"/>
          <w:szCs w:val="24"/>
        </w:rPr>
        <w:t>: Ultraluksuzni hoteli pomiču granice s ekskluzivnim iskustvima, ali se suočavaju s izazovima u održavanju izvrsnosti usluge uslijed rastućih troškova i očekivanja potrošača.</w:t>
      </w:r>
    </w:p>
    <w:p w14:paraId="491A25B6" w14:textId="25CDA149"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Transformacijsko planiranje događaja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Event</w:t>
      </w:r>
      <w:r w:rsidR="00872525" w:rsidRPr="00BE5472">
        <w:rPr>
          <w:rFonts w:ascii="Times New Roman" w:hAnsi="Times New Roman" w:cs="Times New Roman"/>
          <w:sz w:val="24"/>
          <w:szCs w:val="24"/>
        </w:rPr>
        <w:t>-</w:t>
      </w:r>
      <w:r w:rsidRPr="00BE5472">
        <w:rPr>
          <w:rFonts w:ascii="Times New Roman" w:hAnsi="Times New Roman" w:cs="Times New Roman"/>
          <w:sz w:val="24"/>
          <w:szCs w:val="24"/>
        </w:rPr>
        <w:t>menadžeri prelaze na kreiranje iskustva usmjerena na samousavršavanje i transformaciju, dajući prioritet dubokim vezama i osobnom rastu.</w:t>
      </w:r>
    </w:p>
    <w:p w14:paraId="0B258472"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Briga o korisnicima i putno osiguranje</w:t>
      </w:r>
      <w:r w:rsidRPr="00BE5472">
        <w:rPr>
          <w:rFonts w:ascii="Times New Roman" w:hAnsi="Times New Roman" w:cs="Times New Roman"/>
          <w:sz w:val="24"/>
          <w:szCs w:val="24"/>
        </w:rPr>
        <w:t>: Turističke marke unaprjeđuju brigu o korisnicima kroz inovativne proizvode putnog osiguranja, a uz to koriste AI i personalizaciju kako bi zadovoljili promjenjive potrebe putnika.</w:t>
      </w:r>
    </w:p>
    <w:p w14:paraId="3956CE46"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lastRenderedPageBreak/>
        <w:t>Umjetna inteligencija revolucionalizira turistički marketing:</w:t>
      </w:r>
      <w:r w:rsidRPr="00BE5472">
        <w:rPr>
          <w:rFonts w:ascii="Times New Roman" w:hAnsi="Times New Roman" w:cs="Times New Roman"/>
          <w:sz w:val="24"/>
          <w:szCs w:val="24"/>
        </w:rPr>
        <w:t xml:space="preserve"> Umjetna inteligencija transformira turistički marketing i procese dizajna, nudeći personalizirane preporuke i inovativno stvaranje sadržaja.</w:t>
      </w:r>
    </w:p>
    <w:p w14:paraId="52342A7F"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Priprema za umjetnu inteligenciju u turističkim operacijama</w:t>
      </w:r>
      <w:r w:rsidRPr="00BE5472">
        <w:rPr>
          <w:rFonts w:ascii="Times New Roman" w:hAnsi="Times New Roman" w:cs="Times New Roman"/>
          <w:sz w:val="24"/>
          <w:szCs w:val="24"/>
        </w:rPr>
        <w:t>: Turistička poduzeća prihvaćaju umjetnu inteligenciju kako bi poboljšale operacije, predviđanje i donošenje odluka. To zahtijeva ulaganja u tehnološku infrastrukturu i obuku radne snage.</w:t>
      </w:r>
    </w:p>
    <w:p w14:paraId="364F2686"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Izazovi upravljanja prihodima zračnih prijevoznika</w:t>
      </w:r>
      <w:r w:rsidRPr="00BE5472">
        <w:rPr>
          <w:rFonts w:ascii="Times New Roman" w:hAnsi="Times New Roman" w:cs="Times New Roman"/>
          <w:sz w:val="24"/>
          <w:szCs w:val="24"/>
        </w:rPr>
        <w:t>: Unatoč rastu prihoda, zračni prijevoznici suočavaju se s visokim troškovnim zbog nedostatka radne snage i poremećaja u lancu opskrbe, što zahtijeva strategije za uravnoteženje potražnje i operativne učinkovitosti.</w:t>
      </w:r>
    </w:p>
    <w:p w14:paraId="1585BB19" w14:textId="77777777"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Emocionalna izgradnja marke u hotelijerstvu</w:t>
      </w:r>
      <w:r w:rsidRPr="00BE5472">
        <w:rPr>
          <w:rFonts w:ascii="Times New Roman" w:hAnsi="Times New Roman" w:cs="Times New Roman"/>
          <w:sz w:val="24"/>
          <w:szCs w:val="24"/>
        </w:rPr>
        <w:t>: Hoteli daju prioritet emocionalnim vezama s gostima kroz autentična iskustva i stimulaciju osjetila, prilagođavajući se promjenjivim očekivanjima gostiju.</w:t>
      </w:r>
    </w:p>
    <w:p w14:paraId="46676E72" w14:textId="2EAC4FBC" w:rsidR="006E052A" w:rsidRPr="00BE5472" w:rsidRDefault="006E052A" w:rsidP="006E052A">
      <w:pPr>
        <w:numPr>
          <w:ilvl w:val="0"/>
          <w:numId w:val="16"/>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Evolucija industrije</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timeshare</w:t>
      </w:r>
      <w:r w:rsidR="00872525" w:rsidRPr="00BE5472">
        <w:rPr>
          <w:rFonts w:ascii="Times New Roman" w:hAnsi="Times New Roman" w:cs="Times New Roman"/>
          <w:i/>
          <w:iCs/>
          <w:sz w:val="24"/>
          <w:szCs w:val="24"/>
        </w:rPr>
        <w:t>a</w:t>
      </w:r>
      <w:r w:rsidRPr="00BE5472">
        <w:rPr>
          <w:rFonts w:ascii="Times New Roman" w:hAnsi="Times New Roman" w:cs="Times New Roman"/>
          <w:sz w:val="24"/>
          <w:szCs w:val="24"/>
        </w:rPr>
        <w:t xml:space="preserve">: Industrija </w:t>
      </w:r>
      <w:r w:rsidRPr="00BE5472">
        <w:rPr>
          <w:rFonts w:ascii="Times New Roman" w:hAnsi="Times New Roman" w:cs="Times New Roman"/>
          <w:i/>
          <w:sz w:val="24"/>
          <w:szCs w:val="24"/>
        </w:rPr>
        <w:t>timesharea</w:t>
      </w:r>
      <w:r w:rsidRPr="00BE5472">
        <w:rPr>
          <w:rFonts w:ascii="Times New Roman" w:hAnsi="Times New Roman" w:cs="Times New Roman"/>
          <w:sz w:val="24"/>
          <w:szCs w:val="24"/>
        </w:rPr>
        <w:t xml:space="preserve"> razvija se kako bi zadovoljila mlađe demografske skupine, nudeći fleksibilnost i jedinstvena iskustva.</w:t>
      </w:r>
    </w:p>
    <w:p w14:paraId="0904E661" w14:textId="77777777" w:rsidR="006E052A" w:rsidRPr="00BE5472" w:rsidRDefault="006E052A" w:rsidP="006E052A">
      <w:pPr>
        <w:spacing w:after="120" w:line="360" w:lineRule="auto"/>
        <w:jc w:val="both"/>
        <w:rPr>
          <w:rFonts w:ascii="Times New Roman" w:hAnsi="Times New Roman" w:cs="Times New Roman"/>
          <w:sz w:val="24"/>
          <w:szCs w:val="24"/>
        </w:rPr>
      </w:pPr>
    </w:p>
    <w:p w14:paraId="1C06DE59"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EHL Insights</w:t>
      </w:r>
      <w:r w:rsidRPr="00BE5472">
        <w:rPr>
          <w:rFonts w:ascii="Times New Roman" w:hAnsi="Times New Roman" w:cs="Times New Roman"/>
          <w:sz w:val="24"/>
          <w:szCs w:val="24"/>
        </w:rPr>
        <w:t xml:space="preserve"> (2024) izdvaja sljedećih deset trendova koji će promijeniti okruženje hotelske industrije: </w:t>
      </w:r>
    </w:p>
    <w:p w14:paraId="4E8CBE45"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Osnaživanje radne snage</w:t>
      </w:r>
      <w:r w:rsidRPr="00BE5472">
        <w:rPr>
          <w:rFonts w:ascii="Times New Roman" w:hAnsi="Times New Roman" w:cs="Times New Roman"/>
          <w:sz w:val="24"/>
          <w:szCs w:val="24"/>
        </w:rPr>
        <w:t>: Kako bi privukla i zadržala kvalitetne zaposlenike hotelska industrija pretvara izazove s osobljem u prilike nudeći im tako bolje radne uvjete, veće plaće i sveobuhvatne programe obuke.</w:t>
      </w:r>
    </w:p>
    <w:p w14:paraId="086C30EA" w14:textId="036667E2"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Umjetna inteligencija i tehnologija:</w:t>
      </w:r>
      <w:r w:rsidRPr="00BE5472">
        <w:rPr>
          <w:rFonts w:ascii="Times New Roman" w:hAnsi="Times New Roman" w:cs="Times New Roman"/>
          <w:sz w:val="24"/>
          <w:szCs w:val="24"/>
        </w:rPr>
        <w:t xml:space="preserve"> Prihvaćanje umjetne inteligencije i tehnoloških inovacija poput be</w:t>
      </w:r>
      <w:r w:rsidR="00A476EF" w:rsidRPr="00BE5472">
        <w:rPr>
          <w:rFonts w:ascii="Times New Roman" w:hAnsi="Times New Roman" w:cs="Times New Roman"/>
          <w:sz w:val="24"/>
          <w:szCs w:val="24"/>
        </w:rPr>
        <w:t>s</w:t>
      </w:r>
      <w:r w:rsidRPr="00BE5472">
        <w:rPr>
          <w:rFonts w:ascii="Times New Roman" w:hAnsi="Times New Roman" w:cs="Times New Roman"/>
          <w:sz w:val="24"/>
          <w:szCs w:val="24"/>
        </w:rPr>
        <w:t xml:space="preserve">kontaktnih usluga, rješenja temeljena na oblačnom računarstvu (eng. </w:t>
      </w:r>
      <w:r w:rsidRPr="00BE5472">
        <w:rPr>
          <w:rFonts w:ascii="Times New Roman" w:hAnsi="Times New Roman" w:cs="Times New Roman"/>
          <w:i/>
          <w:sz w:val="24"/>
          <w:szCs w:val="24"/>
        </w:rPr>
        <w:t>cloud computing</w:t>
      </w:r>
      <w:r w:rsidRPr="00BE5472">
        <w:rPr>
          <w:rFonts w:ascii="Times New Roman" w:hAnsi="Times New Roman" w:cs="Times New Roman"/>
          <w:sz w:val="24"/>
          <w:szCs w:val="24"/>
        </w:rPr>
        <w:t>), robotskih sustava i proširene stvarnosti revolucionira hotelijerstvo, unaprjeđujući korisnička iskustva i operativnu učinkovitost.</w:t>
      </w:r>
    </w:p>
    <w:p w14:paraId="399D3E4D"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Kulinarska iskustva</w:t>
      </w:r>
      <w:r w:rsidRPr="00BE5472">
        <w:rPr>
          <w:rFonts w:ascii="Times New Roman" w:hAnsi="Times New Roman" w:cs="Times New Roman"/>
          <w:sz w:val="24"/>
          <w:szCs w:val="24"/>
        </w:rPr>
        <w:t>: Hoteli nude raznolike opcije objedovanja, multisenzorna okruženja i interaktivne kulinarske aktivnosti kako bi stvorili jedinstvena, autentična iskustva za svoje goste.</w:t>
      </w:r>
    </w:p>
    <w:p w14:paraId="606BD9C6" w14:textId="0361874E"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Redefiniranje barova i pića:</w:t>
      </w:r>
      <w:r w:rsidRPr="00BE5472">
        <w:rPr>
          <w:rFonts w:ascii="Times New Roman" w:hAnsi="Times New Roman" w:cs="Times New Roman"/>
          <w:sz w:val="24"/>
          <w:szCs w:val="24"/>
        </w:rPr>
        <w:t xml:space="preserve"> Barovi unose kreativnost i novi dizajn u svoju ponudu pića, nudeći tako jedinstvene koktele, bezalkoholne koktele (eng. </w:t>
      </w:r>
      <w:r w:rsidRPr="00BE5472">
        <w:rPr>
          <w:rFonts w:ascii="Times New Roman" w:hAnsi="Times New Roman" w:cs="Times New Roman"/>
          <w:i/>
          <w:sz w:val="24"/>
          <w:szCs w:val="24"/>
        </w:rPr>
        <w:t>mocktails</w:t>
      </w:r>
      <w:r w:rsidRPr="00BE5472">
        <w:rPr>
          <w:rFonts w:ascii="Times New Roman" w:hAnsi="Times New Roman" w:cs="Times New Roman"/>
          <w:sz w:val="24"/>
          <w:szCs w:val="24"/>
        </w:rPr>
        <w:t xml:space="preserve">) i lokalno </w:t>
      </w:r>
      <w:r w:rsidRPr="00BE5472">
        <w:rPr>
          <w:rFonts w:ascii="Times New Roman" w:hAnsi="Times New Roman" w:cs="Times New Roman"/>
          <w:sz w:val="24"/>
          <w:szCs w:val="24"/>
        </w:rPr>
        <w:lastRenderedPageBreak/>
        <w:t>nabavljena pića, a sve to predstavljaju u „</w:t>
      </w:r>
      <w:r w:rsidR="00A476EF" w:rsidRPr="00BE5472">
        <w:rPr>
          <w:rFonts w:ascii="Times New Roman" w:hAnsi="Times New Roman" w:cs="Times New Roman"/>
          <w:sz w:val="24"/>
          <w:szCs w:val="24"/>
        </w:rPr>
        <w:t>i</w:t>
      </w:r>
      <w:r w:rsidRPr="00BE5472">
        <w:rPr>
          <w:rFonts w:ascii="Times New Roman" w:hAnsi="Times New Roman" w:cs="Times New Roman"/>
          <w:sz w:val="24"/>
          <w:szCs w:val="24"/>
        </w:rPr>
        <w:t xml:space="preserve">nstagramičnim“ slikama kako bi privukli goste, a posebno generaciju Z. </w:t>
      </w:r>
    </w:p>
    <w:p w14:paraId="248E7DE9"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Fine dining</w:t>
      </w:r>
      <w:r w:rsidRPr="00BE5472">
        <w:rPr>
          <w:rFonts w:ascii="Times New Roman" w:hAnsi="Times New Roman" w:cs="Times New Roman"/>
          <w:sz w:val="24"/>
          <w:szCs w:val="24"/>
        </w:rPr>
        <w:t xml:space="preserve">: Restorani s vrhunskom kuhinjom unose puno inovacija u vlastite koncepte pružanja usluga i nude inovativna kulinarska iskustva. </w:t>
      </w:r>
    </w:p>
    <w:p w14:paraId="09812C97"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Cijene vrhunskih vina:</w:t>
      </w:r>
      <w:r w:rsidRPr="00BE5472">
        <w:rPr>
          <w:rFonts w:ascii="Times New Roman" w:hAnsi="Times New Roman" w:cs="Times New Roman"/>
          <w:sz w:val="24"/>
          <w:szCs w:val="24"/>
        </w:rPr>
        <w:t xml:space="preserve"> Snalaženje na nestabilnom tržištu vrhunskih vina postaje sve teže. Restorani prilagođavaju svoje vinske karte kako bi uravnotežili kvalitetu i cjenovnu dostupnost, odgovarajući time na promjenjive ekonomske uvjete i potražnju.</w:t>
      </w:r>
    </w:p>
    <w:p w14:paraId="3B984145"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Rastuće kamatne stope</w:t>
      </w:r>
      <w:r w:rsidRPr="00BE5472">
        <w:rPr>
          <w:rFonts w:ascii="Times New Roman" w:hAnsi="Times New Roman" w:cs="Times New Roman"/>
          <w:sz w:val="24"/>
          <w:szCs w:val="24"/>
        </w:rPr>
        <w:t>: Više kamatne stope utječu na vrijednost i transakcije hotelskih nekretnina, potiču fokus na održivost i inovativno financiranje kako bi se održala profitabilnost i privukla nova ulaganja.</w:t>
      </w:r>
    </w:p>
    <w:p w14:paraId="5B0CD88B" w14:textId="77777777"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Zeleno hotelijerstvo:</w:t>
      </w:r>
      <w:r w:rsidRPr="00BE5472">
        <w:rPr>
          <w:rFonts w:ascii="Times New Roman" w:hAnsi="Times New Roman" w:cs="Times New Roman"/>
          <w:sz w:val="24"/>
          <w:szCs w:val="24"/>
        </w:rPr>
        <w:t xml:space="preserve"> Industrija prelazi granice održivosti, usvajajući praksu nultog ekološkog otiska, naglašavajući lokalnu nabavu namirnica za svoje potrebe, održive građevinske tehnike i edukaciju gostiju o ekološki prihvatljivim praksama.</w:t>
      </w:r>
    </w:p>
    <w:p w14:paraId="16DC3C97" w14:textId="5EE62C88" w:rsidR="006E052A" w:rsidRPr="00BE5472"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Odluke temeljene na podacima:</w:t>
      </w:r>
      <w:r w:rsidRPr="00BE5472">
        <w:rPr>
          <w:rFonts w:ascii="Times New Roman" w:hAnsi="Times New Roman" w:cs="Times New Roman"/>
          <w:sz w:val="24"/>
          <w:szCs w:val="24"/>
        </w:rPr>
        <w:t xml:space="preserve"> Hotelska poduzeća koriste </w:t>
      </w:r>
      <w:r w:rsidR="00A476EF" w:rsidRPr="00BE5472">
        <w:rPr>
          <w:rFonts w:ascii="Times New Roman" w:hAnsi="Times New Roman" w:cs="Times New Roman"/>
          <w:sz w:val="24"/>
          <w:szCs w:val="24"/>
        </w:rPr>
        <w:t xml:space="preserve">se </w:t>
      </w:r>
      <w:r w:rsidRPr="00BE5472">
        <w:rPr>
          <w:rFonts w:ascii="Times New Roman" w:hAnsi="Times New Roman" w:cs="Times New Roman"/>
          <w:sz w:val="24"/>
          <w:szCs w:val="24"/>
        </w:rPr>
        <w:t>poslovn</w:t>
      </w:r>
      <w:r w:rsidR="00A476EF" w:rsidRPr="00BE5472">
        <w:rPr>
          <w:rFonts w:ascii="Times New Roman" w:hAnsi="Times New Roman" w:cs="Times New Roman"/>
          <w:sz w:val="24"/>
          <w:szCs w:val="24"/>
        </w:rPr>
        <w:t>om</w:t>
      </w:r>
      <w:r w:rsidRPr="00BE5472">
        <w:rPr>
          <w:rFonts w:ascii="Times New Roman" w:hAnsi="Times New Roman" w:cs="Times New Roman"/>
          <w:sz w:val="24"/>
          <w:szCs w:val="24"/>
        </w:rPr>
        <w:t xml:space="preserve"> analitik</w:t>
      </w:r>
      <w:r w:rsidR="00A476EF" w:rsidRPr="00BE5472">
        <w:rPr>
          <w:rFonts w:ascii="Times New Roman" w:hAnsi="Times New Roman" w:cs="Times New Roman"/>
          <w:sz w:val="24"/>
          <w:szCs w:val="24"/>
        </w:rPr>
        <w:t>om</w:t>
      </w:r>
      <w:r w:rsidRPr="00BE5472">
        <w:rPr>
          <w:rFonts w:ascii="Times New Roman" w:hAnsi="Times New Roman" w:cs="Times New Roman"/>
          <w:sz w:val="24"/>
          <w:szCs w:val="24"/>
        </w:rPr>
        <w:t xml:space="preserve"> kako bi prikupljenim i analiziranim podatcima personalizirali iskustava gostiju, optimizirali marketinške strategije i implementirali dinamičko određivanja cijena u svrhu povećanja prihoda i ostvarivanja konkurentske prednosti.</w:t>
      </w:r>
    </w:p>
    <w:p w14:paraId="1A0D3C82" w14:textId="3F474B40" w:rsidR="006E052A" w:rsidRDefault="006E052A" w:rsidP="006E052A">
      <w:pPr>
        <w:numPr>
          <w:ilvl w:val="0"/>
          <w:numId w:val="17"/>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Snaga društvenih mreža:</w:t>
      </w:r>
      <w:r w:rsidRPr="00BE5472">
        <w:rPr>
          <w:rFonts w:ascii="Times New Roman" w:hAnsi="Times New Roman" w:cs="Times New Roman"/>
          <w:sz w:val="24"/>
          <w:szCs w:val="24"/>
        </w:rPr>
        <w:t xml:space="preserve"> Kreiranje autentičnih narativa kroz kratki videosadržaj i marketing uz influencere ključno je za angažiranje moderne publike, obogaćivanje priče o marki hotelskog poduzeća i mjerenje učinka na društvenim mrežama.</w:t>
      </w:r>
    </w:p>
    <w:p w14:paraId="50FEA3DA" w14:textId="77777777" w:rsidR="007F5A5A" w:rsidRPr="00BE5472" w:rsidRDefault="007F5A5A" w:rsidP="007F5A5A">
      <w:pPr>
        <w:spacing w:after="120" w:line="360" w:lineRule="auto"/>
        <w:ind w:left="720"/>
        <w:contextualSpacing/>
        <w:jc w:val="both"/>
        <w:rPr>
          <w:rFonts w:ascii="Times New Roman" w:hAnsi="Times New Roman" w:cs="Times New Roman"/>
          <w:sz w:val="24"/>
          <w:szCs w:val="24"/>
        </w:rPr>
      </w:pPr>
    </w:p>
    <w:p w14:paraId="08D6FDEE"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SiteMinder (2024b) očekuje da će na hotelsku industriju u budućnosti sve više utjecati sljedeći trendovi: </w:t>
      </w:r>
    </w:p>
    <w:p w14:paraId="3AD83781" w14:textId="53241687"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Pametne sobe:</w:t>
      </w:r>
      <w:r w:rsidRPr="00BE5472">
        <w:rPr>
          <w:rFonts w:ascii="Times New Roman" w:hAnsi="Times New Roman" w:cs="Times New Roman"/>
          <w:sz w:val="24"/>
          <w:szCs w:val="24"/>
        </w:rPr>
        <w:t xml:space="preserve"> Putnici cijene praktičnost, a pametne sobe to pružaju bežičnim punjenjem, pametnim kontrolama poput </w:t>
      </w:r>
      <w:r w:rsidRPr="00BE5472">
        <w:rPr>
          <w:rFonts w:ascii="Times New Roman" w:hAnsi="Times New Roman" w:cs="Times New Roman"/>
          <w:i/>
          <w:iCs/>
          <w:sz w:val="24"/>
          <w:szCs w:val="24"/>
        </w:rPr>
        <w:t>Amazon Alex</w:t>
      </w:r>
      <w:r w:rsidR="00A476EF" w:rsidRPr="00BE5472">
        <w:rPr>
          <w:rFonts w:ascii="Times New Roman" w:hAnsi="Times New Roman" w:cs="Times New Roman"/>
          <w:i/>
          <w:iCs/>
          <w:sz w:val="24"/>
          <w:szCs w:val="24"/>
        </w:rPr>
        <w:t>e</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Google Nest</w:t>
      </w:r>
      <w:r w:rsidR="00A476EF" w:rsidRPr="00BE5472">
        <w:rPr>
          <w:rFonts w:ascii="Times New Roman" w:hAnsi="Times New Roman" w:cs="Times New Roman"/>
          <w:i/>
          <w:iCs/>
          <w:sz w:val="24"/>
          <w:szCs w:val="24"/>
        </w:rPr>
        <w:t>a</w:t>
      </w:r>
      <w:r w:rsidRPr="00BE5472">
        <w:rPr>
          <w:rFonts w:ascii="Times New Roman" w:hAnsi="Times New Roman" w:cs="Times New Roman"/>
          <w:sz w:val="24"/>
          <w:szCs w:val="24"/>
        </w:rPr>
        <w:t>, zvučnom izolacijom i još mnogočime. Time omoguć</w:t>
      </w:r>
      <w:r w:rsidR="0041129C" w:rsidRPr="00BE5472">
        <w:rPr>
          <w:rFonts w:ascii="Times New Roman" w:hAnsi="Times New Roman" w:cs="Times New Roman"/>
          <w:sz w:val="24"/>
          <w:szCs w:val="24"/>
        </w:rPr>
        <w:t>u</w:t>
      </w:r>
      <w:r w:rsidRPr="00BE5472">
        <w:rPr>
          <w:rFonts w:ascii="Times New Roman" w:hAnsi="Times New Roman" w:cs="Times New Roman"/>
          <w:sz w:val="24"/>
          <w:szCs w:val="24"/>
        </w:rPr>
        <w:t>ju gostima da se potpuno opuste uz minimalan napor.</w:t>
      </w:r>
    </w:p>
    <w:p w14:paraId="13D61181" w14:textId="77777777"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Zeleni hoteli:</w:t>
      </w:r>
      <w:r w:rsidRPr="00BE5472">
        <w:rPr>
          <w:rFonts w:ascii="Times New Roman" w:hAnsi="Times New Roman" w:cs="Times New Roman"/>
          <w:sz w:val="24"/>
          <w:szCs w:val="24"/>
        </w:rPr>
        <w:t xml:space="preserve"> Ekološka svijest utječe na izbor putovanja. Hoteli se prilagođavaju raznim rješenjima (solarnom energijom, štednjom vode, smanjenjem upotrebe plastike, senzorima pokreta i alternativama mesu kao namirnici). Održivi razvoj i društveno-odgovorno poslovanje je ono što gosti očekuju. </w:t>
      </w:r>
    </w:p>
    <w:p w14:paraId="166A39D6" w14:textId="7887B63B"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lastRenderedPageBreak/>
        <w:t>Multikulturalno zapošljavanje:</w:t>
      </w:r>
      <w:r w:rsidRPr="00BE5472">
        <w:rPr>
          <w:rFonts w:ascii="Times New Roman" w:hAnsi="Times New Roman" w:cs="Times New Roman"/>
          <w:sz w:val="24"/>
          <w:szCs w:val="24"/>
        </w:rPr>
        <w:t xml:space="preserve"> Hoteli često zapošljavaju raznoliko osoblje, dodajući time svojevrsnu međunarodnu dimenziju ukupnom iskustvu koj</w:t>
      </w:r>
      <w:r w:rsidR="0041129C" w:rsidRPr="00BE5472">
        <w:rPr>
          <w:rFonts w:ascii="Times New Roman" w:hAnsi="Times New Roman" w:cs="Times New Roman"/>
          <w:sz w:val="24"/>
          <w:szCs w:val="24"/>
        </w:rPr>
        <w:t>i</w:t>
      </w:r>
      <w:r w:rsidRPr="00BE5472">
        <w:rPr>
          <w:rFonts w:ascii="Times New Roman" w:hAnsi="Times New Roman" w:cs="Times New Roman"/>
          <w:sz w:val="24"/>
          <w:szCs w:val="24"/>
        </w:rPr>
        <w:t xml:space="preserve"> pružaju gostima. Ova raznolikost omogućuje gostima povezivanje s različitim kulturama.</w:t>
      </w:r>
    </w:p>
    <w:p w14:paraId="04399486" w14:textId="77777777"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Tehnologija na svakom koraku:</w:t>
      </w:r>
      <w:r w:rsidRPr="00BE5472">
        <w:rPr>
          <w:rFonts w:ascii="Times New Roman" w:hAnsi="Times New Roman" w:cs="Times New Roman"/>
          <w:sz w:val="24"/>
          <w:szCs w:val="24"/>
        </w:rPr>
        <w:t xml:space="preserve"> Napredna tehnologija dodiruje sve aspekte putovanja. Umjetna inteligencija pomaže u određivanju cijena, prijavi gostiju,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pomoći i posluzi u sobama. Glasovno upravljani pretraživači i sveprisutne mobilne aplikacije olakšavaju personaliziranje iskustava gostiju.</w:t>
      </w:r>
    </w:p>
    <w:p w14:paraId="30037AA0" w14:textId="77777777"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Prioriteti putnika:</w:t>
      </w:r>
      <w:r w:rsidRPr="00BE5472">
        <w:rPr>
          <w:rFonts w:ascii="Times New Roman" w:hAnsi="Times New Roman" w:cs="Times New Roman"/>
          <w:sz w:val="24"/>
          <w:szCs w:val="24"/>
        </w:rPr>
        <w:t xml:space="preserve"> Putnici traže doživljaj umjesto materijalnih dobara, žudeći za jedinstvenim i strašću vođenim avanturama. Primjeri uključuju razne tematske hotele, </w:t>
      </w:r>
      <w:r w:rsidRPr="00BE5472">
        <w:rPr>
          <w:rFonts w:ascii="Times New Roman" w:hAnsi="Times New Roman" w:cs="Times New Roman"/>
          <w:i/>
          <w:sz w:val="24"/>
          <w:szCs w:val="24"/>
        </w:rPr>
        <w:t>glamping</w:t>
      </w:r>
      <w:r w:rsidRPr="00BE5472">
        <w:rPr>
          <w:rFonts w:ascii="Times New Roman" w:hAnsi="Times New Roman" w:cs="Times New Roman"/>
          <w:sz w:val="24"/>
          <w:szCs w:val="24"/>
        </w:rPr>
        <w:t>, turizam kanabisa, medicinski turizam, preporuke influencera i opcije za kućne ljubimce.</w:t>
      </w:r>
    </w:p>
    <w:p w14:paraId="10840A78" w14:textId="47C8F228" w:rsidR="006E052A" w:rsidRPr="00BE5472" w:rsidRDefault="006E052A" w:rsidP="006E052A">
      <w:pPr>
        <w:numPr>
          <w:ilvl w:val="0"/>
          <w:numId w:val="18"/>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Dizajn hotela i poslovna strategija:</w:t>
      </w:r>
      <w:r w:rsidRPr="00BE5472">
        <w:rPr>
          <w:rFonts w:ascii="Times New Roman" w:hAnsi="Times New Roman" w:cs="Times New Roman"/>
          <w:sz w:val="24"/>
          <w:szCs w:val="24"/>
        </w:rPr>
        <w:t xml:space="preserve"> Vođeni preferencijama putnika, hoteli se mijenjaju s </w:t>
      </w:r>
      <w:r w:rsidRPr="00BE5472">
        <w:rPr>
          <w:rFonts w:ascii="Times New Roman" w:hAnsi="Times New Roman" w:cs="Times New Roman"/>
          <w:i/>
          <w:iCs/>
          <w:sz w:val="24"/>
          <w:szCs w:val="24"/>
        </w:rPr>
        <w:t>cool</w:t>
      </w:r>
      <w:r w:rsidRPr="00BE5472">
        <w:rPr>
          <w:rFonts w:ascii="Times New Roman" w:hAnsi="Times New Roman" w:cs="Times New Roman"/>
          <w:sz w:val="24"/>
          <w:szCs w:val="24"/>
        </w:rPr>
        <w:t xml:space="preserve"> luksuznim markama, </w:t>
      </w:r>
      <w:r w:rsidRPr="00BE5472">
        <w:rPr>
          <w:rFonts w:ascii="Times New Roman" w:hAnsi="Times New Roman" w:cs="Times New Roman"/>
          <w:i/>
          <w:iCs/>
          <w:sz w:val="24"/>
          <w:szCs w:val="24"/>
        </w:rPr>
        <w:t>Instagram</w:t>
      </w:r>
      <w:r w:rsidR="0041129C" w:rsidRPr="00BE5472">
        <w:rPr>
          <w:rFonts w:ascii="Times New Roman" w:hAnsi="Times New Roman" w:cs="Times New Roman"/>
          <w:sz w:val="24"/>
          <w:szCs w:val="24"/>
        </w:rPr>
        <w:t>-</w:t>
      </w:r>
      <w:r w:rsidRPr="00BE5472">
        <w:rPr>
          <w:rFonts w:ascii="Times New Roman" w:hAnsi="Times New Roman" w:cs="Times New Roman"/>
          <w:sz w:val="24"/>
          <w:szCs w:val="24"/>
        </w:rPr>
        <w:t>vrijednim dizajnima, mikrosobama, naglaskom na lokalnom dizajnu i okusima te iskustvenim društvenim prostorima. Kako globalizacija i demografske promjene ne jenjavaju, hoteli se prilagođavaju bogatim putnicima koji traže nešto sasvim novo i drugačije, zatim kreativnost i izvanredna i duboka iskustva.</w:t>
      </w:r>
    </w:p>
    <w:p w14:paraId="349255DE" w14:textId="77777777" w:rsidR="006E052A" w:rsidRPr="00BE5472" w:rsidRDefault="006E052A" w:rsidP="006E052A">
      <w:pPr>
        <w:spacing w:after="120" w:line="360" w:lineRule="auto"/>
        <w:jc w:val="both"/>
        <w:rPr>
          <w:rFonts w:ascii="Times New Roman" w:hAnsi="Times New Roman" w:cs="Times New Roman"/>
          <w:sz w:val="24"/>
          <w:szCs w:val="24"/>
        </w:rPr>
      </w:pPr>
    </w:p>
    <w:p w14:paraId="68928F27" w14:textId="7FE70589" w:rsidR="00FA60CB" w:rsidRPr="00BE5472" w:rsidRDefault="00DC3E01" w:rsidP="00FA60CB">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Snažan</w:t>
      </w:r>
      <w:r w:rsidR="006E052A" w:rsidRPr="00BE5472">
        <w:rPr>
          <w:rFonts w:ascii="Times New Roman" w:hAnsi="Times New Roman" w:cs="Times New Roman"/>
          <w:sz w:val="24"/>
          <w:szCs w:val="24"/>
        </w:rPr>
        <w:t xml:space="preserve"> trend danas su</w:t>
      </w:r>
      <w:r w:rsidR="000A60F4" w:rsidRPr="00BE5472">
        <w:rPr>
          <w:rFonts w:ascii="Times New Roman" w:hAnsi="Times New Roman" w:cs="Times New Roman"/>
          <w:sz w:val="24"/>
          <w:szCs w:val="24"/>
        </w:rPr>
        <w:t xml:space="preserve"> i</w:t>
      </w:r>
      <w:r w:rsidR="006E052A" w:rsidRPr="00BE5472">
        <w:rPr>
          <w:rFonts w:ascii="Times New Roman" w:hAnsi="Times New Roman" w:cs="Times New Roman"/>
          <w:sz w:val="24"/>
          <w:szCs w:val="24"/>
        </w:rPr>
        <w:t xml:space="preserve"> putovanja usmjerena na </w:t>
      </w:r>
      <w:r w:rsidR="006E052A" w:rsidRPr="00BE5472">
        <w:rPr>
          <w:rFonts w:ascii="Times New Roman" w:hAnsi="Times New Roman" w:cs="Times New Roman"/>
          <w:i/>
          <w:sz w:val="24"/>
          <w:szCs w:val="24"/>
        </w:rPr>
        <w:t>wellness</w:t>
      </w:r>
      <w:r w:rsidR="006E052A" w:rsidRPr="00BE5472">
        <w:rPr>
          <w:rFonts w:ascii="Times New Roman" w:hAnsi="Times New Roman" w:cs="Times New Roman"/>
          <w:sz w:val="24"/>
          <w:szCs w:val="24"/>
        </w:rPr>
        <w:t xml:space="preserve"> i </w:t>
      </w:r>
      <w:r w:rsidR="006E052A" w:rsidRPr="00BE5472">
        <w:rPr>
          <w:rFonts w:ascii="Times New Roman" w:hAnsi="Times New Roman" w:cs="Times New Roman"/>
          <w:i/>
          <w:sz w:val="24"/>
          <w:szCs w:val="24"/>
        </w:rPr>
        <w:t>well-being</w:t>
      </w:r>
      <w:r w:rsidR="006E052A" w:rsidRPr="00BE5472">
        <w:rPr>
          <w:rFonts w:ascii="Times New Roman" w:hAnsi="Times New Roman" w:cs="Times New Roman"/>
          <w:sz w:val="24"/>
          <w:szCs w:val="24"/>
        </w:rPr>
        <w:t xml:space="preserve"> jer ljudi nastoje poboljšati svoje fizičko i mentalno zdravlje. Bolje mentalno zdravlje društveni je i gospodarski imperativ Europske </w:t>
      </w:r>
      <w:r w:rsidR="0041129C" w:rsidRPr="00BE5472">
        <w:rPr>
          <w:rFonts w:ascii="Times New Roman" w:hAnsi="Times New Roman" w:cs="Times New Roman"/>
          <w:sz w:val="24"/>
          <w:szCs w:val="24"/>
        </w:rPr>
        <w:t>u</w:t>
      </w:r>
      <w:r w:rsidR="006E052A" w:rsidRPr="00BE5472">
        <w:rPr>
          <w:rFonts w:ascii="Times New Roman" w:hAnsi="Times New Roman" w:cs="Times New Roman"/>
          <w:sz w:val="24"/>
          <w:szCs w:val="24"/>
        </w:rPr>
        <w:t xml:space="preserve">nije (Europska komisija 2023). Ovaj će trend rasti i u budućnosti. Hoteli bi trebali prilagoditi svoje usluge nudeći „zdrave“ jelovnike, bogatije sadržaje, tečajeve i fleksibilno dizajne soba kako bi ukazali na prihvaćanje </w:t>
      </w:r>
      <w:r w:rsidR="006E052A" w:rsidRPr="00BE5472">
        <w:rPr>
          <w:rFonts w:ascii="Times New Roman" w:hAnsi="Times New Roman" w:cs="Times New Roman"/>
          <w:i/>
          <w:sz w:val="24"/>
          <w:szCs w:val="24"/>
        </w:rPr>
        <w:t>wellness</w:t>
      </w:r>
      <w:r w:rsidR="006E052A" w:rsidRPr="00BE5472">
        <w:rPr>
          <w:rFonts w:ascii="Times New Roman" w:hAnsi="Times New Roman" w:cs="Times New Roman"/>
          <w:sz w:val="24"/>
          <w:szCs w:val="24"/>
        </w:rPr>
        <w:t xml:space="preserve"> rutine svojih gostiju. </w:t>
      </w:r>
      <w:r w:rsidR="006E052A" w:rsidRPr="00BE5472">
        <w:rPr>
          <w:rFonts w:ascii="Times New Roman" w:hAnsi="Times New Roman" w:cs="Times New Roman"/>
          <w:bCs/>
          <w:sz w:val="24"/>
          <w:szCs w:val="24"/>
        </w:rPr>
        <w:t xml:space="preserve">Ključni trendovi </w:t>
      </w:r>
      <w:r w:rsidR="006E052A" w:rsidRPr="00BE5472">
        <w:rPr>
          <w:rFonts w:ascii="Times New Roman" w:hAnsi="Times New Roman" w:cs="Times New Roman"/>
          <w:bCs/>
          <w:i/>
          <w:sz w:val="24"/>
          <w:szCs w:val="24"/>
        </w:rPr>
        <w:t>wellness</w:t>
      </w:r>
      <w:r w:rsidR="006E052A" w:rsidRPr="00BE5472">
        <w:rPr>
          <w:rFonts w:ascii="Times New Roman" w:hAnsi="Times New Roman" w:cs="Times New Roman"/>
          <w:bCs/>
          <w:sz w:val="24"/>
          <w:szCs w:val="24"/>
        </w:rPr>
        <w:t xml:space="preserve"> putovanja</w:t>
      </w:r>
      <w:r w:rsidR="006E052A" w:rsidRPr="00BE5472">
        <w:rPr>
          <w:rFonts w:ascii="Times New Roman" w:hAnsi="Times New Roman" w:cs="Times New Roman"/>
          <w:sz w:val="24"/>
          <w:szCs w:val="24"/>
        </w:rPr>
        <w:t xml:space="preserve"> u budućnosti (</w:t>
      </w:r>
      <w:r w:rsidR="006E052A" w:rsidRPr="00BE5472">
        <w:rPr>
          <w:rFonts w:ascii="Times New Roman" w:hAnsi="Times New Roman" w:cs="Times New Roman"/>
          <w:i/>
          <w:iCs/>
          <w:sz w:val="24"/>
          <w:szCs w:val="24"/>
        </w:rPr>
        <w:t>SiteMinder</w:t>
      </w:r>
      <w:r w:rsidR="006E052A" w:rsidRPr="00BE5472">
        <w:rPr>
          <w:rFonts w:ascii="Times New Roman" w:hAnsi="Times New Roman" w:cs="Times New Roman"/>
          <w:sz w:val="24"/>
          <w:szCs w:val="24"/>
        </w:rPr>
        <w:t xml:space="preserve"> 2024b):</w:t>
      </w:r>
    </w:p>
    <w:p w14:paraId="0A98F703" w14:textId="704D8274" w:rsidR="006E052A" w:rsidRPr="00BE5472" w:rsidRDefault="006E052A" w:rsidP="00120B4F">
      <w:pPr>
        <w:pStyle w:val="ListParagraph"/>
        <w:numPr>
          <w:ilvl w:val="0"/>
          <w:numId w:val="91"/>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 xml:space="preserve">Povlačenje iz svakodnevice </w:t>
      </w:r>
      <w:r w:rsidRPr="00BE5472">
        <w:rPr>
          <w:rFonts w:ascii="Times New Roman" w:hAnsi="Times New Roman" w:cs="Times New Roman"/>
          <w:i/>
          <w:sz w:val="24"/>
          <w:szCs w:val="24"/>
        </w:rPr>
        <w:t xml:space="preserve">(eng. </w:t>
      </w:r>
      <w:r w:rsidRPr="00BE5472">
        <w:rPr>
          <w:rFonts w:ascii="Times New Roman" w:hAnsi="Times New Roman" w:cs="Times New Roman"/>
          <w:iCs/>
          <w:sz w:val="24"/>
          <w:szCs w:val="24"/>
        </w:rPr>
        <w:t>retreats</w:t>
      </w:r>
      <w:r w:rsidRPr="00BE5472">
        <w:rPr>
          <w:rFonts w:ascii="Times New Roman" w:hAnsi="Times New Roman" w:cs="Times New Roman"/>
          <w:i/>
          <w:sz w:val="24"/>
          <w:szCs w:val="24"/>
        </w:rPr>
        <w:t xml:space="preserve">) </w:t>
      </w:r>
      <w:r w:rsidRPr="00BE5472">
        <w:rPr>
          <w:rFonts w:ascii="Times New Roman" w:hAnsi="Times New Roman" w:cs="Times New Roman"/>
          <w:bCs/>
          <w:i/>
          <w:sz w:val="24"/>
          <w:szCs w:val="24"/>
        </w:rPr>
        <w:t>u svrhu prestanka pušenja</w:t>
      </w:r>
      <w:r w:rsidRPr="00BE5472">
        <w:rPr>
          <w:rFonts w:ascii="Times New Roman" w:hAnsi="Times New Roman" w:cs="Times New Roman"/>
          <w:sz w:val="24"/>
          <w:szCs w:val="24"/>
        </w:rPr>
        <w:t xml:space="preserve">: Povlačenja iz svakodnevice koja nude podršku za prestanak pušenja. </w:t>
      </w:r>
    </w:p>
    <w:p w14:paraId="2948EE01" w14:textId="408C64F3"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Zdravlje muškaraca</w:t>
      </w:r>
      <w:r w:rsidRPr="00BE5472">
        <w:rPr>
          <w:rFonts w:ascii="Times New Roman" w:hAnsi="Times New Roman" w:cs="Times New Roman"/>
          <w:sz w:val="24"/>
          <w:szCs w:val="24"/>
        </w:rPr>
        <w:t xml:space="preserve">: </w:t>
      </w:r>
      <w:r w:rsidRPr="00BE5472">
        <w:rPr>
          <w:rFonts w:ascii="Times New Roman" w:hAnsi="Times New Roman" w:cs="Times New Roman"/>
          <w:i/>
          <w:sz w:val="24"/>
          <w:szCs w:val="24"/>
        </w:rPr>
        <w:t>Wellness</w:t>
      </w:r>
      <w:r w:rsidRPr="00BE5472">
        <w:rPr>
          <w:rFonts w:ascii="Times New Roman" w:hAnsi="Times New Roman" w:cs="Times New Roman"/>
          <w:sz w:val="24"/>
          <w:szCs w:val="24"/>
        </w:rPr>
        <w:t xml:space="preserve"> prilagođen muškarcima za rješavanje zdravstvenih potreba.</w:t>
      </w:r>
    </w:p>
    <w:p w14:paraId="6DDF73E1" w14:textId="77777777"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Izlječenje uma i emocija</w:t>
      </w:r>
      <w:r w:rsidRPr="00BE5472">
        <w:rPr>
          <w:rFonts w:ascii="Times New Roman" w:hAnsi="Times New Roman" w:cs="Times New Roman"/>
          <w:sz w:val="24"/>
          <w:szCs w:val="24"/>
        </w:rPr>
        <w:t xml:space="preserve">: Odmor koji nudi </w:t>
      </w:r>
      <w:r w:rsidRPr="00BE5472">
        <w:rPr>
          <w:rFonts w:ascii="Times New Roman" w:hAnsi="Times New Roman" w:cs="Times New Roman"/>
          <w:i/>
          <w:sz w:val="24"/>
          <w:szCs w:val="24"/>
        </w:rPr>
        <w:t>mindfulness</w:t>
      </w:r>
      <w:r w:rsidRPr="00BE5472">
        <w:rPr>
          <w:rFonts w:ascii="Times New Roman" w:hAnsi="Times New Roman" w:cs="Times New Roman"/>
          <w:sz w:val="24"/>
          <w:szCs w:val="24"/>
        </w:rPr>
        <w:t>, meditaciju i jogu za borbu protiv stresa.</w:t>
      </w:r>
    </w:p>
    <w:p w14:paraId="306D5E93" w14:textId="77777777"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lastRenderedPageBreak/>
        <w:t>Detoksikacija uz zdravu prehranu</w:t>
      </w:r>
      <w:r w:rsidRPr="00BE5472">
        <w:rPr>
          <w:rFonts w:ascii="Times New Roman" w:hAnsi="Times New Roman" w:cs="Times New Roman"/>
          <w:sz w:val="24"/>
          <w:szCs w:val="24"/>
        </w:rPr>
        <w:t>: Detoksikacijska putovanja kombinirana s odmorom uz zdravu prehranu.</w:t>
      </w:r>
    </w:p>
    <w:p w14:paraId="6ED1ED2A" w14:textId="77777777"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Zen i adrenalin</w:t>
      </w:r>
      <w:r w:rsidRPr="00BE5472">
        <w:rPr>
          <w:rFonts w:ascii="Times New Roman" w:hAnsi="Times New Roman" w:cs="Times New Roman"/>
          <w:sz w:val="24"/>
          <w:szCs w:val="24"/>
        </w:rPr>
        <w:t xml:space="preserve">: Kombiniranje opuštanja s avanturističkim sportovima za uravnoteženi </w:t>
      </w:r>
      <w:r w:rsidRPr="00BE5472">
        <w:rPr>
          <w:rFonts w:ascii="Times New Roman" w:hAnsi="Times New Roman" w:cs="Times New Roman"/>
          <w:i/>
          <w:sz w:val="24"/>
          <w:szCs w:val="24"/>
        </w:rPr>
        <w:t>wellness</w:t>
      </w:r>
      <w:r w:rsidRPr="00BE5472">
        <w:rPr>
          <w:rFonts w:ascii="Times New Roman" w:hAnsi="Times New Roman" w:cs="Times New Roman"/>
          <w:sz w:val="24"/>
          <w:szCs w:val="24"/>
        </w:rPr>
        <w:t>.</w:t>
      </w:r>
    </w:p>
    <w:p w14:paraId="06845434" w14:textId="28A33882"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Obiteljski</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wellness</w:t>
      </w:r>
      <w:r w:rsidRPr="00BE5472">
        <w:rPr>
          <w:rFonts w:ascii="Times New Roman" w:hAnsi="Times New Roman" w:cs="Times New Roman"/>
          <w:sz w:val="24"/>
          <w:szCs w:val="24"/>
        </w:rPr>
        <w:t>: Odmor i spa</w:t>
      </w:r>
      <w:r w:rsidR="0041129C" w:rsidRPr="00BE5472">
        <w:rPr>
          <w:rFonts w:ascii="Times New Roman" w:hAnsi="Times New Roman" w:cs="Times New Roman"/>
          <w:sz w:val="24"/>
          <w:szCs w:val="24"/>
        </w:rPr>
        <w:t>-</w:t>
      </w:r>
      <w:r w:rsidRPr="00BE5472">
        <w:rPr>
          <w:rFonts w:ascii="Times New Roman" w:hAnsi="Times New Roman" w:cs="Times New Roman"/>
          <w:sz w:val="24"/>
          <w:szCs w:val="24"/>
        </w:rPr>
        <w:t>centri prilagođeni obiteljima, koji promoviraju kvalitetno provođenje vremena i aktivnosti bez tehnologije.</w:t>
      </w:r>
    </w:p>
    <w:p w14:paraId="1D9F10C1" w14:textId="77777777"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Wellness</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na radnom mjestu</w:t>
      </w:r>
      <w:r w:rsidRPr="00BE5472">
        <w:rPr>
          <w:rFonts w:ascii="Times New Roman" w:hAnsi="Times New Roman" w:cs="Times New Roman"/>
          <w:i/>
          <w:sz w:val="24"/>
          <w:szCs w:val="24"/>
        </w:rPr>
        <w:t>:</w:t>
      </w:r>
      <w:r w:rsidRPr="00BE5472">
        <w:rPr>
          <w:rFonts w:ascii="Times New Roman" w:hAnsi="Times New Roman" w:cs="Times New Roman"/>
          <w:sz w:val="24"/>
          <w:szCs w:val="24"/>
        </w:rPr>
        <w:t xml:space="preserve"> Timski odmor koji se fokusira na povezivanje i fizičke aktivnosti.</w:t>
      </w:r>
    </w:p>
    <w:p w14:paraId="7A5288FD" w14:textId="77777777" w:rsidR="006E052A" w:rsidRPr="00BE5472" w:rsidRDefault="006E052A" w:rsidP="006E052A">
      <w:pPr>
        <w:numPr>
          <w:ilvl w:val="0"/>
          <w:numId w:val="19"/>
        </w:numPr>
        <w:spacing w:after="120"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 xml:space="preserve">Ekološki prihvatljiv odmor: </w:t>
      </w:r>
      <w:r w:rsidRPr="00BE5472">
        <w:rPr>
          <w:rFonts w:ascii="Times New Roman" w:hAnsi="Times New Roman" w:cs="Times New Roman"/>
          <w:sz w:val="24"/>
          <w:szCs w:val="24"/>
        </w:rPr>
        <w:t xml:space="preserve"> Odmor koji je usmjeren na očuvanje okoliša i promovira opuštanje bez grižnje savjesti.</w:t>
      </w:r>
    </w:p>
    <w:p w14:paraId="4B5E39AF" w14:textId="77777777" w:rsidR="006E052A" w:rsidRPr="00BE5472" w:rsidRDefault="006E052A" w:rsidP="006E052A">
      <w:pPr>
        <w:spacing w:after="120" w:line="360" w:lineRule="auto"/>
        <w:jc w:val="both"/>
        <w:rPr>
          <w:rFonts w:ascii="Times New Roman" w:hAnsi="Times New Roman" w:cs="Times New Roman"/>
          <w:bCs/>
          <w:sz w:val="24"/>
          <w:szCs w:val="24"/>
        </w:rPr>
      </w:pPr>
    </w:p>
    <w:p w14:paraId="78D7DE70" w14:textId="18BB96AA"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bCs/>
          <w:sz w:val="24"/>
          <w:szCs w:val="24"/>
        </w:rPr>
        <w:t xml:space="preserve">Među novim se trendovima naglašavaju transformativna putovanja </w:t>
      </w:r>
      <w:r w:rsidRPr="00BE5472">
        <w:rPr>
          <w:rFonts w:ascii="Times New Roman" w:hAnsi="Times New Roman" w:cs="Times New Roman"/>
          <w:sz w:val="24"/>
          <w:szCs w:val="24"/>
        </w:rPr>
        <w:t xml:space="preserve">koja kombiniraju pripovijedanje i </w:t>
      </w:r>
      <w:r w:rsidRPr="00BE5472">
        <w:rPr>
          <w:rFonts w:ascii="Times New Roman" w:hAnsi="Times New Roman" w:cs="Times New Roman"/>
          <w:i/>
          <w:sz w:val="24"/>
          <w:szCs w:val="24"/>
        </w:rPr>
        <w:t>wellness</w:t>
      </w:r>
      <w:r w:rsidRPr="00BE5472">
        <w:rPr>
          <w:rFonts w:ascii="Times New Roman" w:hAnsi="Times New Roman" w:cs="Times New Roman"/>
          <w:sz w:val="24"/>
          <w:szCs w:val="24"/>
        </w:rPr>
        <w:t xml:space="preserve"> za snažniji emocionalni učinak, </w:t>
      </w:r>
      <w:r w:rsidRPr="00BE5472">
        <w:rPr>
          <w:rFonts w:ascii="Times New Roman" w:hAnsi="Times New Roman" w:cs="Times New Roman"/>
          <w:i/>
          <w:sz w:val="24"/>
          <w:szCs w:val="24"/>
        </w:rPr>
        <w:t>w</w:t>
      </w:r>
      <w:r w:rsidRPr="00BE5472">
        <w:rPr>
          <w:rFonts w:ascii="Times New Roman" w:hAnsi="Times New Roman" w:cs="Times New Roman"/>
          <w:bCs/>
          <w:i/>
          <w:sz w:val="24"/>
          <w:szCs w:val="24"/>
        </w:rPr>
        <w:t>ellness</w:t>
      </w:r>
      <w:r w:rsidRPr="00BE5472">
        <w:rPr>
          <w:rFonts w:ascii="Times New Roman" w:hAnsi="Times New Roman" w:cs="Times New Roman"/>
          <w:bCs/>
          <w:sz w:val="24"/>
          <w:szCs w:val="24"/>
        </w:rPr>
        <w:t xml:space="preserve"> u kuhinji pri čemu je fokus</w:t>
      </w:r>
      <w:r w:rsidRPr="00BE5472">
        <w:rPr>
          <w:rFonts w:ascii="Times New Roman" w:hAnsi="Times New Roman" w:cs="Times New Roman"/>
          <w:sz w:val="24"/>
          <w:szCs w:val="24"/>
        </w:rPr>
        <w:t xml:space="preserve"> na lokalnoj, organskoj hrani i tradicionalnoj pripremi obroka. Zatim su tu e</w:t>
      </w:r>
      <w:r w:rsidRPr="00BE5472">
        <w:rPr>
          <w:rFonts w:ascii="Times New Roman" w:hAnsi="Times New Roman" w:cs="Times New Roman"/>
          <w:bCs/>
          <w:sz w:val="24"/>
          <w:szCs w:val="24"/>
        </w:rPr>
        <w:t xml:space="preserve">kstremna </w:t>
      </w:r>
      <w:r w:rsidRPr="00BE5472">
        <w:rPr>
          <w:rFonts w:ascii="Times New Roman" w:hAnsi="Times New Roman" w:cs="Times New Roman"/>
          <w:bCs/>
          <w:i/>
          <w:sz w:val="24"/>
          <w:szCs w:val="24"/>
        </w:rPr>
        <w:t>wellness</w:t>
      </w:r>
      <w:r w:rsidRPr="00BE5472">
        <w:rPr>
          <w:rFonts w:ascii="Times New Roman" w:hAnsi="Times New Roman" w:cs="Times New Roman"/>
          <w:b/>
          <w:bCs/>
          <w:sz w:val="24"/>
          <w:szCs w:val="24"/>
        </w:rPr>
        <w:t xml:space="preserve"> </w:t>
      </w:r>
      <w:r w:rsidRPr="00BE5472">
        <w:rPr>
          <w:rFonts w:ascii="Times New Roman" w:hAnsi="Times New Roman" w:cs="Times New Roman"/>
          <w:bCs/>
          <w:sz w:val="24"/>
          <w:szCs w:val="24"/>
        </w:rPr>
        <w:t>putovanja</w:t>
      </w:r>
      <w:r w:rsidR="0041129C" w:rsidRPr="00BE5472">
        <w:rPr>
          <w:rFonts w:ascii="Times New Roman" w:hAnsi="Times New Roman" w:cs="Times New Roman"/>
          <w:bCs/>
          <w:sz w:val="24"/>
          <w:szCs w:val="24"/>
        </w:rPr>
        <w:t>,</w:t>
      </w:r>
      <w:r w:rsidRPr="00BE5472">
        <w:rPr>
          <w:rFonts w:ascii="Times New Roman" w:hAnsi="Times New Roman" w:cs="Times New Roman"/>
          <w:sz w:val="24"/>
          <w:szCs w:val="24"/>
        </w:rPr>
        <w:t xml:space="preserve"> odnosno izazovne aktivnosti poput hodanja po glečerima ili raftinga </w:t>
      </w:r>
      <w:r w:rsidR="00554F21" w:rsidRPr="00BE5472">
        <w:rPr>
          <w:rFonts w:ascii="Times New Roman" w:hAnsi="Times New Roman" w:cs="Times New Roman"/>
          <w:sz w:val="24"/>
          <w:szCs w:val="24"/>
        </w:rPr>
        <w:t>u</w:t>
      </w:r>
      <w:r w:rsidRPr="00BE5472">
        <w:rPr>
          <w:rFonts w:ascii="Times New Roman" w:hAnsi="Times New Roman" w:cs="Times New Roman"/>
          <w:sz w:val="24"/>
          <w:szCs w:val="24"/>
        </w:rPr>
        <w:t xml:space="preserve"> Amazoniji.  </w:t>
      </w:r>
      <w:r w:rsidRPr="00BE5472">
        <w:rPr>
          <w:rFonts w:ascii="Times New Roman" w:hAnsi="Times New Roman" w:cs="Times New Roman"/>
          <w:bCs/>
          <w:sz w:val="24"/>
          <w:szCs w:val="24"/>
        </w:rPr>
        <w:t xml:space="preserve">Feministički </w:t>
      </w:r>
      <w:r w:rsidRPr="00BE5472">
        <w:rPr>
          <w:rFonts w:ascii="Times New Roman" w:hAnsi="Times New Roman" w:cs="Times New Roman"/>
          <w:bCs/>
          <w:i/>
          <w:iCs/>
          <w:sz w:val="24"/>
          <w:szCs w:val="24"/>
        </w:rPr>
        <w:t>wellness</w:t>
      </w:r>
      <w:r w:rsidRPr="00BE5472">
        <w:rPr>
          <w:rFonts w:ascii="Times New Roman" w:hAnsi="Times New Roman" w:cs="Times New Roman"/>
          <w:bCs/>
          <w:sz w:val="24"/>
          <w:szCs w:val="24"/>
        </w:rPr>
        <w:t xml:space="preserve"> se također počinje provlačiti među novim trendovima.</w:t>
      </w:r>
      <w:r w:rsidRPr="00BE5472">
        <w:rPr>
          <w:rFonts w:ascii="Times New Roman" w:hAnsi="Times New Roman" w:cs="Times New Roman"/>
          <w:sz w:val="24"/>
          <w:szCs w:val="24"/>
        </w:rPr>
        <w:t xml:space="preserve"> To su prvenstveno solo avanturistička putovanja za žene u svrhu osnaživanja i osobnog rasta (SiteMinder 2024b).</w:t>
      </w:r>
    </w:p>
    <w:p w14:paraId="0C7D7629" w14:textId="7F336F5F"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Sampson (2022), koja smatra da je ugostiteljska industrija, a time i hotelijerstvo, izuzetno visoko elastično na promjenu ekonomskih uvjeta i konkurenciju koja dolazi iz posrednog i neposrednog okruženja, u budućnosti valja u obzir uzeti sljedeće čimbenike: kontrolu troškova poslovanja, izgradnj</w:t>
      </w:r>
      <w:r w:rsidR="00554F21" w:rsidRPr="00BE5472">
        <w:rPr>
          <w:rFonts w:ascii="Times New Roman" w:hAnsi="Times New Roman" w:cs="Times New Roman"/>
          <w:sz w:val="24"/>
          <w:szCs w:val="24"/>
        </w:rPr>
        <w:t>u</w:t>
      </w:r>
      <w:r w:rsidRPr="00BE5472">
        <w:rPr>
          <w:rFonts w:ascii="Times New Roman" w:hAnsi="Times New Roman" w:cs="Times New Roman"/>
          <w:sz w:val="24"/>
          <w:szCs w:val="24"/>
        </w:rPr>
        <w:t xml:space="preserve"> marke, nove strategije ekspanzije, menadžment ljudskih potencijala, ekološke inicijative i tehnološke inovacije. U 2030-ima, najbolji hoteli će nuditi visoko personalizirana iskustva za goste, razne održive opcije boravka i atraktivne mogućnosti za zaposlenike (Constantin i sur. bez dat.). Chemmanur i Jiwnani (2024) izdvajaju sljedeće ključne elemente značajne za razvoj hotelskog proizvoda u budućnosti:</w:t>
      </w:r>
    </w:p>
    <w:p w14:paraId="442AC5F5" w14:textId="77777777" w:rsidR="006E052A" w:rsidRPr="00BE5472" w:rsidRDefault="006E052A" w:rsidP="006E052A">
      <w:pPr>
        <w:spacing w:after="120" w:line="360" w:lineRule="auto"/>
        <w:jc w:val="both"/>
        <w:rPr>
          <w:rFonts w:ascii="Times New Roman" w:hAnsi="Times New Roman" w:cs="Times New Roman"/>
          <w:sz w:val="24"/>
          <w:szCs w:val="24"/>
        </w:rPr>
      </w:pPr>
    </w:p>
    <w:p w14:paraId="37F91149" w14:textId="3BA370D7" w:rsidR="006E052A" w:rsidRPr="00BE5472" w:rsidRDefault="006E052A" w:rsidP="006E052A">
      <w:pPr>
        <w:numPr>
          <w:ilvl w:val="0"/>
          <w:numId w:val="2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Trend poslovnih putovanja raste s naglaskom na smanjenje troškova i povećanje interesa za organizaciju događanja.</w:t>
      </w:r>
    </w:p>
    <w:p w14:paraId="6918E9B8" w14:textId="77777777" w:rsidR="006E052A" w:rsidRPr="00BE5472" w:rsidRDefault="006E052A" w:rsidP="006E052A">
      <w:pPr>
        <w:numPr>
          <w:ilvl w:val="0"/>
          <w:numId w:val="2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Luksuzno turističko tržište brzo raste, a posebno se povećava interes za </w:t>
      </w:r>
      <w:r w:rsidRPr="00BE5472">
        <w:rPr>
          <w:rFonts w:ascii="Times New Roman" w:hAnsi="Times New Roman" w:cs="Times New Roman"/>
          <w:i/>
          <w:sz w:val="24"/>
          <w:szCs w:val="24"/>
        </w:rPr>
        <w:t>all-inclusive</w:t>
      </w:r>
      <w:r w:rsidRPr="00BE5472">
        <w:rPr>
          <w:rFonts w:ascii="Times New Roman" w:hAnsi="Times New Roman" w:cs="Times New Roman"/>
          <w:sz w:val="24"/>
          <w:szCs w:val="24"/>
        </w:rPr>
        <w:t xml:space="preserve"> super-luksuzne pakete.</w:t>
      </w:r>
    </w:p>
    <w:p w14:paraId="7BCB2DA1" w14:textId="77777777" w:rsidR="006E052A" w:rsidRPr="00BE5472" w:rsidRDefault="006E052A" w:rsidP="006E052A">
      <w:pPr>
        <w:numPr>
          <w:ilvl w:val="0"/>
          <w:numId w:val="2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Ulaganje u tehnologiju u svrhu personalizacije doživljaja može doprinijeti povećanju zadovoljstva gostiju, ali ključno je imati jasnu strategiju interakcije s gostima kojom se uravnotežuje profitabilnost duž svih dodirnih točaka (eng. </w:t>
      </w:r>
      <w:r w:rsidRPr="00BE5472">
        <w:rPr>
          <w:rFonts w:ascii="Times New Roman" w:hAnsi="Times New Roman" w:cs="Times New Roman"/>
          <w:i/>
          <w:sz w:val="24"/>
          <w:szCs w:val="24"/>
        </w:rPr>
        <w:t>touch points</w:t>
      </w:r>
      <w:r w:rsidRPr="00BE5472">
        <w:rPr>
          <w:rFonts w:ascii="Times New Roman" w:hAnsi="Times New Roman" w:cs="Times New Roman"/>
          <w:sz w:val="24"/>
          <w:szCs w:val="24"/>
        </w:rPr>
        <w:t>).</w:t>
      </w:r>
    </w:p>
    <w:p w14:paraId="3CA26802" w14:textId="77777777" w:rsidR="006E052A" w:rsidRPr="00BE5472" w:rsidRDefault="006E052A" w:rsidP="006E052A">
      <w:pPr>
        <w:numPr>
          <w:ilvl w:val="0"/>
          <w:numId w:val="2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Od presudne je važnosti za hotelsku industriju kreiranje fleksibilnih strategija koje uzimaju u obzir nužnost zadovoljavanja potrebe budućih gostiju, a istovremeno reflektiraju nove tržišne trendove.</w:t>
      </w:r>
    </w:p>
    <w:p w14:paraId="3D7CEB92" w14:textId="77777777" w:rsidR="006E052A" w:rsidRPr="00BE5472" w:rsidRDefault="006E052A" w:rsidP="006E052A">
      <w:pPr>
        <w:numPr>
          <w:ilvl w:val="0"/>
          <w:numId w:val="20"/>
        </w:numPr>
        <w:spacing w:after="120"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Upotreba umjetne inteligencije postaje sve prisutnija u hotelskoj industriji, s potencijalom za poboljšanje iskustava gostiju i unapređenje operacija. Važno je osigurati da osnovne potrebe industrije i njenih gostiju nikako ne budu zlouporabljene.</w:t>
      </w:r>
    </w:p>
    <w:p w14:paraId="7C660784" w14:textId="77777777" w:rsidR="006E052A" w:rsidRPr="00BE5472" w:rsidRDefault="006E052A" w:rsidP="006E052A">
      <w:pPr>
        <w:spacing w:after="120" w:line="360" w:lineRule="auto"/>
        <w:jc w:val="both"/>
        <w:rPr>
          <w:rFonts w:ascii="Times New Roman" w:hAnsi="Times New Roman" w:cs="Times New Roman"/>
          <w:sz w:val="24"/>
          <w:szCs w:val="24"/>
        </w:rPr>
      </w:pPr>
    </w:p>
    <w:p w14:paraId="713B5E18" w14:textId="2583D701"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Hotelska se industrija suočava s</w:t>
      </w:r>
      <w:r w:rsidR="00D17B3F" w:rsidRPr="00BE5472">
        <w:rPr>
          <w:rFonts w:ascii="Times New Roman" w:hAnsi="Times New Roman" w:cs="Times New Roman"/>
          <w:sz w:val="24"/>
          <w:szCs w:val="24"/>
        </w:rPr>
        <w:t>a</w:t>
      </w:r>
      <w:r w:rsidRPr="00BE5472">
        <w:rPr>
          <w:rFonts w:ascii="Times New Roman" w:hAnsi="Times New Roman" w:cs="Times New Roman"/>
          <w:sz w:val="24"/>
          <w:szCs w:val="24"/>
        </w:rPr>
        <w:t xml:space="preserve"> značajnim promjenama koje će oblikovati njezinu budućnost. Danas hotelijerstvo prolazi kroz značajnu transformaciju potaknutu promjenjivim preferencijama gostiju, tehnološkim napretkom i imperativima društveno-odgovornog poslovanja. Gosti traže jedinstvene i autentične doživljaje, a luksuzne ponude s </w:t>
      </w:r>
      <w:r w:rsidRPr="00BE5472">
        <w:rPr>
          <w:rFonts w:ascii="Times New Roman" w:hAnsi="Times New Roman" w:cs="Times New Roman"/>
          <w:i/>
          <w:sz w:val="24"/>
          <w:szCs w:val="24"/>
        </w:rPr>
        <w:t>all-inclusive</w:t>
      </w:r>
      <w:r w:rsidRPr="00BE5472">
        <w:rPr>
          <w:rFonts w:ascii="Times New Roman" w:hAnsi="Times New Roman" w:cs="Times New Roman"/>
          <w:sz w:val="24"/>
          <w:szCs w:val="24"/>
        </w:rPr>
        <w:t xml:space="preserve"> paketima i </w:t>
      </w:r>
      <w:r w:rsidRPr="00BE5472">
        <w:rPr>
          <w:rFonts w:ascii="Times New Roman" w:hAnsi="Times New Roman" w:cs="Times New Roman"/>
          <w:i/>
          <w:sz w:val="24"/>
          <w:szCs w:val="24"/>
        </w:rPr>
        <w:t>wellness</w:t>
      </w:r>
      <w:r w:rsidRPr="00BE5472">
        <w:rPr>
          <w:rFonts w:ascii="Times New Roman" w:hAnsi="Times New Roman" w:cs="Times New Roman"/>
          <w:sz w:val="24"/>
          <w:szCs w:val="24"/>
        </w:rPr>
        <w:t xml:space="preserve"> uslugama postaju sve popularnije. Kompletna turistička industrija, ali hotelijerstvo posebno, posvećuje posebnu pažnju doprinosu rješavanju problema anksioznosti putnika koja se pojavljuje zbog stresnog okruženja kako na radnom mjestu, tako i kod kuće. Pandemija je također potaknula rast kombiniranih putovanja koja zadovoljavaju potrebe za radom i odmorom. Poboljšana brige o gostima postaje ključna za uspjeh i doprinosi otpornosti hotelskog sektora. Trendovi nameću potrebu personalizacije doživljaja, što se postiže primjenom naprednih tehnologija poput umjetne inteligencije. S obzirom na sve veću svijest o održivosti, hoteli prihvaćaju društveno-odgovornu praksu, uvode brojne ekološke i zelene inicijative kako bi privukli ekološki osviještene goste. Tehnološke inovacije, posebno u područjima poput marketinga, potpomognute umjetnom inteligencijom, gotovo </w:t>
      </w:r>
      <w:r w:rsidR="00871D54" w:rsidRPr="00BE5472">
        <w:rPr>
          <w:rFonts w:ascii="Times New Roman" w:hAnsi="Times New Roman" w:cs="Times New Roman"/>
          <w:sz w:val="24"/>
          <w:szCs w:val="24"/>
        </w:rPr>
        <w:t>da u</w:t>
      </w:r>
      <w:r w:rsidRPr="00BE5472">
        <w:rPr>
          <w:rFonts w:ascii="Times New Roman" w:hAnsi="Times New Roman" w:cs="Times New Roman"/>
          <w:sz w:val="24"/>
          <w:szCs w:val="24"/>
        </w:rPr>
        <w:t xml:space="preserve"> potpuno</w:t>
      </w:r>
      <w:r w:rsidR="00871D54" w:rsidRPr="00BE5472">
        <w:rPr>
          <w:rFonts w:ascii="Times New Roman" w:hAnsi="Times New Roman" w:cs="Times New Roman"/>
          <w:sz w:val="24"/>
          <w:szCs w:val="24"/>
        </w:rPr>
        <w:t>sti</w:t>
      </w:r>
      <w:r w:rsidRPr="00BE5472">
        <w:rPr>
          <w:rFonts w:ascii="Times New Roman" w:hAnsi="Times New Roman" w:cs="Times New Roman"/>
          <w:sz w:val="24"/>
          <w:szCs w:val="24"/>
        </w:rPr>
        <w:t xml:space="preserve"> oblikuju današnje poslovne modele i upravljanje korisničkim iskustvom. Međusektorska suradnja, a danas posebno suradnja s financijskim sektorom, ključna je za rješavanje izazova kao što su nedostatak radne snage, brzorastući troškovi i geopolitička nesigurnost. Kako bi uspjela u okruženju koje kontinuirano evoluira, hotelska poduzeća moraju naglašavati sljedeće prioritete: autentičnost, održivost i usmjerenost na goste i </w:t>
      </w:r>
      <w:r w:rsidRPr="00BE5472">
        <w:rPr>
          <w:rFonts w:ascii="Times New Roman" w:hAnsi="Times New Roman" w:cs="Times New Roman"/>
          <w:sz w:val="24"/>
          <w:szCs w:val="24"/>
        </w:rPr>
        <w:lastRenderedPageBreak/>
        <w:t xml:space="preserve">zaposlenike. Istovremeno, prihvaćanjem tehnologije i digitalizacijom poslovanja ona jačaju vlastitu  otpornost na brojne vanjske poremećaje. </w:t>
      </w:r>
    </w:p>
    <w:p w14:paraId="40D0A343" w14:textId="7777777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Industrija hotelijerstva prošla je dug put od svojih skromnih početaka do današnjeg sofisticiranog i razgranatog sektora. Povijesno gledano, hoteli su evoluirali od jednostavnih prenoćišta i gostionica do luksuznih i multifunkcionalnih objekata koji zadovoljavaju najrazličitije potrebe gostiju. Razvoj infrastrukture, poput željeznica i aviona, te rast globalnog turizma, značajno su pridonijeli širenju i diversifikaciji hotelske ponude. Danas, hotelski lanci predstavljaju okosnicu industrije, pružajući standardizirane usluge širom svijeta. Lanci, kao što su </w:t>
      </w:r>
      <w:r w:rsidRPr="00BE5472">
        <w:rPr>
          <w:rFonts w:ascii="Times New Roman" w:hAnsi="Times New Roman" w:cs="Times New Roman"/>
          <w:i/>
          <w:iCs/>
          <w:sz w:val="24"/>
          <w:szCs w:val="24"/>
        </w:rPr>
        <w:t>Marriott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Hilton</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Accor</w:t>
      </w:r>
      <w:r w:rsidRPr="00BE5472">
        <w:rPr>
          <w:rFonts w:ascii="Times New Roman" w:hAnsi="Times New Roman" w:cs="Times New Roman"/>
          <w:sz w:val="24"/>
          <w:szCs w:val="24"/>
        </w:rPr>
        <w:t>, nude konzistentnu kvalitetu usluge, prepoznatljivost marke i imaju lojalne goste. Povezivanjem različitih destinacija i stvaranjem mreže objekata, hotelski lanci gostima nude sigurnost i povjerenje, što je posebno važno u današnjem globaliziranom svijetu.</w:t>
      </w:r>
    </w:p>
    <w:p w14:paraId="1F1422C0" w14:textId="7EEDABB7"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Specifičnosti hotelskog sektora uključuju visoku razinu konkurencije, sezonalnost poslovanja te stalnu potrebu za inovacijama i prilagodbom tržišnim trendovima. Uslužna priroda sektora zahtijeva usmjerenost na zadovoljstvo gostiju, što se postiže kroz personaliziranu uslugu, pažnju usmjerenu prema detaljima i kontinuirano poboljšanje kvalitete usluge i ponude. Razvoj tehnologije također ima značajan utjecaj, omogućujući digitalizaciju procesa, </w:t>
      </w:r>
      <w:r w:rsidRPr="00BE5472">
        <w:rPr>
          <w:rFonts w:ascii="Times New Roman" w:hAnsi="Times New Roman" w:cs="Times New Roman"/>
          <w:i/>
          <w:sz w:val="24"/>
          <w:szCs w:val="24"/>
        </w:rPr>
        <w:t>online</w:t>
      </w:r>
      <w:r w:rsidRPr="00BE5472">
        <w:rPr>
          <w:rFonts w:ascii="Times New Roman" w:hAnsi="Times New Roman" w:cs="Times New Roman"/>
          <w:sz w:val="24"/>
          <w:szCs w:val="24"/>
        </w:rPr>
        <w:t xml:space="preserve"> rezervacije, te korištenje umjetne inteligencije za analizu podataka i predviđanje potreba gostiju.</w:t>
      </w:r>
    </w:p>
    <w:p w14:paraId="6285D852" w14:textId="2A76EFD4"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Hotelski menadžment kombinacija je operativnih i strateških zadataka koje menadžeri moraju obavljati. Uključuje vođenje timova, upravljanje financijama, marketing, logistiku, nabavu te održavanje objekata. Ključni aspekti uspješnog menadžmenta uključuju sposobnost donošenja brzih i učinkovitih odluka, vještine u rješavanju problema te sposobnost motiviranja zaposlenika. Upravljanje ljudskim resursima posebno je važno u hotelijerstvu jer zadovoljni i motivirani zaposlenici izravno utječu na kvalitetu usluge i iskustvo gostiju.</w:t>
      </w:r>
    </w:p>
    <w:p w14:paraId="43C8A0F3" w14:textId="76C4C31F" w:rsidR="006E052A" w:rsidRPr="00BE5472" w:rsidRDefault="006E052A" w:rsidP="006E052A">
      <w:p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Gledajući u budućnost, trendovi u hotelskom sektoru usmjereni su na održivost, tehnološke inovacije i prilagodbu novim generacijama putnika. Održivost postaje sve važnija te hoteli sve više implementiraju ekološki prihvatljive prakse, poput smanjenja potrošnje energije, korištenja obnovljivih izvora te smanjenja otpada. Tehnološke inovacije, poput pametnih soba, virtualne stvarnosti i korištenja </w:t>
      </w:r>
      <w:r w:rsidRPr="00BE5472">
        <w:rPr>
          <w:rFonts w:ascii="Times New Roman" w:hAnsi="Times New Roman" w:cs="Times New Roman"/>
          <w:i/>
          <w:iCs/>
          <w:sz w:val="24"/>
          <w:szCs w:val="24"/>
        </w:rPr>
        <w:t>Big data</w:t>
      </w:r>
      <w:r w:rsidRPr="00BE5472">
        <w:rPr>
          <w:rFonts w:ascii="Times New Roman" w:hAnsi="Times New Roman" w:cs="Times New Roman"/>
          <w:sz w:val="24"/>
          <w:szCs w:val="24"/>
        </w:rPr>
        <w:t xml:space="preserve"> za personalizaciju usluga, transformiraju način na koji hoteli posluju i komuniciraju s gostima. Nadalje, nove generacije putnika, posebice </w:t>
      </w:r>
      <w:r w:rsidR="00DF228F" w:rsidRPr="00BE5472">
        <w:rPr>
          <w:rFonts w:ascii="Times New Roman" w:hAnsi="Times New Roman" w:cs="Times New Roman"/>
          <w:sz w:val="24"/>
          <w:szCs w:val="24"/>
        </w:rPr>
        <w:t>m</w:t>
      </w:r>
      <w:r w:rsidRPr="00BE5472">
        <w:rPr>
          <w:rFonts w:ascii="Times New Roman" w:hAnsi="Times New Roman" w:cs="Times New Roman"/>
          <w:sz w:val="24"/>
          <w:szCs w:val="24"/>
        </w:rPr>
        <w:t xml:space="preserve">ilenijalci i generacija Z, donose promjene u očekivanjima i preferencijama. Ove grupe putnika traže </w:t>
      </w:r>
      <w:r w:rsidRPr="00BE5472">
        <w:rPr>
          <w:rFonts w:ascii="Times New Roman" w:hAnsi="Times New Roman" w:cs="Times New Roman"/>
          <w:sz w:val="24"/>
          <w:szCs w:val="24"/>
        </w:rPr>
        <w:lastRenderedPageBreak/>
        <w:t>autentične doživljaje, fleksibilnost te visoku razinu interakcije putem digitalnih platformi. Hoteli stoga moraju biti spremni na kontinuiranu prilagodbu i inovacije kako bi zadovoljili ove nove zahtjeve.</w:t>
      </w:r>
    </w:p>
    <w:p w14:paraId="4439DD42" w14:textId="757E6130" w:rsidR="00B31D70" w:rsidRPr="00BE5472" w:rsidRDefault="006E052A" w:rsidP="00B31D70">
      <w:pPr>
        <w:spacing w:after="120" w:line="360" w:lineRule="auto"/>
        <w:jc w:val="both"/>
        <w:rPr>
          <w:rFonts w:ascii="Times New Roman" w:hAnsi="Times New Roman" w:cs="Times New Roman"/>
          <w:sz w:val="24"/>
          <w:szCs w:val="24"/>
        </w:rPr>
        <w:sectPr w:rsidR="00B31D70" w:rsidRPr="00BE5472" w:rsidSect="00D03C2F">
          <w:pgSz w:w="12240" w:h="15840"/>
          <w:pgMar w:top="1440" w:right="1440" w:bottom="1440" w:left="1440" w:header="708" w:footer="708" w:gutter="0"/>
          <w:cols w:space="708"/>
          <w:docGrid w:linePitch="360"/>
        </w:sectPr>
      </w:pPr>
      <w:r w:rsidRPr="00BE5472">
        <w:rPr>
          <w:rFonts w:ascii="Times New Roman" w:hAnsi="Times New Roman" w:cs="Times New Roman"/>
          <w:sz w:val="24"/>
          <w:szCs w:val="24"/>
        </w:rPr>
        <w:t>Hotelski se sektor stalno mijenja i prilagođava novim izazovima i prilikama. Od svojih povijesnih korijena do suvremenih globalnih lanaca, hoteli igraju ključnu ulogu u turizmu i gospodarstvu. Specifičnosti industrije i menadžmenta zahtijevaju visoku razinu stručnosti, fleksibilnosti i inovativnosti. S obzirom na buduće trendove, uspješnost u hotelijerstvu ovisit će o sposobnosti prilagodbe, usmjerenosti na održivost te korištenju tehnologije za poboljšanje doživljaja gostiju.</w:t>
      </w:r>
    </w:p>
    <w:p w14:paraId="7FCF54B2" w14:textId="322B122B" w:rsidR="006E052A" w:rsidRPr="00BE5472" w:rsidRDefault="006E052A" w:rsidP="003D13C0">
      <w:pPr>
        <w:pStyle w:val="Heading1"/>
        <w:rPr>
          <w:rFonts w:ascii="Times New Roman" w:hAnsi="Times New Roman" w:cs="Times New Roman"/>
        </w:rPr>
      </w:pPr>
      <w:bookmarkStart w:id="62" w:name="_Toc210381412"/>
      <w:bookmarkStart w:id="63" w:name="_Toc241865136"/>
      <w:r w:rsidRPr="00BE5472">
        <w:rPr>
          <w:rFonts w:ascii="Times New Roman" w:hAnsi="Times New Roman" w:cs="Times New Roman"/>
        </w:rPr>
        <w:lastRenderedPageBreak/>
        <w:t>3. RAZVOJNE STRATEGIJE HOTELSKIH PODUZEĆA</w:t>
      </w:r>
      <w:bookmarkEnd w:id="62"/>
      <w:bookmarkEnd w:id="63"/>
    </w:p>
    <w:p w14:paraId="3964DAC8" w14:textId="77777777" w:rsidR="00BC3443" w:rsidRPr="00BE5472" w:rsidRDefault="00BC3443" w:rsidP="00BC3443">
      <w:pPr>
        <w:rPr>
          <w:rFonts w:ascii="Times New Roman" w:hAnsi="Times New Roman" w:cs="Times New Roman"/>
        </w:rPr>
      </w:pPr>
    </w:p>
    <w:p w14:paraId="4FF12913" w14:textId="5ABEE1E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Poglavlje je posvećeno izučavanju razvojnih strategija hotelskih poduzeća. Kako bi se bolje pojasnili pojmovi razvojnih strategija, kao i načini i izazovi njihove provedbe, poglavlje započinje razmatranjem mogućnosti rasta i razvoja poduzeća u dinamičnom okruženju i teorijskim pojašnjenjem koncepta životnog ciklusa poduzeća</w:t>
      </w:r>
      <w:r w:rsidR="00DF228F"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vrlo važnog alata u provođenju analize i planiranju marketinških aktivnosti poduzeća koje želi ostati konkurentno na tržištu. Uz navedeno, predstavljeni su i glavni modeli rasta poduzeća te proces strateškog menadžmenta. U nastavku poglavlja predstavljene su osnovne razvojne strategije poduzeća te  načina njihove provedbe (unutarnji rast, vanjski rast i strateški savezi). Strategije spajanja i preuzimanja u hotelskom sektoru zasebno se obrađuju iz različitih perspektiva: pokretači i sinergijski učinci procesa, valovi spajanja i preuzimanja, navode se primjeri važnih spajanja i preuzimanja posljednjih godina u Europi i </w:t>
      </w:r>
      <w:r w:rsidR="00DF228F" w:rsidRPr="00BE5472">
        <w:rPr>
          <w:rFonts w:ascii="Times New Roman" w:hAnsi="Times New Roman" w:cs="Times New Roman"/>
          <w:kern w:val="2"/>
          <w:sz w:val="24"/>
          <w:szCs w:val="24"/>
          <w14:ligatures w14:val="standardContextual"/>
        </w:rPr>
        <w:t>s</w:t>
      </w:r>
      <w:r w:rsidRPr="00BE5472">
        <w:rPr>
          <w:rFonts w:ascii="Times New Roman" w:hAnsi="Times New Roman" w:cs="Times New Roman"/>
          <w:kern w:val="2"/>
          <w:sz w:val="24"/>
          <w:szCs w:val="24"/>
          <w14:ligatures w14:val="standardContextual"/>
        </w:rPr>
        <w:t>vijetu te analiza procesa spajanja i preuzimanja u Republici Hrvatskoj. Posebna pozornost posvećena je istraživanju zbog čega su neka spajanja i preuzimanja uspješnija od drugih. Detaljnom analizom faza i čimbenika procesa spajanja i preuzimanja u hotelskom sektoru, kao i izazov</w:t>
      </w:r>
      <w:r w:rsidR="0045368B"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same integracije nakon spajanja i preuzimanja, zaokruženo je istraživanje razvojnih strategija hotelskih poduzeća i predstavljene su osnove za konceptualizaciju primarnog istraživanja. </w:t>
      </w:r>
    </w:p>
    <w:p w14:paraId="71C193D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2A51AC6C" w14:textId="77777777" w:rsidR="006E052A" w:rsidRDefault="006E052A" w:rsidP="003D13C0">
      <w:pPr>
        <w:pStyle w:val="Heading2"/>
        <w:rPr>
          <w:rFonts w:ascii="Times New Roman" w:hAnsi="Times New Roman" w:cs="Times New Roman"/>
        </w:rPr>
      </w:pPr>
      <w:bookmarkStart w:id="64" w:name="_Toc241865137"/>
      <w:r w:rsidRPr="00BE5472">
        <w:rPr>
          <w:rFonts w:ascii="Times New Roman" w:hAnsi="Times New Roman" w:cs="Times New Roman"/>
        </w:rPr>
        <w:t xml:space="preserve">3.1. </w:t>
      </w:r>
      <w:bookmarkStart w:id="65" w:name="_Toc210381413"/>
      <w:r w:rsidRPr="00BE5472">
        <w:rPr>
          <w:rFonts w:ascii="Times New Roman" w:hAnsi="Times New Roman" w:cs="Times New Roman"/>
        </w:rPr>
        <w:t>Teorijski aspekti razvoja i rasta poduzeća</w:t>
      </w:r>
      <w:bookmarkEnd w:id="64"/>
      <w:bookmarkEnd w:id="65"/>
      <w:r w:rsidRPr="00BE5472">
        <w:rPr>
          <w:rFonts w:ascii="Times New Roman" w:hAnsi="Times New Roman" w:cs="Times New Roman"/>
        </w:rPr>
        <w:t xml:space="preserve"> </w:t>
      </w:r>
    </w:p>
    <w:p w14:paraId="2E2A581E" w14:textId="77777777" w:rsidR="00CB3A7C" w:rsidRPr="00CB3A7C" w:rsidRDefault="00CB3A7C" w:rsidP="00CB3A7C"/>
    <w:p w14:paraId="1A5074E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Poduzeća većinom teže rastu i razvoju kako bi optimizirala svoje operacije, prilagodila se promjenama na tržištu te osigurala dugoročnu stabilnost i konkurentnost. Poduzeća se razvijaju kako bi ostvarila veći profit, povećala tržišni udio, proširila svoj asortiman proizvoda ili usluga te stekla veće povjerenje klijenata i partnera. Rast i razvoj poduzeća su koncepti  koji se često koriste za mjerenje uspjeha i dugoročne održivosti poduzeća. Iako se pojmovi rasta i razvoja često koriste kao istoznačnice oni to nisu. Rast se obično definira kao povećanje obujma poslovanja, što uključuje povećanje prihoda, dobiti, tržišnog udjela, broja zaposlenih ili imovine. Dinamičan je to proces koji zahtijeva promatranje iz različitih perspektiva poput financijske, strateške, strukturalne i organizacijske</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kern w:val="2"/>
          <w:sz w:val="24"/>
          <w:szCs w:val="24"/>
          <w14:ligatures w14:val="standardContextual"/>
        </w:rPr>
        <w:t xml:space="preserve">(Wickham 1988 u Brigić i Umihanić 2015). Financijski rast obuhvaća sveukupni </w:t>
      </w:r>
      <w:r w:rsidRPr="00BE5472">
        <w:rPr>
          <w:rFonts w:ascii="Times New Roman" w:hAnsi="Times New Roman" w:cs="Times New Roman"/>
          <w:kern w:val="2"/>
          <w:sz w:val="24"/>
          <w:szCs w:val="24"/>
          <w14:ligatures w14:val="standardContextual"/>
        </w:rPr>
        <w:lastRenderedPageBreak/>
        <w:t>ekonomski napredak poduzeća, uključujući povećanje prihoda, profita i resursa. Strateški rast odnosi se na sposobnost poduzeća da prilagodi svoje poslovanje okolini i konkurentnosti. Strukturni rast se reflektira u unutarnjoj organizaciji poduzeća, uključujući upravljanje, odgovornost, komunikaciju i kontrolu. Organizacijski rast promatra sveukupne promjene u strukturi, kulturi i načinu vođenja poduzeća. Kompleksan je to proces koji zahtijeva kontinuirano prilagođavanje i inovacije kako bi se osigurala konkurentnost i održivost na tržištu. Sposobnost poduzeća da uspješno upravlja svim navedenim aspektima rasta ključna je za dugoročni uspjeh i prosperitet poduzeća.</w:t>
      </w:r>
    </w:p>
    <w:p w14:paraId="1BA11783" w14:textId="6688F393"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Pokazatelji rasta poduzeća su „porast bruto prihoda, porast neto dobiti, povećanje proizvodnje, porast produktivnosti, povećanje broja zaposlenika, povećanje broja novih klijenata, povećanje tržišnog udjela, mogućnost angažiranja vlastitih i tuđih resursa radi razvoja novih proizvoda,  investiranje u razvoj ljudskih resursa, investiranje u objekte i infrastrukturu, strateška i organizacijska usmjerenost poduzeća“ (Isaković 2010 u Brigić i Umihanić 2015:398).</w:t>
      </w:r>
    </w:p>
    <w:p w14:paraId="0E0FB769" w14:textId="06B72DDC"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Razvoj se, s druge strane, odnosi na poboljšanje i unaprjeđenje kvalitete poslovanja, proizvoda, usluga ili procesa. Budući da razvoj može uključivati inovacije, istraživanje i razvoj, unaprjeđenje operativnih procesa ili ulaganje u zaposlenike</w:t>
      </w:r>
      <w:r w:rsidR="00DF228F"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on za posljedicu ima rast (Gašparović 1996).</w:t>
      </w:r>
    </w:p>
    <w:p w14:paraId="0BFC012D" w14:textId="50EB57B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Oba pojma  predstavljaju složene procese koji se proučavaju u različitim teorijskim kontekstima</w:t>
      </w:r>
      <w:r w:rsidR="0045368B"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i često se temelje na konceptima poput resursne teorije, teorije evolucije poduzeća, teorije inovacija te različitim modelima i teorijama odlučivanja u poslovanju.  U literaturi koja se bavi teorijom rasta poduzeća, moguće je identificirati različite modele rasta, koji nude drugačije perspektive i pristupe u razumijevanju samog procesa rasta poduzeća. Neki od tih modela naglašavaju unutarnje čimbenike poput inovacija, menadžerskih strategija i resursa kao ključne pokretače rasta. Drugi modeli se fokusiraju na vanjske čimbenike, kao što su tržišne prilike, konkurencija i ekonomski uvjeti. Postoje i integrativni modeli koji kombiniraju elemente iz oba pristupa kako bi pružili sveobuhvatniji uvid u dinamiku rasta poduzeća. U literaturi se najčešće spominje Greinerov model životnog ciklusa</w:t>
      </w:r>
      <w:r w:rsidR="006B5264">
        <w:rPr>
          <w:rFonts w:ascii="Times New Roman" w:hAnsi="Times New Roman" w:cs="Times New Roman"/>
          <w:kern w:val="2"/>
          <w:sz w:val="24"/>
          <w:szCs w:val="24"/>
          <w14:ligatures w14:val="standardContextual"/>
        </w:rPr>
        <w:t xml:space="preserve"> poduzeća</w:t>
      </w:r>
      <w:r w:rsidRPr="00BE5472">
        <w:rPr>
          <w:rFonts w:ascii="Times New Roman" w:hAnsi="Times New Roman" w:cs="Times New Roman"/>
          <w:kern w:val="2"/>
          <w:sz w:val="24"/>
          <w:szCs w:val="24"/>
          <w14:ligatures w14:val="standardContextual"/>
        </w:rPr>
        <w:t xml:space="preserve"> (</w:t>
      </w:r>
      <w:bookmarkStart w:id="66" w:name="_Hlk160834313"/>
      <w:r w:rsidRPr="00BE5472">
        <w:rPr>
          <w:rFonts w:ascii="Times New Roman" w:hAnsi="Times New Roman" w:cs="Times New Roman"/>
          <w:kern w:val="2"/>
          <w:sz w:val="24"/>
          <w:szCs w:val="24"/>
          <w14:ligatures w14:val="standardContextual"/>
        </w:rPr>
        <w:t>Umihanić 2019). O konkretnim modelima rasta bit će više riječi u poglavljima koja slijede.</w:t>
      </w:r>
    </w:p>
    <w:p w14:paraId="5DC5E08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6F8FF2BF" w14:textId="77777777" w:rsidR="006B5264" w:rsidRDefault="006B5264" w:rsidP="003D13C0">
      <w:pPr>
        <w:pStyle w:val="Heading3"/>
        <w:rPr>
          <w:rFonts w:ascii="Times New Roman" w:hAnsi="Times New Roman" w:cs="Times New Roman"/>
        </w:rPr>
        <w:sectPr w:rsidR="006B5264" w:rsidSect="00D03C2F">
          <w:pgSz w:w="12240" w:h="15840"/>
          <w:pgMar w:top="1440" w:right="1440" w:bottom="1440" w:left="1440" w:header="708" w:footer="708" w:gutter="0"/>
          <w:cols w:space="708"/>
          <w:docGrid w:linePitch="360"/>
        </w:sectPr>
      </w:pPr>
      <w:bookmarkStart w:id="67" w:name="_Toc210381414"/>
      <w:bookmarkEnd w:id="66"/>
    </w:p>
    <w:p w14:paraId="0B42A7CF" w14:textId="6D29F85B" w:rsidR="006E052A" w:rsidRPr="00BE5472" w:rsidRDefault="006E052A" w:rsidP="003D13C0">
      <w:pPr>
        <w:pStyle w:val="Heading3"/>
        <w:rPr>
          <w:rFonts w:ascii="Times New Roman" w:hAnsi="Times New Roman" w:cs="Times New Roman"/>
        </w:rPr>
      </w:pPr>
      <w:bookmarkStart w:id="68" w:name="_Toc241865138"/>
      <w:r w:rsidRPr="00BE5472">
        <w:rPr>
          <w:rFonts w:ascii="Times New Roman" w:hAnsi="Times New Roman" w:cs="Times New Roman"/>
        </w:rPr>
        <w:lastRenderedPageBreak/>
        <w:t>3.1.1. Životni ciklus poduzeća</w:t>
      </w:r>
      <w:bookmarkEnd w:id="67"/>
      <w:bookmarkEnd w:id="68"/>
    </w:p>
    <w:p w14:paraId="7E29A2C2" w14:textId="77777777" w:rsidR="00BC3443" w:rsidRPr="00BE5472" w:rsidRDefault="00BC3443" w:rsidP="00BC3443">
      <w:pPr>
        <w:rPr>
          <w:rFonts w:ascii="Times New Roman" w:hAnsi="Times New Roman" w:cs="Times New Roman"/>
        </w:rPr>
      </w:pPr>
    </w:p>
    <w:p w14:paraId="172C55BE" w14:textId="52F29DA4"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Koncept životnog ciklusa poduzeća proučava se još od šezdesetih godina prošlog stoljeća. Temelji se na ideji da je poduzeće dinamičan entitet, poput živog organizma, koji djeluje kao otvoreni sustav pod utjecajem različitih vanjskih čimbenika i protoka vremena (Zekić i Lukić 2015).  Kotler (2000) životni ciklus poduzeća definira kao pokušaj prepoznavanja različitih faza u povijesti prodaje nekog proizvoda ili usluge. Riječ je, dakle, o razdoblju tijekom kojeg se proizvod razvija, plasira na tržištu i na kraju</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w:t>
      </w:r>
      <w:r w:rsidR="00B9737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uklanja s tržišta. Navedeni opis životnog ciklusa proizvoda nameće jednostavan zaključak da je riječ o  korisnom alatu za analizu i planiranje marketinških akti</w:t>
      </w:r>
      <w:r w:rsidR="00B9737D" w:rsidRPr="00BE5472">
        <w:rPr>
          <w:rFonts w:ascii="Times New Roman" w:hAnsi="Times New Roman" w:cs="Times New Roman"/>
          <w:kern w:val="2"/>
          <w:sz w:val="24"/>
          <w:szCs w:val="24"/>
          <w14:ligatures w14:val="standardContextual"/>
        </w:rPr>
        <w:t>v</w:t>
      </w:r>
      <w:r w:rsidRPr="00BE5472">
        <w:rPr>
          <w:rFonts w:ascii="Times New Roman" w:hAnsi="Times New Roman" w:cs="Times New Roman"/>
          <w:kern w:val="2"/>
          <w:sz w:val="24"/>
          <w:szCs w:val="24"/>
          <w14:ligatures w14:val="standardContextual"/>
        </w:rPr>
        <w:t>nosti poduzeća.</w:t>
      </w:r>
    </w:p>
    <w:p w14:paraId="1AE20D94" w14:textId="142FA92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Teorija sugerira da će se poduzeće prirodno razvijati, prema unaprijed definiranom obrascu te predviđa da će svako poduzeće neizbježno prolaziti kroz jasno definirane faze razvoja od kojih svaka ima svoja specifična obilježja (Owen i Yawson 2010).  Prema Mordenu (1991: 240), životni ciklus proizvoda predstavlja prepoznavanje činjenice da će većina proizvoda imati ograničeni životni vijek na tržištu</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bilo da je kratak kao u slučaju modnih proizvoda ili dug kao u slučaju određene vrste industrijske opreme. „Životni ciklus poduzeća,  kao i proizvoda ili industrije sastoji se od četiri osnovne faze“ (Cruz 2014:13) koje su pojašnjene na Prikazu </w:t>
      </w:r>
      <w:r w:rsidR="00ED157F" w:rsidRPr="00BE5472">
        <w:rPr>
          <w:rFonts w:ascii="Times New Roman" w:hAnsi="Times New Roman" w:cs="Times New Roman"/>
          <w:kern w:val="2"/>
          <w:sz w:val="24"/>
          <w:szCs w:val="24"/>
          <w14:ligatures w14:val="standardContextual"/>
        </w:rPr>
        <w:t>1</w:t>
      </w:r>
      <w:r w:rsidR="001F0CCB">
        <w:rPr>
          <w:rFonts w:ascii="Times New Roman" w:hAnsi="Times New Roman" w:cs="Times New Roman"/>
          <w:kern w:val="2"/>
          <w:sz w:val="24"/>
          <w:szCs w:val="24"/>
          <w14:ligatures w14:val="standardContextual"/>
        </w:rPr>
        <w:t>1.</w:t>
      </w:r>
      <w:r w:rsidRPr="00BE5472">
        <w:rPr>
          <w:rFonts w:ascii="Times New Roman" w:hAnsi="Times New Roman" w:cs="Times New Roman"/>
          <w:kern w:val="2"/>
          <w:sz w:val="24"/>
          <w:szCs w:val="24"/>
          <w14:ligatures w14:val="standardContextual"/>
        </w:rPr>
        <w:t xml:space="preserve">  </w:t>
      </w:r>
    </w:p>
    <w:p w14:paraId="6D2F990A" w14:textId="7BF06BCC" w:rsidR="006E052A" w:rsidRPr="00C87D90" w:rsidRDefault="00C87D90" w:rsidP="00C87D90">
      <w:pPr>
        <w:pStyle w:val="Caption"/>
        <w:rPr>
          <w:rFonts w:ascii="Times New Roman" w:hAnsi="Times New Roman" w:cs="Times New Roman"/>
          <w:kern w:val="2"/>
          <w:sz w:val="24"/>
          <w:szCs w:val="24"/>
          <w14:ligatures w14:val="standardContextual"/>
        </w:rPr>
      </w:pPr>
      <w:bookmarkStart w:id="69" w:name="_Toc241865279"/>
      <w:r w:rsidRPr="00C87D90">
        <w:rPr>
          <w:rFonts w:ascii="Times New Roman" w:hAnsi="Times New Roman" w:cs="Times New Roman"/>
          <w:sz w:val="24"/>
          <w:szCs w:val="24"/>
        </w:rPr>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11</w:t>
      </w:r>
      <w:r w:rsidRPr="00C87D90">
        <w:rPr>
          <w:rFonts w:ascii="Times New Roman" w:hAnsi="Times New Roman" w:cs="Times New Roman"/>
          <w:sz w:val="24"/>
          <w:szCs w:val="24"/>
        </w:rPr>
        <w:fldChar w:fldCharType="end"/>
      </w:r>
      <w:r w:rsidRPr="00C87D90">
        <w:rPr>
          <w:rFonts w:ascii="Times New Roman" w:hAnsi="Times New Roman" w:cs="Times New Roman"/>
          <w:sz w:val="24"/>
          <w:szCs w:val="24"/>
        </w:rPr>
        <w:t>:</w:t>
      </w:r>
      <w:r w:rsidR="006E052A" w:rsidRPr="00C87D90">
        <w:rPr>
          <w:rFonts w:ascii="Times New Roman" w:hAnsi="Times New Roman" w:cs="Times New Roman"/>
          <w:kern w:val="2"/>
          <w:sz w:val="24"/>
          <w:szCs w:val="24"/>
          <w14:ligatures w14:val="standardContextual"/>
        </w:rPr>
        <w:t xml:space="preserve"> Životni ciklus poduzeća</w:t>
      </w:r>
      <w:bookmarkEnd w:id="69"/>
    </w:p>
    <w:p w14:paraId="1AEFCF75" w14:textId="7420C31B" w:rsidR="006E052A" w:rsidRPr="00BE5472" w:rsidRDefault="00081CD6" w:rsidP="006E052A">
      <w:pPr>
        <w:spacing w:line="360" w:lineRule="auto"/>
        <w:jc w:val="center"/>
        <w:rPr>
          <w:rFonts w:ascii="Times New Roman" w:hAnsi="Times New Roman" w:cs="Times New Roman"/>
          <w:kern w:val="2"/>
          <w:sz w:val="24"/>
          <w:szCs w:val="24"/>
          <w14:ligatures w14:val="standardContextual"/>
        </w:rPr>
      </w:pPr>
      <w:r>
        <w:rPr>
          <w:noProof/>
        </w:rPr>
        <w:drawing>
          <wp:inline distT="0" distB="0" distL="0" distR="0" wp14:anchorId="27E9E63C" wp14:editId="5332565A">
            <wp:extent cx="4114800" cy="2446728"/>
            <wp:effectExtent l="0" t="0" r="0" b="0"/>
            <wp:docPr id="1763561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a:stretch>
                      <a:fillRect/>
                    </a:stretch>
                  </pic:blipFill>
                  <pic:spPr bwMode="auto">
                    <a:xfrm>
                      <a:off x="0" y="0"/>
                      <a:ext cx="4125759" cy="2453244"/>
                    </a:xfrm>
                    <a:prstGeom prst="rect">
                      <a:avLst/>
                    </a:prstGeom>
                    <a:noFill/>
                    <a:ln>
                      <a:noFill/>
                    </a:ln>
                    <a:extLst>
                      <a:ext uri="{53640926-AAD7-44D8-BBD7-CCE9431645EC}">
                        <a14:shadowObscured xmlns:a14="http://schemas.microsoft.com/office/drawing/2010/main"/>
                      </a:ext>
                    </a:extLst>
                  </pic:spPr>
                </pic:pic>
              </a:graphicData>
            </a:graphic>
          </wp:inline>
        </w:drawing>
      </w:r>
    </w:p>
    <w:p w14:paraId="7CF66B4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Prilagođeno prema Cruz, M. (2014). </w:t>
      </w:r>
      <w:r w:rsidRPr="00BE5472">
        <w:rPr>
          <w:rFonts w:ascii="Times New Roman" w:hAnsi="Times New Roman" w:cs="Times New Roman"/>
          <w:i/>
          <w:kern w:val="2"/>
          <w:sz w:val="24"/>
          <w:szCs w:val="24"/>
          <w14:ligatures w14:val="standardContextual"/>
        </w:rPr>
        <w:t>The Secret to Business Immortality The Impact Business Life Cycle</w:t>
      </w:r>
      <w:r w:rsidRPr="00BE5472">
        <w:rPr>
          <w:rFonts w:ascii="Times New Roman" w:hAnsi="Times New Roman" w:cs="Times New Roman"/>
          <w:kern w:val="2"/>
          <w:sz w:val="24"/>
          <w:szCs w:val="24"/>
          <w14:ligatures w14:val="standardContextual"/>
        </w:rPr>
        <w:t>. US: XLibris., 13</w:t>
      </w:r>
    </w:p>
    <w:p w14:paraId="147F8B3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Iz tog osnovnog koncepta brojni autori razvili su različite modele životnog ciklusa te tako neki modeli imaju i više od četiri osnovne faze. </w:t>
      </w:r>
    </w:p>
    <w:p w14:paraId="7C0BBA6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Primjerice, Kamthe i Verma (2013: 2036 – 2037) razlikuju pet faza životnog ciklusa proizvoda uz opasku da faze variraju prema industriji, odnosno sektoru, proizvodu, usluzi, tehnologiji i tržištu:</w:t>
      </w:r>
    </w:p>
    <w:p w14:paraId="68FA046F" w14:textId="07C150E5" w:rsidR="006E052A" w:rsidRPr="00BE5472" w:rsidRDefault="006E052A" w:rsidP="00120B4F">
      <w:pPr>
        <w:numPr>
          <w:ilvl w:val="0"/>
          <w:numId w:val="6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razvoja</w:t>
      </w:r>
      <w:r w:rsidRPr="00BE5472">
        <w:rPr>
          <w:rFonts w:ascii="Times New Roman" w:hAnsi="Times New Roman" w:cs="Times New Roman"/>
          <w:kern w:val="2"/>
          <w:sz w:val="24"/>
          <w:szCs w:val="24"/>
          <w14:ligatures w14:val="standardContextual"/>
        </w:rPr>
        <w:t xml:space="preserve">: javlja se kada poduzeće razvija ideju o novom proizvodu. Proizvod obično prolazi </w:t>
      </w:r>
      <w:r w:rsidR="00F87611" w:rsidRPr="00BE5472">
        <w:rPr>
          <w:rFonts w:ascii="Times New Roman" w:hAnsi="Times New Roman" w:cs="Times New Roman"/>
          <w:kern w:val="2"/>
          <w:sz w:val="24"/>
          <w:szCs w:val="24"/>
          <w14:ligatures w14:val="standardContextual"/>
        </w:rPr>
        <w:t>tijekom</w:t>
      </w:r>
      <w:r w:rsidRPr="00BE5472">
        <w:rPr>
          <w:rFonts w:ascii="Times New Roman" w:hAnsi="Times New Roman" w:cs="Times New Roman"/>
          <w:kern w:val="2"/>
          <w:sz w:val="24"/>
          <w:szCs w:val="24"/>
          <w14:ligatures w14:val="standardContextual"/>
        </w:rPr>
        <w:t xml:space="preserve"> nekoliko promjena koje pretpostavljaju visoke troškove i veliki ulog vremena za razvoj, a sve se to čini prije nego što se proizvod plasira na tržište – cilj</w:t>
      </w:r>
      <w:r w:rsidR="002175DB"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nim tržišnim skupinama. Nema prodaje, a time ni prihoda. </w:t>
      </w:r>
    </w:p>
    <w:p w14:paraId="5A89176D" w14:textId="0ACB2817" w:rsidR="006E052A" w:rsidRPr="00BE5472" w:rsidRDefault="006E052A" w:rsidP="00120B4F">
      <w:pPr>
        <w:numPr>
          <w:ilvl w:val="0"/>
          <w:numId w:val="6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uvođenja</w:t>
      </w:r>
      <w:r w:rsidRPr="00BE5472">
        <w:rPr>
          <w:rFonts w:ascii="Times New Roman" w:hAnsi="Times New Roman" w:cs="Times New Roman"/>
          <w:kern w:val="2"/>
          <w:sz w:val="24"/>
          <w:szCs w:val="24"/>
          <w14:ligatures w14:val="standardContextual"/>
        </w:rPr>
        <w:t xml:space="preserve">: nastupa kada se proizvod prvi put predstavi ciljnom tržištu. U ovoj su fazi najveći troškovi promocije proizvoda. Poduzeće pritom mora biti spremno na veća </w:t>
      </w:r>
      <w:r w:rsidR="00D17B3F" w:rsidRPr="00BE5472">
        <w:rPr>
          <w:rFonts w:ascii="Times New Roman" w:hAnsi="Times New Roman" w:cs="Times New Roman"/>
          <w:kern w:val="2"/>
          <w:sz w:val="24"/>
          <w:szCs w:val="24"/>
          <w14:ligatures w14:val="standardContextual"/>
        </w:rPr>
        <w:t>ulaganja</w:t>
      </w:r>
      <w:r w:rsidRPr="00BE5472">
        <w:rPr>
          <w:rFonts w:ascii="Times New Roman" w:hAnsi="Times New Roman" w:cs="Times New Roman"/>
          <w:kern w:val="2"/>
          <w:sz w:val="24"/>
          <w:szCs w:val="24"/>
          <w14:ligatures w14:val="standardContextual"/>
        </w:rPr>
        <w:t xml:space="preserve"> u promociju, ali istovremeno i svjesno činjenice da će dobiti biti mala ili negativna jer su prihodi, još uvijek, preniski. </w:t>
      </w:r>
    </w:p>
    <w:p w14:paraId="58548929" w14:textId="77777777" w:rsidR="006E052A" w:rsidRPr="00BE5472" w:rsidRDefault="006E052A" w:rsidP="00120B4F">
      <w:pPr>
        <w:numPr>
          <w:ilvl w:val="0"/>
          <w:numId w:val="6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w:t>
      </w:r>
      <w:r w:rsidRPr="00BE5472">
        <w:rPr>
          <w:rFonts w:ascii="Times New Roman" w:hAnsi="Times New Roman" w:cs="Times New Roman"/>
          <w:kern w:val="2"/>
          <w:sz w:val="24"/>
          <w:szCs w:val="24"/>
          <w14:ligatures w14:val="standardContextual"/>
        </w:rPr>
        <w:t>: nastupa kada potražnja za novim proizvodom počne rapidno rasti. Ovo je pravo vrijeme kada se poduzeće može usredotočiti na ciljano povećanje tržišnog udjela jer kupci zapravo prelaze iz tzv. probne/testne faze u ponovnu kupovinu ako su zadovoljni proizvodom. Istovremeno, oni utječu na druge usmenom predajom, što se često smatra najučinkovitijim načinom komunikacije. Novo rastuće tržište privlači pažnju konkurencije. U ovoj fazi, prodaja raste, prihodi se povećavaju, a profit također raste.</w:t>
      </w:r>
    </w:p>
    <w:p w14:paraId="3E1EDE8F" w14:textId="77777777" w:rsidR="006E052A" w:rsidRPr="00BE5472" w:rsidRDefault="006E052A" w:rsidP="00120B4F">
      <w:pPr>
        <w:numPr>
          <w:ilvl w:val="0"/>
          <w:numId w:val="6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zrelosti</w:t>
      </w:r>
      <w:r w:rsidRPr="00BE5472">
        <w:rPr>
          <w:rFonts w:ascii="Times New Roman" w:hAnsi="Times New Roman" w:cs="Times New Roman"/>
          <w:kern w:val="2"/>
          <w:sz w:val="24"/>
          <w:szCs w:val="24"/>
          <w14:ligatures w14:val="standardContextual"/>
        </w:rPr>
        <w:t xml:space="preserve">: nastupa kada je potražnja dosegnula svoj planirani ili neplanirani vrhunac. Ova faza životnog ciklusa najduža je za većinu proizvoda. Konkurencija je najintenzivnija tijekom ove faze, prodaja doseže vrhunac, a tržišni udio je visok. </w:t>
      </w:r>
    </w:p>
    <w:p w14:paraId="414CE6AC" w14:textId="77777777" w:rsidR="006E052A" w:rsidRPr="00BE5472" w:rsidRDefault="006E052A" w:rsidP="00120B4F">
      <w:pPr>
        <w:numPr>
          <w:ilvl w:val="0"/>
          <w:numId w:val="6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opadanja</w:t>
      </w:r>
      <w:r w:rsidRPr="00BE5472">
        <w:rPr>
          <w:rFonts w:ascii="Times New Roman" w:hAnsi="Times New Roman" w:cs="Times New Roman"/>
          <w:kern w:val="2"/>
          <w:sz w:val="24"/>
          <w:szCs w:val="24"/>
          <w14:ligatures w14:val="standardContextual"/>
        </w:rPr>
        <w:t>: nastupa kada prodaja snažno pada, a prihodi se bliže nuli. Tipičan razlog za pad proizvoda je lansiranje novih proizvoda na tržište i smanjenje interesa potrošača za određeni proizvod.</w:t>
      </w:r>
    </w:p>
    <w:p w14:paraId="3E3A1C5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Na temelju istraživanja znanstvene literature i modela životnog ciklusa poduzeća, </w:t>
      </w:r>
      <w:bookmarkStart w:id="70" w:name="_Hlk162010230"/>
      <w:bookmarkStart w:id="71" w:name="_Hlk162008173"/>
      <w:r w:rsidRPr="00BE5472">
        <w:rPr>
          <w:rFonts w:ascii="Times New Roman" w:hAnsi="Times New Roman" w:cs="Times New Roman"/>
          <w:kern w:val="2"/>
          <w:sz w:val="24"/>
          <w:szCs w:val="24"/>
          <w14:ligatures w14:val="standardContextual"/>
        </w:rPr>
        <w:t>Jirásek i Bílek</w:t>
      </w:r>
      <w:bookmarkEnd w:id="70"/>
      <w:r w:rsidRPr="00BE5472">
        <w:rPr>
          <w:rFonts w:ascii="Times New Roman" w:hAnsi="Times New Roman" w:cs="Times New Roman"/>
          <w:kern w:val="2"/>
          <w:sz w:val="24"/>
          <w:szCs w:val="24"/>
          <w14:ligatures w14:val="standardContextual"/>
        </w:rPr>
        <w:t xml:space="preserve"> (2018) </w:t>
      </w:r>
      <w:bookmarkEnd w:id="71"/>
      <w:r w:rsidRPr="00BE5472">
        <w:rPr>
          <w:rFonts w:ascii="Times New Roman" w:hAnsi="Times New Roman" w:cs="Times New Roman"/>
          <w:kern w:val="2"/>
          <w:sz w:val="24"/>
          <w:szCs w:val="24"/>
          <w14:ligatures w14:val="standardContextual"/>
        </w:rPr>
        <w:t xml:space="preserve">smatraju da je Millerov i Friesenov model životnog ciklusa najprikladniji u istraživanju  faza razvoja poduzeća. Millerov i Friesenov model razlikuje pet faza u životnom ciklusu poduzeća </w:t>
      </w:r>
      <w:r w:rsidRPr="00BE5472">
        <w:rPr>
          <w:rFonts w:ascii="Times New Roman" w:hAnsi="Times New Roman" w:cs="Times New Roman"/>
          <w:kern w:val="2"/>
          <w14:ligatures w14:val="standardContextual"/>
        </w:rPr>
        <w:t>(</w:t>
      </w:r>
      <w:r w:rsidRPr="00BE5472">
        <w:rPr>
          <w:rFonts w:ascii="Times New Roman" w:hAnsi="Times New Roman" w:cs="Times New Roman"/>
          <w:kern w:val="2"/>
          <w:sz w:val="24"/>
          <w:szCs w:val="24"/>
          <w14:ligatures w14:val="standardContextual"/>
        </w:rPr>
        <w:t>Jirásek i Bílek 2018:10):</w:t>
      </w:r>
    </w:p>
    <w:p w14:paraId="565E16DD" w14:textId="77777777" w:rsidR="006E052A" w:rsidRPr="00BE5472" w:rsidRDefault="006E052A" w:rsidP="00120B4F">
      <w:pPr>
        <w:numPr>
          <w:ilvl w:val="0"/>
          <w:numId w:val="6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Fazu rađanja</w:t>
      </w:r>
      <w:r w:rsidRPr="00BE5472">
        <w:rPr>
          <w:rFonts w:ascii="Times New Roman" w:hAnsi="Times New Roman" w:cs="Times New Roman"/>
          <w:kern w:val="2"/>
          <w:sz w:val="24"/>
          <w:szCs w:val="24"/>
          <w14:ligatures w14:val="standardContextual"/>
        </w:rPr>
        <w:t xml:space="preserve"> (pokretanja, izgradnje) poduzeća čija su obilježja jednostavna organizacijska struktura s jednim vođom i minimalnim formalnostima.</w:t>
      </w:r>
    </w:p>
    <w:p w14:paraId="729FED48" w14:textId="77777777" w:rsidR="006E052A" w:rsidRPr="00BE5472" w:rsidRDefault="006E052A" w:rsidP="00120B4F">
      <w:pPr>
        <w:numPr>
          <w:ilvl w:val="0"/>
          <w:numId w:val="6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Fazu rasta</w:t>
      </w:r>
      <w:r w:rsidRPr="00BE5472">
        <w:rPr>
          <w:rFonts w:ascii="Times New Roman" w:hAnsi="Times New Roman" w:cs="Times New Roman"/>
          <w:kern w:val="2"/>
          <w:sz w:val="24"/>
          <w:szCs w:val="24"/>
          <w14:ligatures w14:val="standardContextual"/>
        </w:rPr>
        <w:t xml:space="preserve"> karakterizira složenija organizacijska struktura s naglaskom na rast i diverzifikaciju te određeni stupanj formalizacije. </w:t>
      </w:r>
    </w:p>
    <w:p w14:paraId="7C5ECA8E" w14:textId="77777777" w:rsidR="006E052A" w:rsidRPr="00BE5472" w:rsidRDefault="006E052A" w:rsidP="00120B4F">
      <w:pPr>
        <w:numPr>
          <w:ilvl w:val="0"/>
          <w:numId w:val="6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Fazu zrelosti</w:t>
      </w:r>
      <w:r w:rsidRPr="00BE5472">
        <w:rPr>
          <w:rFonts w:ascii="Times New Roman" w:hAnsi="Times New Roman" w:cs="Times New Roman"/>
          <w:kern w:val="2"/>
          <w:sz w:val="24"/>
          <w:szCs w:val="24"/>
          <w14:ligatures w14:val="standardContextual"/>
        </w:rPr>
        <w:t xml:space="preserve"> odlikuje konzervativan pristup s fokusom na performanse, profitabilnost te razdvajanje vlasništva i upravljanja, sustavnu kontrolu i planiranje i centralizaciju.</w:t>
      </w:r>
    </w:p>
    <w:p w14:paraId="5B8D9CE6" w14:textId="77777777" w:rsidR="006E052A" w:rsidRPr="00BE5472" w:rsidRDefault="006E052A" w:rsidP="00120B4F">
      <w:pPr>
        <w:numPr>
          <w:ilvl w:val="0"/>
          <w:numId w:val="6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Fazu oživljavanja</w:t>
      </w:r>
      <w:r w:rsidRPr="00BE5472">
        <w:rPr>
          <w:rFonts w:ascii="Times New Roman" w:hAnsi="Times New Roman" w:cs="Times New Roman"/>
          <w:kern w:val="2"/>
          <w:sz w:val="24"/>
          <w:szCs w:val="24"/>
          <w14:ligatures w14:val="standardContextual"/>
        </w:rPr>
        <w:t xml:space="preserve"> određuje inovativan pristup, diverzifikacija, centralizirana strategija i  decentralizirane operativne odluke.</w:t>
      </w:r>
    </w:p>
    <w:p w14:paraId="62C9125F" w14:textId="77777777" w:rsidR="006E052A" w:rsidRPr="00BE5472" w:rsidRDefault="006E052A" w:rsidP="00120B4F">
      <w:pPr>
        <w:numPr>
          <w:ilvl w:val="0"/>
          <w:numId w:val="6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Fazu opadanja</w:t>
      </w:r>
      <w:r w:rsidRPr="00BE5472">
        <w:rPr>
          <w:rFonts w:ascii="Times New Roman" w:hAnsi="Times New Roman" w:cs="Times New Roman"/>
          <w:kern w:val="2"/>
          <w:sz w:val="24"/>
          <w:szCs w:val="24"/>
          <w14:ligatures w14:val="standardContextual"/>
        </w:rPr>
        <w:t xml:space="preserve"> odlikuje centralizirano donošenje odluka, konzervativnost i izbjegavanje rizika te fokus na internim izazovima.</w:t>
      </w:r>
    </w:p>
    <w:p w14:paraId="56D2B927" w14:textId="0FFDDDA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Životni ciklus poduzeća dakle korelira s fazama kroz koje prolazi poduzeće u svom razvoju. Tipične faze kroz koje prolazi svako poduzeće jesu: poduzetnička faza (faza izgradnje), faza kolektivnog duha (faza rasta), faza elaboracije (konsolidacije, usavršavanja) i faza formulacije (diferencijacije). Svaka od navedenih faza ima svoje specifičnosti koje su rezultat stila rukovođenja kojeg poduzeće primjenjuje, ciljeva koje želi ostvariti, stupnja inovativnosti i sl. (Bahtijarević-Šiber i Sikavica 2001). </w:t>
      </w:r>
    </w:p>
    <w:p w14:paraId="6D15E38F" w14:textId="2ECDB7D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Životni ciklus hotelskog poduzeća usko je povezan s</w:t>
      </w:r>
      <w:r w:rsidR="00D17B3F"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životnim ciklusom turističkog proizvoda/usluge/doživljaja i životnim ciklusom turističke destinacije. Razumijevanje ovih međusobnih veza ključno je za uspješno vođenje hotelskog poslovanja u „zdravom“ turističkom ekosustavu.</w:t>
      </w:r>
    </w:p>
    <w:p w14:paraId="7BC7CF58" w14:textId="2513C4B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Kada se govori o životnom ciklusu hotelskog poduzeća, može se promatrati analogija s</w:t>
      </w:r>
      <w:r w:rsidR="00D17B3F"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životnim ciklusom proizvoda. Baš kao što proizvod prolazi kroz različite faze  </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od razvoja, uvođenja, rasta, zrelosti do opadanja</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w:t>
      </w:r>
      <w:r w:rsidR="00B9737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tako i hotelsko poduzeće prolazi kroz slične faze u svom poslovanju. U početnoj fazi, hotelsko poduzeće može ulagati u razvoj novih hotela ili unaprjeđenje postojećih, a sve kako bi privuklo goste. Nakon toga slijedi faza uvođenja, gdje se novi hoteli/koncepti predstavljaju tržištu i privlače svoje prve goste. Zatim dolazi faza rasta, koju poduzeće prepoznaje po povećanom broju dolazaka gostiju, širenju poslovanja i povećanju profita. Nakon što hotelsko poduzeće postigne zrelost, dolazi do stabilizacije poslovanja, a u konačnici, u fazi opadanja, poduzeće se suočava s izazovima</w:t>
      </w:r>
      <w:r w:rsidR="00B9737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što su smanjenje broja gostiju ili pojava novih hotela u destinaciji. </w:t>
      </w:r>
    </w:p>
    <w:p w14:paraId="3B6A6079" w14:textId="6272FE88"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Turistička destinacija, poput hotelskog proizvoda/usluge, poput destinacije, također prolazi kroz faze razvoja, uvođenja, rasta, zrelosti i opadanja. U početnoj fazi, turistička destinacija može biti </w:t>
      </w:r>
      <w:r w:rsidRPr="00BE5472">
        <w:rPr>
          <w:rFonts w:ascii="Times New Roman" w:hAnsi="Times New Roman" w:cs="Times New Roman"/>
          <w:kern w:val="2"/>
          <w:sz w:val="24"/>
          <w:szCs w:val="24"/>
          <w14:ligatures w14:val="standardContextual"/>
        </w:rPr>
        <w:lastRenderedPageBreak/>
        <w:t>manje poznata ili nedovoljno razvijena, ali s ulaganjem u turističku infrastrukturu i promociju, može privući sve veći broj gostiju. U fazi rasta, popularnost destinacije raste, dolazi do povećanja turističke potražnje i razvoja ponude dodatnih turističkih usluga. Kada destinacija postigne zrelost, može doživjeti stabilizaciju turističke. Na kraju, u fazi opadanja, destinacija se suočava s izazovima</w:t>
      </w:r>
      <w:r w:rsidR="00B9737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što su prekomjerna turistička potražnja, zasićenje tržišta ili promjene u turističkim očekivanjima i preferencijama.</w:t>
      </w:r>
    </w:p>
    <w:p w14:paraId="7B03E562" w14:textId="709BA163"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Povezanost između životnog ciklusa hotelskog poduzeća, turističkog proizvoda i turističke destinacije je jasna. Hotelsko poduzeće oslanja se na turističku potražnju koja se generira putem turističkog proizvoda/usluge i destinacije. Kada destinacija doživljava rast, to može potaknuti rast hotelskog poduzeća, ali i obrnuto. S druge strane, stagnacija ili pad turističke aktivnosti u destinaciji može negativno utjecati na hotelsko poduzeće i dovesti do smanjenja prihoda. Jednako tako, broj dolazaka u turističku destinaciju se, posredno, može smanjiti. To je posebno očigledno kod destinacija čiju ponudu, u najvećoj mjeri, kreiraju, veća hotelska poduzeća (jedno ili dva u destinaciji). Stoga je važno da hotelska poduzeća prate trendove na turističkom tržištu, surađuju s ostalim dionicima turističkog ekosustava i zajedno kreiraju ili potiču razvoj održivog turističkog proizvoda/usluge</w:t>
      </w:r>
      <w:r w:rsidR="00B9737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odnosno doživljaja.  </w:t>
      </w:r>
    </w:p>
    <w:p w14:paraId="5F83E23A"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618AAE33" w14:textId="530FE71B" w:rsidR="006E052A" w:rsidRPr="00BE5472" w:rsidRDefault="006E052A" w:rsidP="003D13C0">
      <w:pPr>
        <w:pStyle w:val="Heading3"/>
        <w:rPr>
          <w:rFonts w:ascii="Times New Roman" w:hAnsi="Times New Roman" w:cs="Times New Roman"/>
        </w:rPr>
      </w:pPr>
      <w:bookmarkStart w:id="72" w:name="_Toc210381415"/>
      <w:bookmarkStart w:id="73" w:name="_Toc241865139"/>
      <w:r w:rsidRPr="00BE5472">
        <w:rPr>
          <w:rFonts w:ascii="Times New Roman" w:hAnsi="Times New Roman" w:cs="Times New Roman"/>
        </w:rPr>
        <w:t>3.1.2. Modeli rasta poduzeća</w:t>
      </w:r>
      <w:bookmarkEnd w:id="72"/>
      <w:bookmarkEnd w:id="73"/>
    </w:p>
    <w:p w14:paraId="2421DAD7" w14:textId="77777777" w:rsidR="00BC3443" w:rsidRPr="00BE5472" w:rsidRDefault="00BC3443" w:rsidP="00BC3443">
      <w:pPr>
        <w:rPr>
          <w:rFonts w:ascii="Times New Roman" w:hAnsi="Times New Roman" w:cs="Times New Roman"/>
        </w:rPr>
      </w:pPr>
    </w:p>
    <w:p w14:paraId="2049C048" w14:textId="3CF84DF9" w:rsidR="006E052A" w:rsidRPr="00BE5472" w:rsidRDefault="006E052A" w:rsidP="006E052A">
      <w:pPr>
        <w:spacing w:line="360" w:lineRule="auto"/>
        <w:jc w:val="both"/>
        <w:rPr>
          <w:rFonts w:ascii="Times New Roman" w:hAnsi="Times New Roman" w:cs="Times New Roman"/>
          <w:bCs/>
          <w:kern w:val="2"/>
          <w:sz w:val="24"/>
          <w:szCs w:val="24"/>
          <w14:ligatures w14:val="standardContextual"/>
        </w:rPr>
      </w:pPr>
      <w:r w:rsidRPr="00BE5472">
        <w:rPr>
          <w:rFonts w:ascii="Times New Roman" w:hAnsi="Times New Roman" w:cs="Times New Roman"/>
          <w:bCs/>
          <w:kern w:val="2"/>
          <w:sz w:val="24"/>
          <w:szCs w:val="24"/>
          <w14:ligatures w14:val="standardContextual"/>
        </w:rPr>
        <w:t>Različiti teorijski modeli rasta poduzeć</w:t>
      </w:r>
      <w:r w:rsidR="00736E81" w:rsidRPr="00BE5472">
        <w:rPr>
          <w:rFonts w:ascii="Times New Roman" w:hAnsi="Times New Roman" w:cs="Times New Roman"/>
          <w:bCs/>
          <w:kern w:val="2"/>
          <w:sz w:val="24"/>
          <w:szCs w:val="24"/>
          <w14:ligatures w14:val="standardContextual"/>
        </w:rPr>
        <w:t>a</w:t>
      </w:r>
      <w:r w:rsidRPr="00BE5472">
        <w:rPr>
          <w:rFonts w:ascii="Times New Roman" w:hAnsi="Times New Roman" w:cs="Times New Roman"/>
          <w:bCs/>
          <w:kern w:val="2"/>
          <w:sz w:val="24"/>
          <w:szCs w:val="24"/>
          <w14:ligatures w14:val="standardContextual"/>
        </w:rPr>
        <w:t xml:space="preserve"> nude pojašnjenje procesa rasta poduzeća iz različitih perspektiva.</w:t>
      </w:r>
    </w:p>
    <w:p w14:paraId="48625742" w14:textId="0DF24B02"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bCs/>
          <w:kern w:val="2"/>
          <w:sz w:val="24"/>
          <w:szCs w:val="24"/>
          <w14:ligatures w14:val="standardContextual"/>
        </w:rPr>
        <w:t>Greinerov model</w:t>
      </w:r>
      <w:r w:rsidRPr="00BE5472">
        <w:rPr>
          <w:rFonts w:ascii="Times New Roman" w:hAnsi="Times New Roman" w:cs="Times New Roman"/>
          <w:kern w:val="2"/>
          <w:sz w:val="24"/>
          <w:szCs w:val="24"/>
          <w14:ligatures w14:val="standardContextual"/>
        </w:rPr>
        <w:t xml:space="preserve"> životnog ciklusa poduzeća predstavlja ključni konceptualni alat za razumijevanje dinamike rasta i razvoja poduzeća kroz </w:t>
      </w:r>
      <w:r w:rsidR="009F3C04" w:rsidRPr="00BE5472">
        <w:rPr>
          <w:rFonts w:ascii="Times New Roman" w:hAnsi="Times New Roman" w:cs="Times New Roman"/>
          <w:kern w:val="2"/>
          <w:sz w:val="24"/>
          <w:szCs w:val="24"/>
          <w14:ligatures w14:val="standardContextual"/>
        </w:rPr>
        <w:t>određeno</w:t>
      </w:r>
      <w:r w:rsidRPr="00BE5472">
        <w:rPr>
          <w:rFonts w:ascii="Times New Roman" w:hAnsi="Times New Roman" w:cs="Times New Roman"/>
          <w:kern w:val="2"/>
          <w:sz w:val="24"/>
          <w:szCs w:val="24"/>
          <w14:ligatures w14:val="standardContextual"/>
        </w:rPr>
        <w:t xml:space="preserve"> razdoblje. Ovaj model, koji je prvotno razvio Larry E. Greiner 1972. godine, identificira pet osnovnih faza kroz koje poduzeća prolaze tijekom svog razvoja, svaka s vlastitim karakteristikama, izazovima i krizama (Greiner 1972):</w:t>
      </w:r>
    </w:p>
    <w:p w14:paraId="7FBA554A" w14:textId="77777777" w:rsidR="006E052A" w:rsidRPr="00BE5472" w:rsidRDefault="006E052A" w:rsidP="00120B4F">
      <w:pPr>
        <w:numPr>
          <w:ilvl w:val="0"/>
          <w:numId w:val="6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 kroz kreativnost</w:t>
      </w:r>
      <w:r w:rsidRPr="00BE5472">
        <w:rPr>
          <w:rFonts w:ascii="Times New Roman" w:hAnsi="Times New Roman" w:cs="Times New Roman"/>
          <w:kern w:val="2"/>
          <w:sz w:val="24"/>
          <w:szCs w:val="24"/>
          <w14:ligatures w14:val="standardContextual"/>
        </w:rPr>
        <w:t xml:space="preserve">: Poduzeće je posvećeno stvaranju proizvoda i tržišta. Osnivači su predani stvaranju i prodaji novog proizvoda, često komuniciraju neformalno, a radne napore nagrađuju skromno. Međutim, kako poduzeće raste, ovi aspekti postaju izazovni. </w:t>
      </w:r>
      <w:r w:rsidRPr="00BE5472">
        <w:rPr>
          <w:rFonts w:ascii="Times New Roman" w:hAnsi="Times New Roman" w:cs="Times New Roman"/>
          <w:kern w:val="2"/>
          <w:sz w:val="24"/>
          <w:szCs w:val="24"/>
          <w14:ligatures w14:val="standardContextual"/>
        </w:rPr>
        <w:lastRenderedPageBreak/>
        <w:t>Potrebno je novo vodstvo sposobno nositi se s rastućim problemima i uvesti nove poslovne tehnike. U toj je fazi važno angažirati menadžera koji će biti prihvatljiv osnivačima i uspješno voditi organizaciju kroz krizne situacije.</w:t>
      </w:r>
    </w:p>
    <w:p w14:paraId="2A6701AD" w14:textId="77777777" w:rsidR="006E052A" w:rsidRPr="00BE5472" w:rsidRDefault="006E052A" w:rsidP="00120B4F">
      <w:pPr>
        <w:numPr>
          <w:ilvl w:val="0"/>
          <w:numId w:val="6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 kroz usmjeravanje</w:t>
      </w:r>
      <w:r w:rsidRPr="00BE5472">
        <w:rPr>
          <w:rFonts w:ascii="Times New Roman" w:hAnsi="Times New Roman" w:cs="Times New Roman"/>
          <w:kern w:val="2"/>
          <w:sz w:val="24"/>
          <w:szCs w:val="24"/>
          <w14:ligatures w14:val="standardContextual"/>
        </w:rPr>
        <w:t>: Poduzeće nastavlja rasti te je potrebno uspostaviti stabilne procese, strukture i sustave kako bi se održala koordinacija i kontrola. Ovu fazu karakterizira usvajanje formalnih pravila i procedura, kao i centralizacija upravljanja radi efikasnog funkcioniranja organizacije. Međutim, ova centralizacija može dovesti do krize autonomije, jer zaposlenici gube fleksibilnost i motivaciju.</w:t>
      </w:r>
    </w:p>
    <w:p w14:paraId="4CB8252F" w14:textId="77777777" w:rsidR="006E052A" w:rsidRPr="00BE5472" w:rsidRDefault="006E052A" w:rsidP="00120B4F">
      <w:pPr>
        <w:numPr>
          <w:ilvl w:val="0"/>
          <w:numId w:val="6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 kroz delegiranje</w:t>
      </w:r>
      <w:r w:rsidRPr="00BE5472">
        <w:rPr>
          <w:rFonts w:ascii="Times New Roman" w:hAnsi="Times New Roman" w:cs="Times New Roman"/>
          <w:kern w:val="2"/>
          <w:sz w:val="24"/>
          <w:szCs w:val="24"/>
          <w14:ligatures w14:val="standardContextual"/>
        </w:rPr>
        <w:t>: Poduzeće postiže visoku razinu stabilnosti i učinkovitosti kroz precizne procese i jasno definirane uloge. Poduzeće je dobro usklađeno i može učinkovito reagirati na izazove. Međutim, dolazi do krize kontrolnih sustava jer postojeći sustavi postaju preopterećeni i ograničavaju daljnji rast i inovacije.</w:t>
      </w:r>
    </w:p>
    <w:p w14:paraId="4F776606" w14:textId="786FD389" w:rsidR="006E052A" w:rsidRPr="00BE5472" w:rsidRDefault="006E052A" w:rsidP="00120B4F">
      <w:pPr>
        <w:numPr>
          <w:ilvl w:val="0"/>
          <w:numId w:val="6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 kroz koordinaciju</w:t>
      </w:r>
      <w:r w:rsidRPr="00BE5472">
        <w:rPr>
          <w:rFonts w:ascii="Times New Roman" w:hAnsi="Times New Roman" w:cs="Times New Roman"/>
          <w:kern w:val="2"/>
          <w:sz w:val="24"/>
          <w:szCs w:val="24"/>
          <w14:ligatures w14:val="standardContextual"/>
        </w:rPr>
        <w:t>: Okolina u kojoj posluje poduzeće se mijenja, što zahtijeva prilagodbu organizacijske strukture i strategije. Poduzeće se suočava s potrebom za fleksibilnošću kako bi se prilagodilo novim uvjetima na tržištu, tehnološkim promjenama ili konkurentskim prijetnjama. Glavni izazov u ovoj fazi je kriza neprilagođenosti, gdje postojeći poslovni modeli postaju zastarjeli i trebaju biti prilagođeni novim zahtjevima.</w:t>
      </w:r>
    </w:p>
    <w:p w14:paraId="3291C7E0" w14:textId="1D8B4815" w:rsidR="006E052A" w:rsidRPr="00BE5472" w:rsidRDefault="006E052A" w:rsidP="00120B4F">
      <w:pPr>
        <w:numPr>
          <w:ilvl w:val="0"/>
          <w:numId w:val="6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rasta kroz suradnju</w:t>
      </w:r>
      <w:r w:rsidRPr="00BE5472">
        <w:rPr>
          <w:rFonts w:ascii="Times New Roman" w:hAnsi="Times New Roman" w:cs="Times New Roman"/>
          <w:kern w:val="2"/>
          <w:sz w:val="24"/>
          <w:szCs w:val="24"/>
          <w14:ligatures w14:val="standardContextual"/>
        </w:rPr>
        <w:t>: Poduzeće može doći do faze kada se suočava s fundamentalnim izazovima koji zahtijevaju temeljitu transformaciju ili restrukturiranje kako bi preživjelo. Ova faza može biti izazovna i zahtijevati radikalne promjene u poslovanju, kulturi i strategiji. Glavna kriza u ovoj fazi je kriza preopterećenosti, gdje postojeći sustavi postaju neprikladni za nove zahtjeve te je potrebno donijeti hrabre odluke kako bi se osigurao daljnji opstanak poduzeća.</w:t>
      </w:r>
    </w:p>
    <w:p w14:paraId="2AAE2E57" w14:textId="77777777" w:rsidR="00BC3443" w:rsidRPr="00BE5472" w:rsidRDefault="00BC3443" w:rsidP="00BC3443">
      <w:pPr>
        <w:spacing w:line="360" w:lineRule="auto"/>
        <w:ind w:left="720"/>
        <w:contextualSpacing/>
        <w:jc w:val="both"/>
        <w:rPr>
          <w:rFonts w:ascii="Times New Roman" w:hAnsi="Times New Roman" w:cs="Times New Roman"/>
          <w:kern w:val="2"/>
          <w:sz w:val="24"/>
          <w:szCs w:val="24"/>
          <w14:ligatures w14:val="standardContextual"/>
        </w:rPr>
      </w:pPr>
    </w:p>
    <w:p w14:paraId="1DADB21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Važno je napomenuti da ne prolaze sva poduzeća kroz sve faze ovog modela, a dinamika rasta i razvoja može varirati ovisno o industriji, tržištu, tehnološkim inovacijama i drugim faktorima. Greinerov model pruža korisno okvirno razumijevanje ključnih izazova s kojima se poduzeća suočavaju tijekom različitih faza svog životnog ciklusa, ali je također važno imati na umu da se svako poduzeće može razvijati na svoj jedinstven način.</w:t>
      </w:r>
    </w:p>
    <w:p w14:paraId="2B9614C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bCs/>
          <w:kern w:val="2"/>
          <w:sz w:val="24"/>
          <w:szCs w:val="24"/>
          <w14:ligatures w14:val="standardContextual"/>
        </w:rPr>
        <w:t>Galbraithov mode</w:t>
      </w:r>
      <w:r w:rsidRPr="00BE5472">
        <w:rPr>
          <w:rFonts w:ascii="Times New Roman" w:hAnsi="Times New Roman" w:cs="Times New Roman"/>
          <w:kern w:val="2"/>
          <w:sz w:val="24"/>
          <w:szCs w:val="24"/>
          <w14:ligatures w14:val="standardContextual"/>
        </w:rPr>
        <w:t xml:space="preserve">l rasta poduzeća, predstavljen u njegovoj knjizi iz 1982. godine, sastoji se od pet faza životnog ciklusa poduzeća. Autor je razvio ovaj model na temelju promatranja </w:t>
      </w:r>
      <w:r w:rsidRPr="00BE5472">
        <w:rPr>
          <w:rFonts w:ascii="Times New Roman" w:hAnsi="Times New Roman" w:cs="Times New Roman"/>
          <w:kern w:val="2"/>
          <w:sz w:val="24"/>
          <w:szCs w:val="24"/>
          <w14:ligatures w14:val="standardContextual"/>
        </w:rPr>
        <w:lastRenderedPageBreak/>
        <w:t>visokotehnoloških poduzeća, podijelivši njihov razvoj u sljedeće faze (Galbraith, 1982:70-u IIsaković 2015:46-47):</w:t>
      </w:r>
    </w:p>
    <w:p w14:paraId="37A77912" w14:textId="77777777" w:rsidR="006E052A" w:rsidRPr="00BE5472" w:rsidRDefault="006E052A" w:rsidP="00120B4F">
      <w:pPr>
        <w:numPr>
          <w:ilvl w:val="0"/>
          <w:numId w:val="6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Prva faza je </w:t>
      </w:r>
      <w:r w:rsidRPr="00BE5472">
        <w:rPr>
          <w:rFonts w:ascii="Times New Roman" w:hAnsi="Times New Roman" w:cs="Times New Roman"/>
          <w:i/>
          <w:kern w:val="2"/>
          <w:sz w:val="24"/>
          <w:szCs w:val="24"/>
          <w14:ligatures w14:val="standardContextual"/>
        </w:rPr>
        <w:t>faza dokazivanja principa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kern w:val="2"/>
          <w:sz w:val="24"/>
          <w:szCs w:val="24"/>
          <w14:ligatures w14:val="standardContextual"/>
        </w:rPr>
        <w:t>poduzetnička faza</w:t>
      </w:r>
      <w:r w:rsidRPr="00BE5472">
        <w:rPr>
          <w:rFonts w:ascii="Times New Roman" w:hAnsi="Times New Roman" w:cs="Times New Roman"/>
          <w:kern w:val="2"/>
          <w:sz w:val="24"/>
          <w:szCs w:val="24"/>
          <w14:ligatures w14:val="standardContextual"/>
        </w:rPr>
        <w:t>. U ovoj fazi, poduzeće se suočava s osnovnim zahtjevima razvoja tehnologije, fokusirajući se na stvaranje proizvoda koji će osigurati njegov opstanak. Organizacijska struktura je neformalna, a naglasak je na poduzetničkom duhu i inovacijama.</w:t>
      </w:r>
    </w:p>
    <w:p w14:paraId="5D47ED4E" w14:textId="0358FD83" w:rsidR="006E052A" w:rsidRPr="00BE5472" w:rsidRDefault="006E052A" w:rsidP="00120B4F">
      <w:pPr>
        <w:numPr>
          <w:ilvl w:val="0"/>
          <w:numId w:val="6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Druga faza je </w:t>
      </w:r>
      <w:r w:rsidRPr="00BE5472">
        <w:rPr>
          <w:rFonts w:ascii="Times New Roman" w:hAnsi="Times New Roman" w:cs="Times New Roman"/>
          <w:i/>
          <w:kern w:val="2"/>
          <w:sz w:val="24"/>
          <w:szCs w:val="24"/>
          <w14:ligatures w14:val="standardContextual"/>
        </w:rPr>
        <w:t>prototipska faza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kern w:val="2"/>
          <w:sz w:val="24"/>
          <w:szCs w:val="24"/>
          <w14:ligatures w14:val="standardContextual"/>
        </w:rPr>
        <w:t>faza kolektivnog duha</w:t>
      </w:r>
      <w:r w:rsidRPr="00BE5472">
        <w:rPr>
          <w:rFonts w:ascii="Times New Roman" w:hAnsi="Times New Roman" w:cs="Times New Roman"/>
          <w:kern w:val="2"/>
          <w:sz w:val="24"/>
          <w:szCs w:val="24"/>
          <w14:ligatures w14:val="standardContextual"/>
        </w:rPr>
        <w:t>. Ovdje dolazi do preciznije podjele rada i formiranja novih organizacijskih jedinica. Visoka kohezija i složenost karakteriziraju ovu fazu dok se uvode mjere kontrole. Kriza vođenja postaje očita, zahtijevajući delegiranje zadataka i ovlaštenja.</w:t>
      </w:r>
    </w:p>
    <w:p w14:paraId="2B67AA12" w14:textId="77777777" w:rsidR="006E052A" w:rsidRPr="00BE5472" w:rsidRDefault="006E052A" w:rsidP="00120B4F">
      <w:pPr>
        <w:numPr>
          <w:ilvl w:val="0"/>
          <w:numId w:val="6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Treća faza je </w:t>
      </w:r>
      <w:r w:rsidRPr="00BE5472">
        <w:rPr>
          <w:rFonts w:ascii="Times New Roman" w:hAnsi="Times New Roman" w:cs="Times New Roman"/>
          <w:i/>
          <w:kern w:val="2"/>
          <w:sz w:val="24"/>
          <w:szCs w:val="24"/>
          <w14:ligatures w14:val="standardContextual"/>
        </w:rPr>
        <w:t>faza modeliranja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kern w:val="2"/>
          <w:sz w:val="24"/>
          <w:szCs w:val="24"/>
          <w14:ligatures w14:val="standardContextual"/>
        </w:rPr>
        <w:t>faza formalizacije</w:t>
      </w:r>
      <w:r w:rsidRPr="00BE5472">
        <w:rPr>
          <w:rFonts w:ascii="Times New Roman" w:hAnsi="Times New Roman" w:cs="Times New Roman"/>
          <w:kern w:val="2"/>
          <w:sz w:val="24"/>
          <w:szCs w:val="24"/>
          <w14:ligatures w14:val="standardContextual"/>
        </w:rPr>
        <w:t>. Nakon faze kolektivnog duha, poduzeće se suočava s potrebom za uvođenjem pravila i kontrole poslovnih procesa. Komunikacija postaje formalna, a fokus se preusmjerava na strategiju, dok se operativni planovi delegiraju nižem menadžmentu.</w:t>
      </w:r>
    </w:p>
    <w:p w14:paraId="42F43B1F" w14:textId="080240B1" w:rsidR="006E052A" w:rsidRPr="00BE5472" w:rsidRDefault="006E052A" w:rsidP="00120B4F">
      <w:pPr>
        <w:numPr>
          <w:ilvl w:val="0"/>
          <w:numId w:val="6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Četvrta faza je </w:t>
      </w:r>
      <w:r w:rsidRPr="00BE5472">
        <w:rPr>
          <w:rFonts w:ascii="Times New Roman" w:hAnsi="Times New Roman" w:cs="Times New Roman"/>
          <w:i/>
          <w:kern w:val="2"/>
          <w:sz w:val="24"/>
          <w:szCs w:val="24"/>
          <w14:ligatures w14:val="standardContextual"/>
        </w:rPr>
        <w:t>faza pokretanja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kern w:val="2"/>
          <w:sz w:val="24"/>
          <w:szCs w:val="24"/>
          <w14:ligatures w14:val="standardContextual"/>
        </w:rPr>
        <w:t>faza konsolidacije</w:t>
      </w:r>
      <w:r w:rsidRPr="00BE5472">
        <w:rPr>
          <w:rFonts w:ascii="Times New Roman" w:hAnsi="Times New Roman" w:cs="Times New Roman"/>
          <w:kern w:val="2"/>
          <w:sz w:val="24"/>
          <w:szCs w:val="24"/>
          <w14:ligatures w14:val="standardContextual"/>
        </w:rPr>
        <w:t>. Ova faza donosi usavršavanje poslovanja kroz unapređenje suradnje i timskog rada. Poduzeće postaje složenije što zahtijeva organizacijsku podjelu na divizije radi povećanja produktivnosti. Kriza nastaje zbog monotonije</w:t>
      </w:r>
      <w:r w:rsidR="00B9737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što zahtijeva revitalizaciju i inovacije poslovnih procesa.</w:t>
      </w:r>
    </w:p>
    <w:p w14:paraId="2E8CF226" w14:textId="77777777" w:rsidR="006E052A" w:rsidRDefault="006E052A" w:rsidP="00120B4F">
      <w:pPr>
        <w:numPr>
          <w:ilvl w:val="0"/>
          <w:numId w:val="6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Peta faza je </w:t>
      </w:r>
      <w:r w:rsidRPr="00BE5472">
        <w:rPr>
          <w:rFonts w:ascii="Times New Roman" w:hAnsi="Times New Roman" w:cs="Times New Roman"/>
          <w:i/>
          <w:kern w:val="2"/>
          <w:sz w:val="24"/>
          <w:szCs w:val="24"/>
          <w14:ligatures w14:val="standardContextual"/>
        </w:rPr>
        <w:t>faza prirodnog rasta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kern w:val="2"/>
          <w:sz w:val="24"/>
          <w:szCs w:val="24"/>
          <w14:ligatures w14:val="standardContextual"/>
        </w:rPr>
        <w:t>faza elaboracije</w:t>
      </w:r>
      <w:r w:rsidRPr="00BE5472">
        <w:rPr>
          <w:rFonts w:ascii="Times New Roman" w:hAnsi="Times New Roman" w:cs="Times New Roman"/>
          <w:kern w:val="2"/>
          <w:sz w:val="24"/>
          <w:szCs w:val="24"/>
          <w14:ligatures w14:val="standardContextual"/>
        </w:rPr>
        <w:t>. U ovoj fazi, poduzeće postiže stabilan rast i postaje veliko poduzeće. Birokratski odnosi postaju dominantni, a primarni cilj postaje maksimizacija profita.</w:t>
      </w:r>
    </w:p>
    <w:p w14:paraId="22981F8F"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7032662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Galbraithov model rasta poduzeća obuhvaća pet faza koje poduzeće prolaze kroz svoj životni ciklus, počevši od poduzetničke faze do faze elaboracije, u kojoj se naglasak stavlja na stabilan rast i profitabilnost.</w:t>
      </w:r>
    </w:p>
    <w:p w14:paraId="5885076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bCs/>
          <w:kern w:val="2"/>
          <w:sz w:val="24"/>
          <w:szCs w:val="24"/>
          <w14:ligatures w14:val="standardContextual"/>
        </w:rPr>
        <w:t>Miller-Friesenov model rasta</w:t>
      </w:r>
      <w:r w:rsidRPr="00BE5472">
        <w:rPr>
          <w:rFonts w:ascii="Times New Roman" w:hAnsi="Times New Roman" w:cs="Times New Roman"/>
          <w:kern w:val="2"/>
          <w:sz w:val="24"/>
          <w:szCs w:val="24"/>
          <w14:ligatures w14:val="standardContextual"/>
        </w:rPr>
        <w:t xml:space="preserve"> poduzeća obuhvaća pet ključnih faza (Miller, Friesen, 1984:1161-1183 u Isaković 2015 47-48.):</w:t>
      </w:r>
    </w:p>
    <w:p w14:paraId="02791D23" w14:textId="77777777" w:rsidR="006E052A" w:rsidRPr="00BE5472" w:rsidRDefault="006E052A" w:rsidP="00120B4F">
      <w:pPr>
        <w:numPr>
          <w:ilvl w:val="0"/>
          <w:numId w:val="8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Fazu stvaranja</w:t>
      </w:r>
      <w:r w:rsidRPr="00BE5472">
        <w:rPr>
          <w:rFonts w:ascii="Times New Roman" w:hAnsi="Times New Roman" w:cs="Times New Roman"/>
          <w:kern w:val="2"/>
          <w:sz w:val="24"/>
          <w:szCs w:val="24"/>
          <w14:ligatures w14:val="standardContextual"/>
        </w:rPr>
        <w:t>:  U ovoj fazi, poduzeće se rađa u mirnom poslovnom okruženju s malim aktivnostima. Organizacijska struktura je neformalna, a kultura nedefinirana. Centralizacija je visoka s kratkom vertikalnom hijerarhijom.</w:t>
      </w:r>
    </w:p>
    <w:p w14:paraId="7B5F75B8" w14:textId="77777777" w:rsidR="006E052A" w:rsidRPr="00BE5472" w:rsidRDefault="006E052A" w:rsidP="00120B4F">
      <w:pPr>
        <w:numPr>
          <w:ilvl w:val="0"/>
          <w:numId w:val="8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Faza rasta</w:t>
      </w:r>
      <w:r w:rsidRPr="00BE5472">
        <w:rPr>
          <w:rFonts w:ascii="Times New Roman" w:hAnsi="Times New Roman" w:cs="Times New Roman"/>
          <w:kern w:val="2"/>
          <w:sz w:val="24"/>
          <w:szCs w:val="24"/>
          <w14:ligatures w14:val="standardContextual"/>
        </w:rPr>
        <w:t>:  Poduzeće se fokusira na formalno organiziranje svojih aktivnosti i stvaranje funkcionalnije strukture kako bi odgovorilo na tržišne izazove. Informacijski sustav se razvija, odluke se donose na temelju analize informacija i decentralizacija se pojačava.</w:t>
      </w:r>
    </w:p>
    <w:p w14:paraId="183401EB" w14:textId="59787F52" w:rsidR="006E052A" w:rsidRPr="00BE5472" w:rsidRDefault="006E052A" w:rsidP="00120B4F">
      <w:pPr>
        <w:numPr>
          <w:ilvl w:val="0"/>
          <w:numId w:val="8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zrelosti:</w:t>
      </w:r>
      <w:r w:rsidRPr="00BE5472">
        <w:rPr>
          <w:rFonts w:ascii="Times New Roman" w:hAnsi="Times New Roman" w:cs="Times New Roman"/>
          <w:kern w:val="2"/>
          <w:sz w:val="24"/>
          <w:szCs w:val="24"/>
          <w14:ligatures w14:val="standardContextual"/>
        </w:rPr>
        <w:t xml:space="preserve"> U ovoj fazi poduzeće postaje veliko i snažno. Struktura postaje formalnija, ali postoji rizik od birokratizacije. Fokus je na povećanju produktivnosti.</w:t>
      </w:r>
    </w:p>
    <w:p w14:paraId="1E3A5855" w14:textId="3B377850" w:rsidR="006E052A" w:rsidRPr="00BE5472" w:rsidRDefault="006E052A" w:rsidP="00120B4F">
      <w:pPr>
        <w:numPr>
          <w:ilvl w:val="0"/>
          <w:numId w:val="8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obnove</w:t>
      </w:r>
      <w:r w:rsidRPr="00BE5472">
        <w:rPr>
          <w:rFonts w:ascii="Times New Roman" w:hAnsi="Times New Roman" w:cs="Times New Roman"/>
          <w:kern w:val="2"/>
          <w:sz w:val="24"/>
          <w:szCs w:val="24"/>
          <w14:ligatures w14:val="standardContextual"/>
        </w:rPr>
        <w:t>: Zrelo poduzeće suočava</w:t>
      </w:r>
      <w:r w:rsidR="00B9737D" w:rsidRPr="00BE5472">
        <w:rPr>
          <w:rFonts w:ascii="Times New Roman" w:hAnsi="Times New Roman" w:cs="Times New Roman"/>
          <w:kern w:val="2"/>
          <w:sz w:val="24"/>
          <w:szCs w:val="24"/>
          <w14:ligatures w14:val="standardContextual"/>
        </w:rPr>
        <w:t xml:space="preserve"> se</w:t>
      </w:r>
      <w:r w:rsidRPr="00BE5472">
        <w:rPr>
          <w:rFonts w:ascii="Times New Roman" w:hAnsi="Times New Roman" w:cs="Times New Roman"/>
          <w:kern w:val="2"/>
          <w:sz w:val="24"/>
          <w:szCs w:val="24"/>
          <w14:ligatures w14:val="standardContextual"/>
        </w:rPr>
        <w:t xml:space="preserve"> s potrebom za reorganizacijom kako bi se prilagodilo dinamičnom tržištu. Planiranje i preuzimanje rizika u inovativnim procesima postaju ključni.</w:t>
      </w:r>
    </w:p>
    <w:p w14:paraId="3F5B850D" w14:textId="77777777" w:rsidR="006E052A" w:rsidRDefault="006E052A" w:rsidP="00120B4F">
      <w:pPr>
        <w:numPr>
          <w:ilvl w:val="0"/>
          <w:numId w:val="8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Faza opadanja:</w:t>
      </w:r>
      <w:r w:rsidRPr="00BE5472">
        <w:rPr>
          <w:rFonts w:ascii="Times New Roman" w:hAnsi="Times New Roman" w:cs="Times New Roman"/>
          <w:kern w:val="2"/>
          <w:sz w:val="24"/>
          <w:szCs w:val="24"/>
          <w14:ligatures w14:val="standardContextual"/>
        </w:rPr>
        <w:t xml:space="preserve"> Birokratske strukture ograničavaju inovativnost i poduzeće se suočava s teškoćama na tržištu, što može rezultirati njegovim padom.</w:t>
      </w:r>
    </w:p>
    <w:p w14:paraId="241AD479"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350C2B33" w14:textId="4218010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Ovaj model je rezultat empirijskog istraživanja </w:t>
      </w:r>
      <w:r w:rsidR="00795715"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36 poduzeća koje je analiziralo proces razvoja poduzeća s naglaskom na strategiju, odlučivanje, inovacije, strukturu i okruženje (Isaković 2015).</w:t>
      </w:r>
    </w:p>
    <w:p w14:paraId="2EE21773" w14:textId="27711DFB"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Autori Quinn i Cameron su model rasta poduzeća koji se naziva </w:t>
      </w:r>
      <w:r w:rsidRPr="00BE5472">
        <w:rPr>
          <w:rFonts w:ascii="Times New Roman" w:hAnsi="Times New Roman" w:cs="Times New Roman"/>
          <w:b/>
          <w:bCs/>
          <w:kern w:val="2"/>
          <w:sz w:val="24"/>
          <w:szCs w:val="24"/>
          <w14:ligatures w14:val="standardContextual"/>
        </w:rPr>
        <w:t>Quinn-Cameronov model rasta</w:t>
      </w:r>
      <w:r w:rsidRPr="00BE5472">
        <w:rPr>
          <w:rFonts w:ascii="Times New Roman" w:hAnsi="Times New Roman" w:cs="Times New Roman"/>
          <w:kern w:val="2"/>
          <w:sz w:val="24"/>
          <w:szCs w:val="24"/>
          <w14:ligatures w14:val="standardContextual"/>
        </w:rPr>
        <w:t xml:space="preserve"> podijelili u četiri faze ((Quinn, Cameron, 1983:33-51</w:t>
      </w:r>
      <w:r w:rsidR="009F3C04"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u Isaković 2015:54) :</w:t>
      </w:r>
    </w:p>
    <w:p w14:paraId="32AA5B0A" w14:textId="77777777" w:rsidR="006E052A" w:rsidRPr="00BE5472" w:rsidRDefault="006E052A" w:rsidP="00120B4F">
      <w:pPr>
        <w:numPr>
          <w:ilvl w:val="0"/>
          <w:numId w:val="7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Početak</w:t>
      </w:r>
      <w:r w:rsidRPr="00BE5472">
        <w:rPr>
          <w:rFonts w:ascii="Times New Roman" w:hAnsi="Times New Roman" w:cs="Times New Roman"/>
          <w:kern w:val="2"/>
          <w:sz w:val="24"/>
          <w:szCs w:val="24"/>
          <w14:ligatures w14:val="standardContextual"/>
        </w:rPr>
        <w:t>: U ovom početnom stadiju, poduzeće započinje svoje poslovne aktivnosti i suočava se s brojnim izazovima poput nedostatka menadžerskog iskustva, nedostatka planiranja, centralizacije odlučivanja te nepostojanja organizacijske strukture. Fokus poduzeća u ovom stadiju je usmjeren na identifikaciju tržišnih niša.</w:t>
      </w:r>
    </w:p>
    <w:p w14:paraId="4C735451" w14:textId="77777777" w:rsidR="006E052A" w:rsidRPr="00BE5472" w:rsidRDefault="006E052A" w:rsidP="00120B4F">
      <w:pPr>
        <w:numPr>
          <w:ilvl w:val="0"/>
          <w:numId w:val="7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Organizacija</w:t>
      </w:r>
      <w:r w:rsidRPr="00BE5472">
        <w:rPr>
          <w:rFonts w:ascii="Times New Roman" w:hAnsi="Times New Roman" w:cs="Times New Roman"/>
          <w:kern w:val="2"/>
          <w:sz w:val="24"/>
          <w:szCs w:val="24"/>
          <w14:ligatures w14:val="standardContextual"/>
        </w:rPr>
        <w:t>: Prema autorima, ovu fazu karakterizira povećanje broja zaposlenih i prihoda od prodaje temeljenog na inovacijama zaposlenika. Poduzeće se strukturalno organizira kroz izgradnju hijerarhijskih razina. Vlasnik i dalje zadržava kontrolu nad svim aspektima poslovanja, čime se održava centralizacija odlučivanja. Zaposlenici razvijaju osjećaj pripadnosti poduzeću, dok ostaju prisutni neformalni odnosi među njima. Međutim, pojavljuju se problemi u komunikaciji i koordinaciji među zaposlenicima.</w:t>
      </w:r>
    </w:p>
    <w:p w14:paraId="7F767E6A" w14:textId="77777777" w:rsidR="006E052A" w:rsidRPr="00BE5472" w:rsidRDefault="006E052A" w:rsidP="00120B4F">
      <w:pPr>
        <w:numPr>
          <w:ilvl w:val="0"/>
          <w:numId w:val="7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Oblikovanja i nadzor</w:t>
      </w:r>
      <w:r w:rsidRPr="00BE5472">
        <w:rPr>
          <w:rFonts w:ascii="Times New Roman" w:hAnsi="Times New Roman" w:cs="Times New Roman"/>
          <w:kern w:val="2"/>
          <w:sz w:val="24"/>
          <w:szCs w:val="24"/>
          <w14:ligatures w14:val="standardContextual"/>
        </w:rPr>
        <w:t xml:space="preserve">: U ovoj fazi naglasak je na brizi za poslovanje i uspostavi hijerarhijskih odnosa s ciljem smanjenja centralizacije odlučivanja. Uvodi se funkcionalna organizacijska struktura i veća specijalizacija. Komunikacija postaje </w:t>
      </w:r>
      <w:r w:rsidRPr="00BE5472">
        <w:rPr>
          <w:rFonts w:ascii="Times New Roman" w:hAnsi="Times New Roman" w:cs="Times New Roman"/>
          <w:kern w:val="2"/>
          <w:sz w:val="24"/>
          <w:szCs w:val="24"/>
          <w14:ligatures w14:val="standardContextual"/>
        </w:rPr>
        <w:lastRenderedPageBreak/>
        <w:t>formalnija, a poslovne aktivnosti su specijalizirane. Odlučivanje postaje decentralizirano kako bi se implementirali strategijski smjerovi i postavljeni planovi.</w:t>
      </w:r>
    </w:p>
    <w:p w14:paraId="7FDCA449" w14:textId="77777777" w:rsidR="006E052A" w:rsidRDefault="006E052A" w:rsidP="00120B4F">
      <w:pPr>
        <w:numPr>
          <w:ilvl w:val="0"/>
          <w:numId w:val="7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Prilagodba</w:t>
      </w:r>
      <w:r w:rsidRPr="00BE5472">
        <w:rPr>
          <w:rFonts w:ascii="Times New Roman" w:hAnsi="Times New Roman" w:cs="Times New Roman"/>
          <w:kern w:val="2"/>
          <w:sz w:val="24"/>
          <w:szCs w:val="24"/>
          <w14:ligatures w14:val="standardContextual"/>
        </w:rPr>
        <w:t>: Nakon dostizanja određene razine veličine i ispunjenja postavljenih ciljeva, poduzeće teži primjeni drugih oblika poslovne politike radi ubrzanog rasta. U tu svrhu primjenjuju se različite strategije poput diverzifikacije, sklapanja strateških saveza, fuzija, zajedničko poduzeće ili kupnja franšize. Osim toga, u ovom stadiju primjenjuju se nove tehnike upravljanja, uspostavlja se kontrola odjela, provodi se sistemsko planiranje te se gradi nova organizacijska struktura koja može odgovoriti budućim izazovima.</w:t>
      </w:r>
    </w:p>
    <w:p w14:paraId="60E4568F" w14:textId="77777777" w:rsidR="00CB3A7C" w:rsidRPr="00BE5472" w:rsidRDefault="00CB3A7C" w:rsidP="00CB3A7C">
      <w:pPr>
        <w:spacing w:line="360" w:lineRule="auto"/>
        <w:ind w:left="1080"/>
        <w:contextualSpacing/>
        <w:jc w:val="both"/>
        <w:rPr>
          <w:rFonts w:ascii="Times New Roman" w:hAnsi="Times New Roman" w:cs="Times New Roman"/>
          <w:kern w:val="2"/>
          <w:sz w:val="24"/>
          <w:szCs w:val="24"/>
          <w14:ligatures w14:val="standardContextual"/>
        </w:rPr>
      </w:pPr>
    </w:p>
    <w:p w14:paraId="4E97876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bookmarkStart w:id="74" w:name="_Hlk161823751"/>
      <w:r w:rsidRPr="00BE5472">
        <w:rPr>
          <w:rFonts w:ascii="Times New Roman" w:hAnsi="Times New Roman" w:cs="Times New Roman"/>
          <w:kern w:val="2"/>
          <w:sz w:val="24"/>
          <w:szCs w:val="24"/>
          <w14:ligatures w14:val="standardContextual"/>
        </w:rPr>
        <w:t>Razvoj i rast poduzeća ključni su za postizanje konkurentnosti i osiguravanje održivosti poslovanja poduzeća. Rast poduzeća pretpostavlja povećanje obujma poslovanja, dok se razvoj odnosi na poboljšanje kvalitete poslovanja, proizvoda i usluga. Pojmovi rasta i razvoja su međusobno povezani i često se temelje na teorijama resursa, inovacija i evolucije poduzeća. Postoje različiti modeli koji objašnjavaju dinamiku rasta poduzeća, poput Greinerovog modela životnog ciklusa, Galbraithovog modela te Miller-Friesenovog modela. Svaki model naglašava različite faze i izazove kroz koje poduzeća prolaze, od početne kreativnosti i poduzetničkog duha do faza zrelosti, obnove i opadanja.</w:t>
      </w:r>
    </w:p>
    <w:p w14:paraId="2632FA4D" w14:textId="3997F8E8"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Životni ciklus poduzeća korelira s fazama razvoja poduzeća i sadrži specifične karakteristike i izazove. Analogija s</w:t>
      </w:r>
      <w:r w:rsidR="009F3C04"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životnim ciklusom proizvoda ili turističke destinacije dodatno naglašava važnost prilagodbe i inovacija za dugoročni uspjeh. Uspješna poduzeća, posebice ona u turizmu </w:t>
      </w:r>
      <w:r w:rsidR="0016669E" w:rsidRPr="00BE5472">
        <w:rPr>
          <w:rFonts w:ascii="Times New Roman" w:hAnsi="Times New Roman" w:cs="Times New Roman"/>
          <w:kern w:val="2"/>
          <w:sz w:val="24"/>
          <w:szCs w:val="24"/>
          <w14:ligatures w14:val="standardContextual"/>
        </w:rPr>
        <w:t>i</w:t>
      </w:r>
      <w:r w:rsidRPr="00BE5472">
        <w:rPr>
          <w:rFonts w:ascii="Times New Roman" w:hAnsi="Times New Roman" w:cs="Times New Roman"/>
          <w:kern w:val="2"/>
          <w:sz w:val="24"/>
          <w:szCs w:val="24"/>
          <w14:ligatures w14:val="standardContextual"/>
        </w:rPr>
        <w:t xml:space="preserve"> hotelijerstvu, učinkovito upravljaju rastom i razvojem te se prilagođavaju promjenjivim tržišnim uvjetima i novim trendovima.</w:t>
      </w:r>
    </w:p>
    <w:p w14:paraId="0CB91B11" w14:textId="77349A6A" w:rsidR="006E052A" w:rsidRPr="00BE5472" w:rsidRDefault="006E052A" w:rsidP="003D13C0">
      <w:pPr>
        <w:pStyle w:val="Heading2"/>
        <w:rPr>
          <w:rFonts w:ascii="Times New Roman" w:hAnsi="Times New Roman" w:cs="Times New Roman"/>
        </w:rPr>
      </w:pPr>
      <w:bookmarkStart w:id="75" w:name="_Toc210381416"/>
      <w:bookmarkStart w:id="76" w:name="_Toc241865140"/>
      <w:r w:rsidRPr="00BE5472">
        <w:rPr>
          <w:rFonts w:ascii="Times New Roman" w:hAnsi="Times New Roman" w:cs="Times New Roman"/>
        </w:rPr>
        <w:t>3.2. Razvojne strategije poduzeća</w:t>
      </w:r>
      <w:bookmarkEnd w:id="75"/>
      <w:bookmarkEnd w:id="76"/>
    </w:p>
    <w:p w14:paraId="3814DA68" w14:textId="77777777" w:rsidR="00BC3443" w:rsidRPr="00BE5472" w:rsidRDefault="00BC3443" w:rsidP="00BC3443">
      <w:pPr>
        <w:rPr>
          <w:rFonts w:ascii="Times New Roman" w:hAnsi="Times New Roman" w:cs="Times New Roman"/>
        </w:rPr>
      </w:pPr>
    </w:p>
    <w:p w14:paraId="34500C6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ovom poglavlju predstavit će se proces strateškog planiranja te detaljnije pojasniti četiri temeljne strategije rasta poduzeća. </w:t>
      </w:r>
    </w:p>
    <w:p w14:paraId="32D98963" w14:textId="77777777" w:rsidR="00CB3A7C" w:rsidRDefault="00CB3A7C" w:rsidP="003D13C0">
      <w:pPr>
        <w:pStyle w:val="Heading3"/>
        <w:rPr>
          <w:rFonts w:ascii="Times New Roman" w:hAnsi="Times New Roman" w:cs="Times New Roman"/>
        </w:rPr>
        <w:sectPr w:rsidR="00CB3A7C" w:rsidSect="00D03C2F">
          <w:pgSz w:w="12240" w:h="15840"/>
          <w:pgMar w:top="1440" w:right="1440" w:bottom="1440" w:left="1440" w:header="708" w:footer="708" w:gutter="0"/>
          <w:cols w:space="708"/>
          <w:docGrid w:linePitch="360"/>
        </w:sectPr>
      </w:pPr>
      <w:bookmarkStart w:id="77" w:name="_Toc210381417"/>
    </w:p>
    <w:p w14:paraId="7DF8B237" w14:textId="130B920A" w:rsidR="006E052A" w:rsidRPr="00BE5472" w:rsidRDefault="006E052A" w:rsidP="003D13C0">
      <w:pPr>
        <w:pStyle w:val="Heading3"/>
        <w:rPr>
          <w:rFonts w:ascii="Times New Roman" w:hAnsi="Times New Roman" w:cs="Times New Roman"/>
        </w:rPr>
      </w:pPr>
      <w:bookmarkStart w:id="78" w:name="_Toc241865141"/>
      <w:r w:rsidRPr="00BE5472">
        <w:rPr>
          <w:rFonts w:ascii="Times New Roman" w:hAnsi="Times New Roman" w:cs="Times New Roman"/>
        </w:rPr>
        <w:lastRenderedPageBreak/>
        <w:t>3.2.1.  Proces strateškog planiranja</w:t>
      </w:r>
      <w:bookmarkEnd w:id="77"/>
      <w:bookmarkEnd w:id="78"/>
      <w:r w:rsidRPr="00BE5472">
        <w:rPr>
          <w:rFonts w:ascii="Times New Roman" w:hAnsi="Times New Roman" w:cs="Times New Roman"/>
        </w:rPr>
        <w:t xml:space="preserve"> </w:t>
      </w:r>
    </w:p>
    <w:p w14:paraId="3DEE3D55" w14:textId="77777777" w:rsidR="00BC3443" w:rsidRPr="00BE5472" w:rsidRDefault="00BC3443" w:rsidP="00BC3443">
      <w:pPr>
        <w:rPr>
          <w:rFonts w:ascii="Times New Roman" w:hAnsi="Times New Roman" w:cs="Times New Roman"/>
        </w:rPr>
      </w:pPr>
    </w:p>
    <w:bookmarkEnd w:id="74"/>
    <w:p w14:paraId="48D9F046"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Prema Buble et al. (2005) strateški menadžment nije statičan proces već kontinuirani, iterativni pristup koji obuhvaća strateško planiranje, implementaciju planova te evaluaciju i nadzor provedbe strategije. Dakle, Buble et al. (2005) razlikuju pet faza procesa strateškog menadžmenta: analizu okoline, postavljanje usmjerenja organizacije, formuliranje strategije, implementacija strategije te evaluaciju rezultata.</w:t>
      </w:r>
    </w:p>
    <w:p w14:paraId="6BE396DA"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Ovaj proces se ne zaustavlja nakon donošenja plana, već se ponavlja, zahtijevajući stalno učenje, prilagodbu i donošenje odluka sukladno dinamičnim promjenama u okruženju. Strateško planiranje igra ključnu ulogu u osiguravanju uspješnog upravljanja organizacijom. Glavni cilj strateškog menadžmenta jest usmjeravanje razvoja organizacije prema budućnosti, uz prilagodbu brzim promjenama na tržištu.</w:t>
      </w:r>
    </w:p>
    <w:p w14:paraId="151F18D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Proces strateškog planiranja počinje utvrđivanjem misije i vizije, koje predstavljaju željene slike organizacije u budućnosti. Misija i vizija služe kao temelj za identifikaciju strateških ciljeva, prioriteta, strategija te aktivnosti i taktika potrebnih za njihovo ostvarenje. Ovaj sustavni pristup omogućava organizaciji da se usredotoči na ključne ciljeve i uskladi svoje aktivnosti kako bi ostvarila željene rezultate. </w:t>
      </w:r>
    </w:p>
    <w:p w14:paraId="6508BC75" w14:textId="38DB696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Okvir strateškog menadžmenta postavili su i Okumus</w:t>
      </w:r>
      <w:r w:rsidR="00046C1C">
        <w:rPr>
          <w:rFonts w:ascii="Times New Roman" w:hAnsi="Times New Roman" w:cs="Times New Roman"/>
          <w:kern w:val="2"/>
          <w:sz w:val="24"/>
          <w:szCs w:val="24"/>
          <w14:ligatures w14:val="standardContextual"/>
        </w:rPr>
        <w:t xml:space="preserve"> i sur.</w:t>
      </w:r>
      <w:r w:rsidRPr="00BE5472">
        <w:rPr>
          <w:rFonts w:ascii="Times New Roman" w:hAnsi="Times New Roman" w:cs="Times New Roman"/>
          <w:kern w:val="2"/>
          <w:sz w:val="24"/>
          <w:szCs w:val="24"/>
          <w14:ligatures w14:val="standardContextual"/>
        </w:rPr>
        <w:t xml:space="preserve"> (2019) izdvajajući </w:t>
      </w:r>
      <w:r w:rsidR="001A3AAC" w:rsidRPr="00BE5472">
        <w:rPr>
          <w:rFonts w:ascii="Times New Roman" w:hAnsi="Times New Roman" w:cs="Times New Roman"/>
          <w:kern w:val="2"/>
          <w:sz w:val="24"/>
          <w:szCs w:val="24"/>
          <w14:ligatures w14:val="standardContextual"/>
        </w:rPr>
        <w:t>četiri</w:t>
      </w:r>
      <w:r w:rsidRPr="00BE5472">
        <w:rPr>
          <w:rFonts w:ascii="Times New Roman" w:hAnsi="Times New Roman" w:cs="Times New Roman"/>
          <w:kern w:val="2"/>
          <w:sz w:val="24"/>
          <w:szCs w:val="24"/>
          <w14:ligatures w14:val="standardContextual"/>
        </w:rPr>
        <w:t xml:space="preserve"> faze: stratešku analizu (identifikacija vizije, misije, vrijednosti, ciljeva, analiza općeg okruženja, analiza industrijske strukture i analiza unutarnjeg okruženja), formulaciju strategije (korporativna, poslovna, funkcijska), implementaciju strategije i evaluaciju/kontrolu strategije. Henry (2021) pak smatra da strateški menadžment uključuje: analizu strategije, formulaciju strategije i implementaciju strategije.  Vrlo slično, Evans (2015) proces strateškog menadžmenta vidi kroz tri glavne sastavnice odnosno faze: strateška analiza, strateški izbor i implementacija strategije</w:t>
      </w:r>
      <w:r w:rsidR="001A3AAC"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što je pojašnjeno na Prikazu </w:t>
      </w:r>
      <w:r w:rsidR="00BF04AB" w:rsidRPr="00BE5472">
        <w:rPr>
          <w:rFonts w:ascii="Times New Roman" w:hAnsi="Times New Roman" w:cs="Times New Roman"/>
          <w:kern w:val="2"/>
          <w:sz w:val="24"/>
          <w:szCs w:val="24"/>
          <w14:ligatures w14:val="standardContextual"/>
        </w:rPr>
        <w:t>1</w:t>
      </w:r>
      <w:r w:rsidR="00046C1C">
        <w:rPr>
          <w:rFonts w:ascii="Times New Roman" w:hAnsi="Times New Roman" w:cs="Times New Roman"/>
          <w:kern w:val="2"/>
          <w:sz w:val="24"/>
          <w:szCs w:val="24"/>
          <w14:ligatures w14:val="standardContextual"/>
        </w:rPr>
        <w:t>2</w:t>
      </w:r>
      <w:r w:rsidR="00BF04AB" w:rsidRPr="00BE5472">
        <w:rPr>
          <w:rFonts w:ascii="Times New Roman" w:hAnsi="Times New Roman" w:cs="Times New Roman"/>
          <w:kern w:val="2"/>
          <w:sz w:val="24"/>
          <w:szCs w:val="24"/>
          <w14:ligatures w14:val="standardContextual"/>
        </w:rPr>
        <w:t>.</w:t>
      </w:r>
    </w:p>
    <w:p w14:paraId="2F013AB2" w14:textId="77777777" w:rsidR="00046C1C" w:rsidRDefault="00046C1C" w:rsidP="006E052A">
      <w:pPr>
        <w:spacing w:line="360" w:lineRule="auto"/>
        <w:jc w:val="both"/>
        <w:rPr>
          <w:rFonts w:ascii="Times New Roman" w:hAnsi="Times New Roman" w:cs="Times New Roman"/>
          <w:kern w:val="2"/>
          <w:sz w:val="24"/>
          <w:szCs w:val="24"/>
          <w14:ligatures w14:val="standardContextual"/>
        </w:rPr>
        <w:sectPr w:rsidR="00046C1C" w:rsidSect="00D03C2F">
          <w:pgSz w:w="12240" w:h="15840"/>
          <w:pgMar w:top="1440" w:right="1440" w:bottom="1440" w:left="1440" w:header="708" w:footer="708" w:gutter="0"/>
          <w:cols w:space="708"/>
          <w:docGrid w:linePitch="360"/>
        </w:sectPr>
      </w:pPr>
    </w:p>
    <w:p w14:paraId="1B32B1DE" w14:textId="32D2573A" w:rsidR="006E052A" w:rsidRPr="00C87D90" w:rsidRDefault="00C87D90" w:rsidP="00C87D90">
      <w:pPr>
        <w:pStyle w:val="Caption"/>
        <w:rPr>
          <w:rFonts w:ascii="Times New Roman" w:hAnsi="Times New Roman" w:cs="Times New Roman"/>
          <w:kern w:val="2"/>
          <w:sz w:val="24"/>
          <w:szCs w:val="24"/>
          <w14:ligatures w14:val="standardContextual"/>
        </w:rPr>
      </w:pPr>
      <w:bookmarkStart w:id="79" w:name="_Toc241865280"/>
      <w:r w:rsidRPr="00C87D90">
        <w:rPr>
          <w:rFonts w:ascii="Times New Roman" w:hAnsi="Times New Roman" w:cs="Times New Roman"/>
          <w:sz w:val="24"/>
          <w:szCs w:val="24"/>
        </w:rPr>
        <w:lastRenderedPageBreak/>
        <w:t xml:space="preserve">Prikaz </w:t>
      </w:r>
      <w:r w:rsidRPr="00C87D90">
        <w:rPr>
          <w:rFonts w:ascii="Times New Roman" w:hAnsi="Times New Roman" w:cs="Times New Roman"/>
          <w:sz w:val="24"/>
          <w:szCs w:val="24"/>
        </w:rPr>
        <w:fldChar w:fldCharType="begin"/>
      </w:r>
      <w:r w:rsidRPr="00C87D90">
        <w:rPr>
          <w:rFonts w:ascii="Times New Roman" w:hAnsi="Times New Roman" w:cs="Times New Roman"/>
          <w:sz w:val="24"/>
          <w:szCs w:val="24"/>
        </w:rPr>
        <w:instrText xml:space="preserve"> SEQ Prikaz \* ARABIC </w:instrText>
      </w:r>
      <w:r w:rsidRPr="00C87D90">
        <w:rPr>
          <w:rFonts w:ascii="Times New Roman" w:hAnsi="Times New Roman" w:cs="Times New Roman"/>
          <w:sz w:val="24"/>
          <w:szCs w:val="24"/>
        </w:rPr>
        <w:fldChar w:fldCharType="separate"/>
      </w:r>
      <w:r w:rsidR="00044BF6">
        <w:rPr>
          <w:rFonts w:ascii="Times New Roman" w:hAnsi="Times New Roman" w:cs="Times New Roman"/>
          <w:noProof/>
          <w:sz w:val="24"/>
          <w:szCs w:val="24"/>
        </w:rPr>
        <w:t>12</w:t>
      </w:r>
      <w:r w:rsidRPr="00C87D90">
        <w:rPr>
          <w:rFonts w:ascii="Times New Roman" w:hAnsi="Times New Roman" w:cs="Times New Roman"/>
          <w:sz w:val="24"/>
          <w:szCs w:val="24"/>
        </w:rPr>
        <w:fldChar w:fldCharType="end"/>
      </w:r>
      <w:r w:rsidR="006E052A" w:rsidRPr="00C87D90">
        <w:rPr>
          <w:rFonts w:ascii="Times New Roman" w:hAnsi="Times New Roman" w:cs="Times New Roman"/>
          <w:kern w:val="2"/>
          <w:sz w:val="24"/>
          <w:szCs w:val="24"/>
          <w14:ligatures w14:val="standardContextual"/>
        </w:rPr>
        <w:t>: Proces strateškog menadžmenta</w:t>
      </w:r>
      <w:bookmarkEnd w:id="79"/>
      <w:r w:rsidR="006E052A" w:rsidRPr="00C87D90">
        <w:rPr>
          <w:rFonts w:ascii="Times New Roman" w:hAnsi="Times New Roman" w:cs="Times New Roman"/>
          <w:kern w:val="2"/>
          <w:sz w:val="24"/>
          <w:szCs w:val="24"/>
          <w14:ligatures w14:val="standardContextual"/>
        </w:rPr>
        <w:t xml:space="preserve"> </w:t>
      </w:r>
    </w:p>
    <w:p w14:paraId="02DE519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noProof/>
          <w:kern w:val="2"/>
          <w:sz w:val="24"/>
          <w:szCs w:val="24"/>
          <w:lang w:eastAsia="hr-HR"/>
          <w14:ligatures w14:val="standardContextual"/>
        </w:rPr>
        <w:drawing>
          <wp:inline distT="0" distB="0" distL="0" distR="0" wp14:anchorId="04AC96F4" wp14:editId="6C27C782">
            <wp:extent cx="3800475" cy="2794267"/>
            <wp:effectExtent l="0" t="0" r="0" b="6350"/>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855234" cy="2834528"/>
                    </a:xfrm>
                    <a:prstGeom prst="rect">
                      <a:avLst/>
                    </a:prstGeom>
                  </pic:spPr>
                </pic:pic>
              </a:graphicData>
            </a:graphic>
          </wp:inline>
        </w:drawing>
      </w:r>
    </w:p>
    <w:p w14:paraId="25EBD8D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Evans, N. (2015). </w:t>
      </w:r>
      <w:r w:rsidRPr="00BE5472">
        <w:rPr>
          <w:rFonts w:ascii="Times New Roman" w:hAnsi="Times New Roman" w:cs="Times New Roman"/>
          <w:i/>
          <w:kern w:val="2"/>
          <w:sz w:val="24"/>
          <w:szCs w:val="24"/>
          <w14:ligatures w14:val="standardContextual"/>
        </w:rPr>
        <w:t>Strategic Management for Tourism, Hospitality and Events.</w:t>
      </w:r>
      <w:r w:rsidRPr="00BE5472">
        <w:rPr>
          <w:rFonts w:ascii="Times New Roman" w:hAnsi="Times New Roman" w:cs="Times New Roman"/>
          <w:kern w:val="2"/>
          <w:sz w:val="24"/>
          <w:szCs w:val="24"/>
          <w14:ligatures w14:val="standardContextual"/>
        </w:rPr>
        <w:t xml:space="preserve"> London: Routledge, 21</w:t>
      </w:r>
    </w:p>
    <w:p w14:paraId="63EA1CD9"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nastavku slijedi opis faza strateškog menadžmenta prema pristupu Buble i sur. (2005). </w:t>
      </w:r>
    </w:p>
    <w:p w14:paraId="2761ADE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kern w:val="2"/>
          <w:sz w:val="24"/>
          <w:szCs w:val="24"/>
          <w14:ligatures w14:val="standardContextual"/>
        </w:rPr>
        <w:t>Analiza okoline</w:t>
      </w:r>
      <w:r w:rsidRPr="00BE5472">
        <w:rPr>
          <w:rFonts w:ascii="Times New Roman" w:hAnsi="Times New Roman" w:cs="Times New Roman"/>
          <w:kern w:val="2"/>
          <w:sz w:val="24"/>
          <w:szCs w:val="24"/>
          <w14:ligatures w14:val="standardContextual"/>
        </w:rPr>
        <w:t xml:space="preserve"> kao početna faza procesa strateškog menadžmenta ključna je za razumijevanje vanjskih i unutarnjih čimbenika koji mogu utjecati na poduzeća. Vanjski čimbenici uključuju ekonomske, društvene, političke, tehnološke i ekološke trendove i promjene. Stoga se za razumijevanje vanjskih čimbenika u okruženju koristi PESTEL analiza.  Akronim PESTEL predstavlja političke, ekonomske, socijalne, tehnološke, ekološke i pravne faktore. Ovom analizom identificiraju se ključni čimbenici koji mogu utjecati na poslovanje organizacije. Uključuje i analizu tržišta, konkurencije, regulatornih zahtjeva te promjena u potražnji i preferencijama potrošača. </w:t>
      </w:r>
    </w:p>
    <w:p w14:paraId="6958BD5F" w14:textId="77777777" w:rsidR="006E052A" w:rsidRPr="00BE5472" w:rsidRDefault="006E052A" w:rsidP="006E052A">
      <w:pPr>
        <w:spacing w:line="360" w:lineRule="auto"/>
        <w:jc w:val="both"/>
        <w:rPr>
          <w:rFonts w:ascii="Times New Roman" w:hAnsi="Times New Roman" w:cs="Times New Roman"/>
          <w:kern w:val="2"/>
          <w14:ligatures w14:val="standardContextual"/>
        </w:rPr>
      </w:pPr>
      <w:r w:rsidRPr="00BE5472">
        <w:rPr>
          <w:rFonts w:ascii="Times New Roman" w:hAnsi="Times New Roman" w:cs="Times New Roman"/>
          <w:b/>
          <w:kern w:val="2"/>
          <w:sz w:val="24"/>
          <w:szCs w:val="24"/>
          <w14:ligatures w14:val="standardContextual"/>
        </w:rPr>
        <w:t>Postavljanje usmjerenja organizacije</w:t>
      </w:r>
      <w:r w:rsidRPr="00BE5472">
        <w:rPr>
          <w:rFonts w:ascii="Times New Roman" w:hAnsi="Times New Roman" w:cs="Times New Roman"/>
          <w:kern w:val="2"/>
          <w:sz w:val="24"/>
          <w:szCs w:val="24"/>
          <w14:ligatures w14:val="standardContextual"/>
        </w:rPr>
        <w:t xml:space="preserve"> je faza koja se provodi nakon analize okruženja. Poduzeće definira svoju misiju, viziju i ciljeve. Misija predstavlja temeljnu svrhu postojanja i razlog zašto poduzeće postoji. Misija obično odražava vrijednosti i ciljeve organizacije te identificira njezinu ulogu u društvu i industriji. Vizija, s druge strane, predstavlja željenu sliku budućnosti organizacije, inspirirajući i usmjeravajući njezin razvoj.  Koncept oblikovanja vizije ne ograničava se samo na sastavljanje izjave o željenoj slici organizacije. Podjednako je važno učinkovito </w:t>
      </w:r>
      <w:r w:rsidRPr="00BE5472">
        <w:rPr>
          <w:rFonts w:ascii="Times New Roman" w:hAnsi="Times New Roman" w:cs="Times New Roman"/>
          <w:kern w:val="2"/>
          <w:sz w:val="24"/>
          <w:szCs w:val="24"/>
          <w14:ligatures w14:val="standardContextual"/>
        </w:rPr>
        <w:lastRenderedPageBreak/>
        <w:t>prenositi tu viziju zaposlenicima ili svim uključenima u razvoj organizacije, jer ih to osnažuje u ostvarenju same vizije (Ritchie 1993). Ciljevi su konkretne mete koje poduzeće želi postići u određenom vremenskom razdoblju te služe kao smjernice za razvoj strategija i planova djelovanja.</w:t>
      </w:r>
      <w:r w:rsidRPr="00BE5472">
        <w:rPr>
          <w:rFonts w:ascii="Times New Roman" w:hAnsi="Times New Roman" w:cs="Times New Roman"/>
          <w:kern w:val="2"/>
          <w14:ligatures w14:val="standardContextual"/>
        </w:rPr>
        <w:t xml:space="preserve"> </w:t>
      </w:r>
    </w:p>
    <w:p w14:paraId="0C65D289" w14:textId="7C89B3F8"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Hotelska grupacija </w:t>
      </w:r>
      <w:r w:rsidRPr="00BE5472">
        <w:rPr>
          <w:rFonts w:ascii="Times New Roman" w:hAnsi="Times New Roman" w:cs="Times New Roman"/>
          <w:i/>
          <w:iCs/>
          <w:kern w:val="2"/>
          <w:sz w:val="24"/>
          <w:szCs w:val="24"/>
          <w14:ligatures w14:val="standardContextual"/>
        </w:rPr>
        <w:t>Mandarin Oriental</w:t>
      </w:r>
      <w:r w:rsidRPr="00BE5472">
        <w:rPr>
          <w:rFonts w:ascii="Times New Roman" w:hAnsi="Times New Roman" w:cs="Times New Roman"/>
          <w:kern w:val="2"/>
          <w:sz w:val="24"/>
          <w:szCs w:val="24"/>
          <w14:ligatures w14:val="standardContextual"/>
        </w:rPr>
        <w:t xml:space="preserve"> je nagrađivani vlasnik i operater nekih od najluksuznijih hotela, odmarališta i rezidencija u svijetu. Razvivši se iz svojih azijskih korijena u globalnu marku, grupa trenut</w:t>
      </w:r>
      <w:r w:rsidR="009F3C04" w:rsidRPr="00BE5472">
        <w:rPr>
          <w:rFonts w:ascii="Times New Roman" w:hAnsi="Times New Roman" w:cs="Times New Roman"/>
          <w:kern w:val="2"/>
          <w:sz w:val="24"/>
          <w:szCs w:val="24"/>
          <w14:ligatures w14:val="standardContextual"/>
        </w:rPr>
        <w:t>ač</w:t>
      </w:r>
      <w:r w:rsidRPr="00BE5472">
        <w:rPr>
          <w:rFonts w:ascii="Times New Roman" w:hAnsi="Times New Roman" w:cs="Times New Roman"/>
          <w:kern w:val="2"/>
          <w:sz w:val="24"/>
          <w:szCs w:val="24"/>
          <w14:ligatures w14:val="standardContextual"/>
        </w:rPr>
        <w:t xml:space="preserve">no upravlja s 38 hotela, 9 rezidencija i 23 ekskluzivna doma u 25 zemalja i teritorija, pri čemu svaka nekretnina odražava orijentalno naslijeđe grupe, lokalnu kulturu i jedinstveni dizajn. </w:t>
      </w:r>
      <w:r w:rsidRPr="00BE5472">
        <w:rPr>
          <w:rFonts w:ascii="Times New Roman" w:hAnsi="Times New Roman" w:cs="Times New Roman"/>
          <w:i/>
          <w:iCs/>
          <w:kern w:val="2"/>
          <w:sz w:val="24"/>
          <w:szCs w:val="24"/>
          <w14:ligatures w14:val="standardContextual"/>
        </w:rPr>
        <w:t>Mandarin Oriental</w:t>
      </w:r>
      <w:r w:rsidRPr="00BE5472">
        <w:rPr>
          <w:rFonts w:ascii="Times New Roman" w:hAnsi="Times New Roman" w:cs="Times New Roman"/>
          <w:kern w:val="2"/>
          <w:sz w:val="24"/>
          <w:szCs w:val="24"/>
          <w14:ligatures w14:val="standardContextual"/>
        </w:rPr>
        <w:t xml:space="preserve"> ima snažan niz hotela i rezidencija u razvoju te je član </w:t>
      </w:r>
      <w:r w:rsidRPr="00BE5472">
        <w:rPr>
          <w:rFonts w:ascii="Times New Roman" w:hAnsi="Times New Roman" w:cs="Times New Roman"/>
          <w:i/>
          <w:iCs/>
          <w:kern w:val="2"/>
          <w:sz w:val="24"/>
          <w:szCs w:val="24"/>
          <w14:ligatures w14:val="standardContextual"/>
        </w:rPr>
        <w:t>Jardine Matheson Grupe</w:t>
      </w:r>
      <w:r w:rsidRPr="00BE5472">
        <w:rPr>
          <w:rFonts w:ascii="Times New Roman" w:hAnsi="Times New Roman" w:cs="Times New Roman"/>
          <w:kern w:val="2"/>
          <w:sz w:val="24"/>
          <w:szCs w:val="24"/>
          <w14:ligatures w14:val="standardContextual"/>
        </w:rPr>
        <w:t>.</w:t>
      </w:r>
    </w:p>
    <w:p w14:paraId="394A9043" w14:textId="404E487C"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Prikaz misije, vizije, vodećih principa hotelske grupacije </w:t>
      </w:r>
      <w:r w:rsidRPr="00BE5472">
        <w:rPr>
          <w:rFonts w:ascii="Times New Roman" w:hAnsi="Times New Roman" w:cs="Times New Roman"/>
          <w:i/>
          <w:iCs/>
          <w:kern w:val="2"/>
          <w:sz w:val="24"/>
          <w:szCs w:val="24"/>
          <w14:ligatures w14:val="standardContextual"/>
        </w:rPr>
        <w:t>Mandarin Oriental</w:t>
      </w:r>
      <w:r w:rsidRPr="00BE5472">
        <w:rPr>
          <w:rFonts w:ascii="Times New Roman" w:hAnsi="Times New Roman" w:cs="Times New Roman"/>
          <w:kern w:val="2"/>
          <w:sz w:val="24"/>
          <w:szCs w:val="24"/>
          <w14:ligatures w14:val="standardContextual"/>
        </w:rPr>
        <w:t xml:space="preserve"> dat je </w:t>
      </w:r>
      <w:r w:rsidR="00C75ACE"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w:t>
      </w:r>
      <w:r w:rsidR="00127A4E">
        <w:rPr>
          <w:rFonts w:ascii="Times New Roman" w:hAnsi="Times New Roman" w:cs="Times New Roman"/>
          <w:kern w:val="2"/>
          <w:sz w:val="24"/>
          <w:szCs w:val="24"/>
          <w14:ligatures w14:val="standardContextual"/>
        </w:rPr>
        <w:t>Tablici</w:t>
      </w:r>
      <w:r w:rsidRPr="00BE5472">
        <w:rPr>
          <w:rFonts w:ascii="Times New Roman" w:hAnsi="Times New Roman" w:cs="Times New Roman"/>
          <w:kern w:val="2"/>
          <w:sz w:val="24"/>
          <w:szCs w:val="24"/>
          <w14:ligatures w14:val="standardContextual"/>
        </w:rPr>
        <w:t xml:space="preserve"> </w:t>
      </w:r>
      <w:r w:rsidR="004D3B31" w:rsidRPr="00BE5472">
        <w:rPr>
          <w:rFonts w:ascii="Times New Roman" w:hAnsi="Times New Roman" w:cs="Times New Roman"/>
          <w:kern w:val="2"/>
          <w:sz w:val="24"/>
          <w:szCs w:val="24"/>
          <w14:ligatures w14:val="standardContextual"/>
        </w:rPr>
        <w:t>5</w:t>
      </w:r>
      <w:r w:rsidRPr="00BE5472">
        <w:rPr>
          <w:rFonts w:ascii="Times New Roman" w:hAnsi="Times New Roman" w:cs="Times New Roman"/>
          <w:kern w:val="2"/>
          <w:sz w:val="24"/>
          <w:szCs w:val="24"/>
          <w14:ligatures w14:val="standardContextual"/>
        </w:rPr>
        <w:t>.</w:t>
      </w:r>
    </w:p>
    <w:p w14:paraId="54B450C6" w14:textId="77777777" w:rsidR="00443516" w:rsidRDefault="00443516" w:rsidP="006E052A">
      <w:pPr>
        <w:spacing w:line="360" w:lineRule="auto"/>
        <w:jc w:val="both"/>
        <w:rPr>
          <w:rFonts w:ascii="Times New Roman" w:hAnsi="Times New Roman" w:cs="Times New Roman"/>
          <w:kern w:val="2"/>
          <w:sz w:val="24"/>
          <w:szCs w:val="24"/>
          <w14:ligatures w14:val="standardContextual"/>
        </w:rPr>
        <w:sectPr w:rsidR="00443516" w:rsidSect="00D03C2F">
          <w:pgSz w:w="12240" w:h="15840"/>
          <w:pgMar w:top="1440" w:right="1440" w:bottom="1440" w:left="1440" w:header="708" w:footer="708" w:gutter="0"/>
          <w:cols w:space="708"/>
          <w:docGrid w:linePitch="360"/>
        </w:sectPr>
      </w:pPr>
    </w:p>
    <w:p w14:paraId="7C8D208B" w14:textId="635A74F7" w:rsidR="006E052A" w:rsidRPr="004756DA" w:rsidRDefault="004756DA" w:rsidP="004756DA">
      <w:pPr>
        <w:pStyle w:val="Caption"/>
        <w:rPr>
          <w:rFonts w:ascii="Times New Roman" w:hAnsi="Times New Roman" w:cs="Times New Roman"/>
          <w:kern w:val="2"/>
          <w:sz w:val="24"/>
          <w:szCs w:val="24"/>
          <w14:ligatures w14:val="standardContextual"/>
        </w:rPr>
      </w:pPr>
      <w:bookmarkStart w:id="80" w:name="_Toc241865199"/>
      <w:r w:rsidRPr="004756DA">
        <w:rPr>
          <w:rFonts w:ascii="Times New Roman" w:hAnsi="Times New Roman" w:cs="Times New Roman"/>
          <w:sz w:val="24"/>
          <w:szCs w:val="24"/>
        </w:rPr>
        <w:lastRenderedPageBreak/>
        <w:t xml:space="preserve">Tablica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Tablica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5</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xml:space="preserve">: </w:t>
      </w:r>
      <w:r w:rsidR="00EB5DE3" w:rsidRPr="004756DA">
        <w:rPr>
          <w:rFonts w:ascii="Times New Roman" w:hAnsi="Times New Roman" w:cs="Times New Roman"/>
          <w:kern w:val="2"/>
          <w:sz w:val="24"/>
          <w:szCs w:val="24"/>
          <w14:ligatures w14:val="standardContextual"/>
        </w:rPr>
        <w:t>V</w:t>
      </w:r>
      <w:r w:rsidR="006E052A" w:rsidRPr="004756DA">
        <w:rPr>
          <w:rFonts w:ascii="Times New Roman" w:hAnsi="Times New Roman" w:cs="Times New Roman"/>
          <w:kern w:val="2"/>
          <w:sz w:val="24"/>
          <w:szCs w:val="24"/>
          <w14:ligatures w14:val="standardContextual"/>
        </w:rPr>
        <w:t xml:space="preserve">izija, </w:t>
      </w:r>
      <w:r w:rsidR="00EB5DE3" w:rsidRPr="004756DA">
        <w:rPr>
          <w:rFonts w:ascii="Times New Roman" w:hAnsi="Times New Roman" w:cs="Times New Roman"/>
          <w:kern w:val="2"/>
          <w:sz w:val="24"/>
          <w:szCs w:val="24"/>
          <w14:ligatures w14:val="standardContextual"/>
        </w:rPr>
        <w:t xml:space="preserve">misija i </w:t>
      </w:r>
      <w:r w:rsidR="006E052A" w:rsidRPr="004756DA">
        <w:rPr>
          <w:rFonts w:ascii="Times New Roman" w:hAnsi="Times New Roman" w:cs="Times New Roman"/>
          <w:kern w:val="2"/>
          <w:sz w:val="24"/>
          <w:szCs w:val="24"/>
          <w14:ligatures w14:val="standardContextual"/>
        </w:rPr>
        <w:t xml:space="preserve">vodeći principi i dugoročni </w:t>
      </w:r>
      <w:r w:rsidR="00844E98" w:rsidRPr="004756DA">
        <w:rPr>
          <w:rFonts w:ascii="Times New Roman" w:hAnsi="Times New Roman" w:cs="Times New Roman"/>
          <w:kern w:val="2"/>
          <w:sz w:val="24"/>
          <w:szCs w:val="24"/>
          <w14:ligatures w14:val="standardContextual"/>
        </w:rPr>
        <w:t xml:space="preserve">cilj </w:t>
      </w:r>
      <w:r w:rsidR="006E052A" w:rsidRPr="004756DA">
        <w:rPr>
          <w:rFonts w:ascii="Times New Roman" w:hAnsi="Times New Roman" w:cs="Times New Roman"/>
          <w:kern w:val="2"/>
          <w:sz w:val="24"/>
          <w:szCs w:val="24"/>
          <w14:ligatures w14:val="standardContextual"/>
        </w:rPr>
        <w:t>hotelske grupacije Mandarin Oriental</w:t>
      </w:r>
      <w:bookmarkEnd w:id="80"/>
    </w:p>
    <w:tbl>
      <w:tblPr>
        <w:tblStyle w:val="TableGrid"/>
        <w:tblW w:w="0" w:type="auto"/>
        <w:tblLook w:val="04A0" w:firstRow="1" w:lastRow="0" w:firstColumn="1" w:lastColumn="0" w:noHBand="0" w:noVBand="1"/>
      </w:tblPr>
      <w:tblGrid>
        <w:gridCol w:w="1737"/>
        <w:gridCol w:w="7547"/>
      </w:tblGrid>
      <w:tr w:rsidR="009B0ECA" w:rsidRPr="00BE5472" w14:paraId="272C3941" w14:textId="77777777" w:rsidTr="003C2F5B">
        <w:tc>
          <w:tcPr>
            <w:tcW w:w="1515" w:type="dxa"/>
            <w:vAlign w:val="center"/>
          </w:tcPr>
          <w:p w14:paraId="3FDECBD2" w14:textId="77777777" w:rsidR="009B0ECA" w:rsidRPr="00BE5472" w:rsidRDefault="009B0ECA" w:rsidP="003C2F5B">
            <w:pPr>
              <w:jc w:val="center"/>
              <w:rPr>
                <w:rFonts w:ascii="Times New Roman" w:hAnsi="Times New Roman" w:cs="Times New Roman"/>
              </w:rPr>
            </w:pPr>
            <w:r w:rsidRPr="00BE5472">
              <w:rPr>
                <w:rFonts w:ascii="Times New Roman" w:hAnsi="Times New Roman" w:cs="Times New Roman"/>
                <w:b/>
                <w:sz w:val="24"/>
                <w:szCs w:val="24"/>
              </w:rPr>
              <w:t>VIZIJA</w:t>
            </w:r>
          </w:p>
        </w:tc>
        <w:tc>
          <w:tcPr>
            <w:tcW w:w="7547" w:type="dxa"/>
          </w:tcPr>
          <w:p w14:paraId="613E1EB0" w14:textId="77777777" w:rsidR="009B0ECA" w:rsidRPr="00BE5472" w:rsidRDefault="009B0ECA" w:rsidP="003C2F5B">
            <w:pPr>
              <w:rPr>
                <w:rFonts w:ascii="Times New Roman" w:hAnsi="Times New Roman" w:cs="Times New Roman"/>
              </w:rPr>
            </w:pPr>
            <w:r w:rsidRPr="00BE5472">
              <w:rPr>
                <w:rFonts w:ascii="Times New Roman" w:hAnsi="Times New Roman" w:cs="Times New Roman"/>
                <w:i/>
                <w:sz w:val="24"/>
                <w:szCs w:val="24"/>
              </w:rPr>
              <w:t>Svijet obožavatelja</w:t>
            </w:r>
          </w:p>
        </w:tc>
      </w:tr>
      <w:tr w:rsidR="009B0ECA" w:rsidRPr="00BE5472" w14:paraId="793CD76D" w14:textId="77777777" w:rsidTr="003C2F5B">
        <w:trPr>
          <w:trHeight w:val="434"/>
        </w:trPr>
        <w:tc>
          <w:tcPr>
            <w:tcW w:w="1515" w:type="dxa"/>
            <w:vAlign w:val="center"/>
          </w:tcPr>
          <w:p w14:paraId="669D3AFE" w14:textId="77777777" w:rsidR="009B0ECA" w:rsidRPr="00BE5472" w:rsidRDefault="009B0ECA" w:rsidP="003C2F5B">
            <w:pPr>
              <w:jc w:val="center"/>
              <w:rPr>
                <w:rFonts w:ascii="Times New Roman" w:hAnsi="Times New Roman" w:cs="Times New Roman"/>
              </w:rPr>
            </w:pPr>
            <w:r w:rsidRPr="00BE5472">
              <w:rPr>
                <w:rFonts w:ascii="Times New Roman" w:hAnsi="Times New Roman" w:cs="Times New Roman"/>
                <w:b/>
                <w:sz w:val="24"/>
                <w:szCs w:val="24"/>
              </w:rPr>
              <w:t>MISIJA</w:t>
            </w:r>
          </w:p>
        </w:tc>
        <w:tc>
          <w:tcPr>
            <w:tcW w:w="7547" w:type="dxa"/>
            <w:vAlign w:val="center"/>
          </w:tcPr>
          <w:p w14:paraId="38ED0DF2" w14:textId="77777777" w:rsidR="009B0ECA" w:rsidRPr="00BE5472" w:rsidRDefault="009B0ECA" w:rsidP="003C2F5B">
            <w:pPr>
              <w:rPr>
                <w:rFonts w:ascii="Times New Roman" w:hAnsi="Times New Roman" w:cs="Times New Roman"/>
              </w:rPr>
            </w:pPr>
            <w:r w:rsidRPr="00BE5472">
              <w:rPr>
                <w:rFonts w:ascii="Times New Roman" w:hAnsi="Times New Roman" w:cs="Times New Roman"/>
                <w:i/>
                <w:sz w:val="24"/>
                <w:szCs w:val="24"/>
              </w:rPr>
              <w:t>Naša misija je oduševiti i nadahnuti naše obožavatelje u svakoj prilici.</w:t>
            </w:r>
          </w:p>
        </w:tc>
      </w:tr>
      <w:tr w:rsidR="009B0ECA" w:rsidRPr="00BE5472" w14:paraId="5BA20893" w14:textId="77777777" w:rsidTr="00BF28D2">
        <w:trPr>
          <w:trHeight w:val="7621"/>
        </w:trPr>
        <w:tc>
          <w:tcPr>
            <w:tcW w:w="1515" w:type="dxa"/>
            <w:vAlign w:val="center"/>
          </w:tcPr>
          <w:p w14:paraId="2E215A9F" w14:textId="77777777" w:rsidR="009B0ECA" w:rsidRPr="00BE5472" w:rsidRDefault="009B0ECA" w:rsidP="003C2F5B">
            <w:pPr>
              <w:jc w:val="center"/>
              <w:rPr>
                <w:rFonts w:ascii="Times New Roman" w:hAnsi="Times New Roman" w:cs="Times New Roman"/>
              </w:rPr>
            </w:pPr>
            <w:r w:rsidRPr="00BE5472">
              <w:rPr>
                <w:rFonts w:ascii="Times New Roman" w:hAnsi="Times New Roman" w:cs="Times New Roman"/>
                <w:b/>
                <w:sz w:val="24"/>
                <w:szCs w:val="24"/>
              </w:rPr>
              <w:t>VODEĆI PRINCIPI</w:t>
            </w:r>
          </w:p>
        </w:tc>
        <w:tc>
          <w:tcPr>
            <w:tcW w:w="7547" w:type="dxa"/>
            <w:vAlign w:val="center"/>
          </w:tcPr>
          <w:p w14:paraId="66E8E710" w14:textId="4EF6402C" w:rsidR="009B0ECA" w:rsidRPr="00BE5472" w:rsidRDefault="009B0ECA" w:rsidP="00120B4F">
            <w:pPr>
              <w:numPr>
                <w:ilvl w:val="0"/>
                <w:numId w:val="87"/>
              </w:numPr>
              <w:spacing w:line="360" w:lineRule="auto"/>
              <w:ind w:left="1352"/>
              <w:contextualSpacing/>
              <w:rPr>
                <w:rFonts w:ascii="Times New Roman" w:hAnsi="Times New Roman" w:cs="Times New Roman"/>
                <w:sz w:val="24"/>
                <w:szCs w:val="24"/>
              </w:rPr>
            </w:pPr>
            <w:r w:rsidRPr="00BE5472">
              <w:rPr>
                <w:rFonts w:ascii="Times New Roman" w:hAnsi="Times New Roman" w:cs="Times New Roman"/>
                <w:i/>
                <w:sz w:val="24"/>
                <w:szCs w:val="24"/>
              </w:rPr>
              <w:t>Oduševiti naše klijente</w:t>
            </w:r>
            <w:r w:rsidR="001A3AA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 xml:space="preserve"> </w:t>
            </w:r>
            <w:r w:rsidRPr="00BE5472">
              <w:rPr>
                <w:rFonts w:ascii="Times New Roman" w:hAnsi="Times New Roman" w:cs="Times New Roman"/>
                <w:sz w:val="24"/>
                <w:szCs w:val="24"/>
              </w:rPr>
              <w:t>Predani smo premašivanju očekivanja klijenata iznenađujući ih našom sposobnošću da predvidimo i ispunimo njihove želje.</w:t>
            </w:r>
          </w:p>
          <w:p w14:paraId="4F772C0A" w14:textId="571AD005" w:rsidR="009B0ECA" w:rsidRPr="00BE5472" w:rsidRDefault="009B0ECA" w:rsidP="00120B4F">
            <w:pPr>
              <w:numPr>
                <w:ilvl w:val="0"/>
                <w:numId w:val="87"/>
              </w:numPr>
              <w:spacing w:line="360" w:lineRule="auto"/>
              <w:ind w:left="1352"/>
              <w:contextualSpacing/>
              <w:rPr>
                <w:rFonts w:ascii="Times New Roman" w:hAnsi="Times New Roman" w:cs="Times New Roman"/>
                <w:sz w:val="24"/>
                <w:szCs w:val="24"/>
              </w:rPr>
            </w:pPr>
            <w:r w:rsidRPr="00BE5472">
              <w:rPr>
                <w:rFonts w:ascii="Times New Roman" w:hAnsi="Times New Roman" w:cs="Times New Roman"/>
                <w:i/>
                <w:sz w:val="24"/>
                <w:szCs w:val="24"/>
              </w:rPr>
              <w:t>Oduševiti naše kolege</w:t>
            </w:r>
            <w:r w:rsidR="001A3AA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 xml:space="preserve"> </w:t>
            </w:r>
            <w:r w:rsidRPr="00BE5472">
              <w:rPr>
                <w:rFonts w:ascii="Times New Roman" w:hAnsi="Times New Roman" w:cs="Times New Roman"/>
                <w:sz w:val="24"/>
                <w:szCs w:val="24"/>
              </w:rPr>
              <w:t>Osiguravamo brižno, motivirajuće i poticajno okruženje za sve. Cijenimo raznolikost i potičemo najbolje kod naših ljudi</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i to činimo ulaganjem u njihov osobni razvoj, omogućujući im zadovoljavajući razvoj karijere unutar Grupe i izvan nje.</w:t>
            </w:r>
          </w:p>
          <w:p w14:paraId="47A6B174" w14:textId="2D33FF00" w:rsidR="009B0ECA" w:rsidRPr="00BE5472" w:rsidRDefault="009B0ECA" w:rsidP="00120B4F">
            <w:pPr>
              <w:numPr>
                <w:ilvl w:val="0"/>
                <w:numId w:val="87"/>
              </w:numPr>
              <w:spacing w:line="360" w:lineRule="auto"/>
              <w:ind w:left="1352"/>
              <w:contextualSpacing/>
              <w:rPr>
                <w:rFonts w:ascii="Times New Roman" w:hAnsi="Times New Roman" w:cs="Times New Roman"/>
                <w:sz w:val="24"/>
                <w:szCs w:val="24"/>
              </w:rPr>
            </w:pPr>
            <w:r w:rsidRPr="00BE5472">
              <w:rPr>
                <w:rFonts w:ascii="Times New Roman" w:hAnsi="Times New Roman" w:cs="Times New Roman"/>
                <w:i/>
                <w:sz w:val="24"/>
                <w:szCs w:val="24"/>
              </w:rPr>
              <w:t>Postati najbolji</w:t>
            </w:r>
            <w:r w:rsidR="001A3AA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 xml:space="preserve"> </w:t>
            </w:r>
            <w:r w:rsidRPr="00BE5472">
              <w:rPr>
                <w:rFonts w:ascii="Times New Roman" w:hAnsi="Times New Roman" w:cs="Times New Roman"/>
                <w:sz w:val="24"/>
                <w:szCs w:val="24"/>
              </w:rPr>
              <w:t>Predani smo kontinuiranom poboljšanju i tome da svakoga dana napravimo razliku. Trudimo se biti inovativni lideri u našoj industriji.</w:t>
            </w:r>
          </w:p>
          <w:p w14:paraId="3A3EFAE5" w14:textId="451A05BC" w:rsidR="009B0ECA" w:rsidRPr="00BE5472" w:rsidRDefault="009B0ECA" w:rsidP="00120B4F">
            <w:pPr>
              <w:numPr>
                <w:ilvl w:val="0"/>
                <w:numId w:val="87"/>
              </w:numPr>
              <w:spacing w:line="360" w:lineRule="auto"/>
              <w:ind w:left="1352"/>
              <w:contextualSpacing/>
              <w:rPr>
                <w:rFonts w:ascii="Times New Roman" w:hAnsi="Times New Roman" w:cs="Times New Roman"/>
                <w:sz w:val="24"/>
                <w:szCs w:val="24"/>
              </w:rPr>
            </w:pPr>
            <w:r w:rsidRPr="00BE5472">
              <w:rPr>
                <w:rFonts w:ascii="Times New Roman" w:hAnsi="Times New Roman" w:cs="Times New Roman"/>
                <w:i/>
                <w:sz w:val="24"/>
                <w:szCs w:val="24"/>
              </w:rPr>
              <w:t>Raditi zajedno</w:t>
            </w:r>
            <w:r w:rsidR="001A3AA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 xml:space="preserve"> </w:t>
            </w:r>
            <w:r w:rsidRPr="00BE5472">
              <w:rPr>
                <w:rFonts w:ascii="Times New Roman" w:hAnsi="Times New Roman" w:cs="Times New Roman"/>
                <w:sz w:val="24"/>
                <w:szCs w:val="24"/>
              </w:rPr>
              <w:t>Vjerujemo u timski rad i tretiramo jedni druge s međusobnim povjerenjem i poštovanjem. Suradnjom i inkluzivnošću doprinosimo i dio smo uspjeha Grupe.</w:t>
            </w:r>
          </w:p>
          <w:p w14:paraId="493399D9" w14:textId="74FFB4A5" w:rsidR="009B0ECA" w:rsidRPr="00BE5472" w:rsidRDefault="009B0ECA" w:rsidP="00120B4F">
            <w:pPr>
              <w:numPr>
                <w:ilvl w:val="0"/>
                <w:numId w:val="87"/>
              </w:numPr>
              <w:spacing w:line="360" w:lineRule="auto"/>
              <w:ind w:left="1352"/>
              <w:contextualSpacing/>
              <w:rPr>
                <w:rFonts w:ascii="Times New Roman" w:hAnsi="Times New Roman" w:cs="Times New Roman"/>
                <w:sz w:val="24"/>
                <w:szCs w:val="24"/>
              </w:rPr>
            </w:pPr>
            <w:r w:rsidRPr="00BE5472">
              <w:rPr>
                <w:rFonts w:ascii="Times New Roman" w:hAnsi="Times New Roman" w:cs="Times New Roman"/>
                <w:i/>
                <w:sz w:val="24"/>
                <w:szCs w:val="24"/>
              </w:rPr>
              <w:t>Postupati odgovorno</w:t>
            </w:r>
            <w:r w:rsidR="001A3AA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1A3AAC" w:rsidRPr="00BE5472">
              <w:rPr>
                <w:rFonts w:ascii="Times New Roman" w:hAnsi="Times New Roman" w:cs="Times New Roman"/>
                <w:sz w:val="24"/>
                <w:szCs w:val="24"/>
              </w:rPr>
              <w:t xml:space="preserve"> </w:t>
            </w:r>
            <w:r w:rsidRPr="00BE5472">
              <w:rPr>
                <w:rFonts w:ascii="Times New Roman" w:hAnsi="Times New Roman" w:cs="Times New Roman"/>
                <w:sz w:val="24"/>
                <w:szCs w:val="24"/>
              </w:rPr>
              <w:t>Održavamo integritet, poštenu i iskrenu komunikaciju u svim našim odnosima i u svemu što radimo. Podupiremo inicijative koje održavaju i poboljšavaju okoliš te smo odgovorni članovi naših zajednica.</w:t>
            </w:r>
          </w:p>
        </w:tc>
      </w:tr>
      <w:tr w:rsidR="009B0ECA" w:rsidRPr="00BE5472" w14:paraId="25A4C689" w14:textId="77777777" w:rsidTr="003C2F5B">
        <w:trPr>
          <w:trHeight w:val="731"/>
        </w:trPr>
        <w:tc>
          <w:tcPr>
            <w:tcW w:w="1515" w:type="dxa"/>
            <w:vAlign w:val="center"/>
          </w:tcPr>
          <w:p w14:paraId="722FDB12" w14:textId="77777777" w:rsidR="009B0ECA" w:rsidRPr="00BE5472" w:rsidRDefault="009B0ECA" w:rsidP="003C2F5B">
            <w:pPr>
              <w:jc w:val="center"/>
              <w:rPr>
                <w:rFonts w:ascii="Times New Roman" w:hAnsi="Times New Roman" w:cs="Times New Roman"/>
              </w:rPr>
            </w:pPr>
            <w:r w:rsidRPr="00BE5472">
              <w:rPr>
                <w:rFonts w:ascii="Times New Roman" w:hAnsi="Times New Roman" w:cs="Times New Roman"/>
                <w:b/>
                <w:sz w:val="24"/>
                <w:szCs w:val="24"/>
              </w:rPr>
              <w:t>DUGOROČNI CILJ</w:t>
            </w:r>
          </w:p>
        </w:tc>
        <w:tc>
          <w:tcPr>
            <w:tcW w:w="7547" w:type="dxa"/>
          </w:tcPr>
          <w:p w14:paraId="30F4426B" w14:textId="1DB92805" w:rsidR="009B0ECA" w:rsidRPr="00BE5472" w:rsidRDefault="009B0ECA" w:rsidP="003C2F5B">
            <w:pPr>
              <w:rPr>
                <w:rFonts w:ascii="Times New Roman" w:hAnsi="Times New Roman" w:cs="Times New Roman"/>
              </w:rPr>
            </w:pPr>
            <w:r w:rsidRPr="00BE5472">
              <w:rPr>
                <w:rFonts w:ascii="Times New Roman" w:hAnsi="Times New Roman" w:cs="Times New Roman"/>
                <w:sz w:val="24"/>
                <w:szCs w:val="24"/>
              </w:rPr>
              <w:t>Naš dugoročni cilj je razviti se iz marke luksuznog gostoprimstva u luksuz</w:t>
            </w:r>
            <w:r w:rsidR="00E40189" w:rsidRPr="00BE5472">
              <w:rPr>
                <w:rFonts w:ascii="Times New Roman" w:hAnsi="Times New Roman" w:cs="Times New Roman"/>
                <w:sz w:val="24"/>
                <w:szCs w:val="24"/>
              </w:rPr>
              <w:t>n</w:t>
            </w:r>
            <w:r w:rsidRPr="00BE5472">
              <w:rPr>
                <w:rFonts w:ascii="Times New Roman" w:hAnsi="Times New Roman" w:cs="Times New Roman"/>
                <w:sz w:val="24"/>
                <w:szCs w:val="24"/>
              </w:rPr>
              <w:t>u marku.</w:t>
            </w:r>
          </w:p>
        </w:tc>
      </w:tr>
    </w:tbl>
    <w:p w14:paraId="098C7352" w14:textId="4EAA8CC8"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Mandarin Oriental (2024). Our Company. Dostupno na: </w:t>
      </w:r>
      <w:hyperlink r:id="rId42" w:history="1">
        <w:r w:rsidRPr="00BE5472">
          <w:rPr>
            <w:rFonts w:ascii="Times New Roman" w:hAnsi="Times New Roman" w:cs="Times New Roman"/>
            <w:color w:val="0563C1" w:themeColor="hyperlink"/>
            <w:kern w:val="2"/>
            <w:sz w:val="24"/>
            <w:szCs w:val="24"/>
            <w:u w:val="single"/>
            <w14:ligatures w14:val="standardContextual"/>
          </w:rPr>
          <w:t>https://www.mandarinoriental.com/en/our-company/our-vision</w:t>
        </w:r>
      </w:hyperlink>
      <w:r w:rsidRPr="00BE5472">
        <w:rPr>
          <w:rFonts w:ascii="Times New Roman" w:hAnsi="Times New Roman" w:cs="Times New Roman"/>
          <w:kern w:val="2"/>
          <w:sz w:val="24"/>
          <w:szCs w:val="24"/>
          <w14:ligatures w14:val="standardContextual"/>
        </w:rPr>
        <w:t xml:space="preserve"> </w:t>
      </w:r>
      <w:r w:rsidR="00E40189"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Pristupljeno: 15. ožujka 2024. </w:t>
      </w:r>
    </w:p>
    <w:p w14:paraId="2CC0BF0A" w14:textId="71953606" w:rsidR="00BC3443" w:rsidRDefault="002073A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Prikaz vizije, misije, temeljnih vrijednosti i dugoročn</w:t>
      </w:r>
      <w:r w:rsidR="00734DD8" w:rsidRPr="00BE5472">
        <w:rPr>
          <w:rFonts w:ascii="Times New Roman" w:hAnsi="Times New Roman" w:cs="Times New Roman"/>
          <w:kern w:val="2"/>
          <w:sz w:val="24"/>
          <w:szCs w:val="24"/>
          <w14:ligatures w14:val="standardContextual"/>
        </w:rPr>
        <w:t>og</w:t>
      </w:r>
      <w:r w:rsidR="00B455DA" w:rsidRPr="00BE5472">
        <w:rPr>
          <w:rFonts w:ascii="Times New Roman" w:hAnsi="Times New Roman" w:cs="Times New Roman"/>
          <w:kern w:val="2"/>
          <w:sz w:val="24"/>
          <w:szCs w:val="24"/>
          <w14:ligatures w14:val="standardContextual"/>
        </w:rPr>
        <w:t xml:space="preserve"> cilja poduzeća </w:t>
      </w:r>
      <w:r w:rsidR="00B455DA" w:rsidRPr="00BE5472">
        <w:rPr>
          <w:rFonts w:ascii="Times New Roman" w:hAnsi="Times New Roman" w:cs="Times New Roman"/>
          <w:i/>
          <w:iCs/>
          <w:kern w:val="2"/>
          <w:sz w:val="24"/>
          <w:szCs w:val="24"/>
          <w14:ligatures w14:val="standardContextual"/>
        </w:rPr>
        <w:t>Valamar Riviera</w:t>
      </w:r>
      <w:r w:rsidR="00C06E90" w:rsidRPr="00BE5472">
        <w:rPr>
          <w:rFonts w:ascii="Times New Roman" w:hAnsi="Times New Roman" w:cs="Times New Roman"/>
          <w:kern w:val="2"/>
          <w:sz w:val="24"/>
          <w:szCs w:val="24"/>
          <w14:ligatures w14:val="standardContextual"/>
        </w:rPr>
        <w:t xml:space="preserve"> dat je u </w:t>
      </w:r>
      <w:r w:rsidR="00127A4E">
        <w:rPr>
          <w:rFonts w:ascii="Times New Roman" w:hAnsi="Times New Roman" w:cs="Times New Roman"/>
          <w:kern w:val="2"/>
          <w:sz w:val="24"/>
          <w:szCs w:val="24"/>
          <w14:ligatures w14:val="standardContextual"/>
        </w:rPr>
        <w:t>Tablici</w:t>
      </w:r>
      <w:r w:rsidR="00C06E90" w:rsidRPr="00BE5472">
        <w:rPr>
          <w:rFonts w:ascii="Times New Roman" w:hAnsi="Times New Roman" w:cs="Times New Roman"/>
          <w:kern w:val="2"/>
          <w:sz w:val="24"/>
          <w:szCs w:val="24"/>
          <w14:ligatures w14:val="standardContextual"/>
        </w:rPr>
        <w:t xml:space="preserve"> 6</w:t>
      </w:r>
      <w:r w:rsidR="003D46C7">
        <w:rPr>
          <w:rFonts w:ascii="Times New Roman" w:hAnsi="Times New Roman" w:cs="Times New Roman"/>
          <w:kern w:val="2"/>
          <w:sz w:val="24"/>
          <w:szCs w:val="24"/>
          <w14:ligatures w14:val="standardContextual"/>
        </w:rPr>
        <w:t>.</w:t>
      </w:r>
    </w:p>
    <w:p w14:paraId="04467EB1" w14:textId="77777777" w:rsidR="003D46C7" w:rsidRPr="00BE5472" w:rsidRDefault="003D46C7" w:rsidP="006E052A">
      <w:pPr>
        <w:spacing w:line="360" w:lineRule="auto"/>
        <w:jc w:val="both"/>
        <w:rPr>
          <w:rFonts w:ascii="Times New Roman" w:hAnsi="Times New Roman" w:cs="Times New Roman"/>
          <w:kern w:val="2"/>
          <w:sz w:val="24"/>
          <w:szCs w:val="24"/>
          <w14:ligatures w14:val="standardContextual"/>
        </w:rPr>
      </w:pPr>
    </w:p>
    <w:p w14:paraId="06B4AADF" w14:textId="77777777" w:rsidR="00BF28D2" w:rsidRPr="00BE5472" w:rsidRDefault="00BF28D2" w:rsidP="006E052A">
      <w:pPr>
        <w:spacing w:line="360" w:lineRule="auto"/>
        <w:jc w:val="both"/>
        <w:rPr>
          <w:rFonts w:ascii="Times New Roman" w:hAnsi="Times New Roman" w:cs="Times New Roman"/>
          <w:kern w:val="2"/>
          <w:sz w:val="24"/>
          <w:szCs w:val="24"/>
          <w14:ligatures w14:val="standardContextual"/>
        </w:rPr>
      </w:pPr>
    </w:p>
    <w:p w14:paraId="24484900" w14:textId="3C3DFA59" w:rsidR="006E052A" w:rsidRPr="004756DA" w:rsidRDefault="004756DA" w:rsidP="004756DA">
      <w:pPr>
        <w:pStyle w:val="Caption"/>
        <w:rPr>
          <w:rFonts w:ascii="Times New Roman" w:hAnsi="Times New Roman" w:cs="Times New Roman"/>
          <w:kern w:val="2"/>
          <w:sz w:val="24"/>
          <w:szCs w:val="24"/>
          <w14:ligatures w14:val="standardContextual"/>
        </w:rPr>
      </w:pPr>
      <w:bookmarkStart w:id="81" w:name="_Toc241865200"/>
      <w:r w:rsidRPr="004756DA">
        <w:rPr>
          <w:rFonts w:ascii="Times New Roman" w:hAnsi="Times New Roman" w:cs="Times New Roman"/>
          <w:sz w:val="24"/>
          <w:szCs w:val="24"/>
        </w:rPr>
        <w:lastRenderedPageBreak/>
        <w:t xml:space="preserve">Tablica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Tablica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6</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xml:space="preserve">: </w:t>
      </w:r>
      <w:r w:rsidR="005A0FD1" w:rsidRPr="004756DA">
        <w:rPr>
          <w:rFonts w:ascii="Times New Roman" w:hAnsi="Times New Roman" w:cs="Times New Roman"/>
          <w:kern w:val="2"/>
          <w:sz w:val="24"/>
          <w:szCs w:val="24"/>
          <w14:ligatures w14:val="standardContextual"/>
        </w:rPr>
        <w:t>Temeljne vrijednosti</w:t>
      </w:r>
      <w:r w:rsidR="00734DD8" w:rsidRPr="004756DA">
        <w:rPr>
          <w:rFonts w:ascii="Times New Roman" w:hAnsi="Times New Roman" w:cs="Times New Roman"/>
          <w:kern w:val="2"/>
          <w:sz w:val="24"/>
          <w:szCs w:val="24"/>
          <w14:ligatures w14:val="standardContextual"/>
        </w:rPr>
        <w:t>, dugoročni cilj, vizija</w:t>
      </w:r>
      <w:r w:rsidR="00B72CC5" w:rsidRPr="004756DA">
        <w:rPr>
          <w:rFonts w:ascii="Times New Roman" w:hAnsi="Times New Roman" w:cs="Times New Roman"/>
          <w:kern w:val="2"/>
          <w:sz w:val="24"/>
          <w:szCs w:val="24"/>
          <w14:ligatures w14:val="standardContextual"/>
        </w:rPr>
        <w:t xml:space="preserve"> i misija poduzeća Valamar Riviera</w:t>
      </w:r>
      <w:bookmarkEnd w:id="81"/>
    </w:p>
    <w:tbl>
      <w:tblPr>
        <w:tblStyle w:val="TableGrid"/>
        <w:tblW w:w="0" w:type="auto"/>
        <w:tblLook w:val="04A0" w:firstRow="1" w:lastRow="0" w:firstColumn="1" w:lastColumn="0" w:noHBand="0" w:noVBand="1"/>
      </w:tblPr>
      <w:tblGrid>
        <w:gridCol w:w="1857"/>
        <w:gridCol w:w="7205"/>
      </w:tblGrid>
      <w:tr w:rsidR="00BF28D2" w:rsidRPr="00BE5472" w14:paraId="487FF0C9" w14:textId="77777777" w:rsidTr="003C2F5B">
        <w:tc>
          <w:tcPr>
            <w:tcW w:w="1857" w:type="dxa"/>
            <w:vAlign w:val="center"/>
          </w:tcPr>
          <w:p w14:paraId="654719A8" w14:textId="77777777" w:rsidR="00BF28D2" w:rsidRPr="00BE5472" w:rsidRDefault="00BF28D2" w:rsidP="003C2F5B">
            <w:pPr>
              <w:jc w:val="center"/>
              <w:rPr>
                <w:rFonts w:ascii="Times New Roman" w:hAnsi="Times New Roman" w:cs="Times New Roman"/>
              </w:rPr>
            </w:pPr>
            <w:r w:rsidRPr="00BE5472">
              <w:rPr>
                <w:rFonts w:ascii="Times New Roman" w:hAnsi="Times New Roman" w:cs="Times New Roman"/>
                <w:b/>
                <w:bCs/>
                <w:sz w:val="24"/>
                <w:szCs w:val="24"/>
              </w:rPr>
              <w:t>VIZIJA</w:t>
            </w:r>
          </w:p>
        </w:tc>
        <w:tc>
          <w:tcPr>
            <w:tcW w:w="7205" w:type="dxa"/>
          </w:tcPr>
          <w:p w14:paraId="73B02B74" w14:textId="77777777" w:rsidR="00BF28D2" w:rsidRPr="00BE5472" w:rsidRDefault="00BF28D2" w:rsidP="003C2F5B">
            <w:pPr>
              <w:rPr>
                <w:rFonts w:ascii="Times New Roman" w:hAnsi="Times New Roman" w:cs="Times New Roman"/>
              </w:rPr>
            </w:pPr>
            <w:r w:rsidRPr="00BE5472">
              <w:rPr>
                <w:rFonts w:ascii="Times New Roman" w:hAnsi="Times New Roman" w:cs="Times New Roman"/>
                <w:sz w:val="24"/>
                <w:szCs w:val="24"/>
              </w:rPr>
              <w:t>Savršen odmor, svaki dan, za svakog gosta.</w:t>
            </w:r>
          </w:p>
        </w:tc>
      </w:tr>
      <w:tr w:rsidR="00BF28D2" w:rsidRPr="00BE5472" w14:paraId="283093AC" w14:textId="77777777" w:rsidTr="003C2F5B">
        <w:tc>
          <w:tcPr>
            <w:tcW w:w="1857" w:type="dxa"/>
            <w:vAlign w:val="center"/>
          </w:tcPr>
          <w:p w14:paraId="6F451B5E" w14:textId="77777777" w:rsidR="00BF28D2" w:rsidRPr="00BE5472" w:rsidRDefault="00BF28D2" w:rsidP="003C2F5B">
            <w:pPr>
              <w:jc w:val="center"/>
              <w:rPr>
                <w:rFonts w:ascii="Times New Roman" w:hAnsi="Times New Roman" w:cs="Times New Roman"/>
              </w:rPr>
            </w:pPr>
            <w:r w:rsidRPr="00BE5472">
              <w:rPr>
                <w:rFonts w:ascii="Times New Roman" w:hAnsi="Times New Roman" w:cs="Times New Roman"/>
                <w:b/>
                <w:bCs/>
                <w:sz w:val="24"/>
                <w:szCs w:val="24"/>
              </w:rPr>
              <w:t>MISIJA</w:t>
            </w:r>
          </w:p>
        </w:tc>
        <w:tc>
          <w:tcPr>
            <w:tcW w:w="7205" w:type="dxa"/>
          </w:tcPr>
          <w:p w14:paraId="4937E8DF" w14:textId="3B25A697" w:rsidR="00BF28D2" w:rsidRPr="00BE5472" w:rsidRDefault="00BF28D2" w:rsidP="00120B4F">
            <w:pPr>
              <w:numPr>
                <w:ilvl w:val="0"/>
                <w:numId w:val="8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Lider u odmorišnom turizmu</w:t>
            </w:r>
            <w:r w:rsidR="00E40189"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E40189" w:rsidRPr="00BE5472">
              <w:rPr>
                <w:rFonts w:ascii="Times New Roman" w:hAnsi="Times New Roman" w:cs="Times New Roman"/>
                <w:sz w:val="24"/>
                <w:szCs w:val="24"/>
              </w:rPr>
              <w:t>̶</w:t>
            </w:r>
            <w:r w:rsidRPr="00BE5472">
              <w:rPr>
                <w:rFonts w:ascii="Times New Roman" w:hAnsi="Times New Roman" w:cs="Times New Roman"/>
                <w:sz w:val="24"/>
                <w:szCs w:val="24"/>
              </w:rPr>
              <w:t xml:space="preserve"> Biti lider u odmorišnom turizmu i partner turističkim destinacijama u kreiranju autentičnih doživljaja. </w:t>
            </w:r>
          </w:p>
          <w:p w14:paraId="00ED9971" w14:textId="34DCB70A" w:rsidR="00BF28D2" w:rsidRPr="00BE5472" w:rsidRDefault="00BF28D2" w:rsidP="00120B4F">
            <w:pPr>
              <w:numPr>
                <w:ilvl w:val="0"/>
                <w:numId w:val="8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Zaposlenici i gosti na prvom mjestu</w:t>
            </w:r>
            <w:r w:rsidR="00E40189"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E40189"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E40189"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Stvaranje poticajne korporativne kulture u kojoj su gosti i zaposlenici na prvom mjestu. </w:t>
            </w:r>
          </w:p>
          <w:p w14:paraId="36244324" w14:textId="3AC6D828" w:rsidR="00BF28D2" w:rsidRPr="00BE5472" w:rsidRDefault="00BF28D2" w:rsidP="00120B4F">
            <w:pPr>
              <w:numPr>
                <w:ilvl w:val="0"/>
                <w:numId w:val="8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Nova vrijednost za sve dionike</w:t>
            </w:r>
            <w:r w:rsidR="00E40189"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E40189"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r w:rsidR="00E40189" w:rsidRPr="00BE5472">
              <w:rPr>
                <w:rFonts w:ascii="Times New Roman" w:hAnsi="Times New Roman" w:cs="Times New Roman"/>
                <w:sz w:val="24"/>
                <w:szCs w:val="24"/>
              </w:rPr>
              <w:t xml:space="preserve"> </w:t>
            </w:r>
            <w:r w:rsidRPr="00BE5472">
              <w:rPr>
                <w:rFonts w:ascii="Times New Roman" w:hAnsi="Times New Roman" w:cs="Times New Roman"/>
                <w:sz w:val="24"/>
                <w:szCs w:val="24"/>
              </w:rPr>
              <w:t>Odgovornim poslovanjem stvaranje nove vrijednosti za dioničare vodeći brigu o održivom razvoju i lokalnim zajednicama.</w:t>
            </w:r>
          </w:p>
        </w:tc>
      </w:tr>
      <w:tr w:rsidR="00BF28D2" w:rsidRPr="00BE5472" w14:paraId="4845C084" w14:textId="77777777" w:rsidTr="003C2F5B">
        <w:tc>
          <w:tcPr>
            <w:tcW w:w="1857" w:type="dxa"/>
            <w:vAlign w:val="center"/>
          </w:tcPr>
          <w:p w14:paraId="6A9DF962" w14:textId="77777777" w:rsidR="00BF28D2" w:rsidRPr="00BE5472" w:rsidRDefault="00BF28D2" w:rsidP="003C2F5B">
            <w:pPr>
              <w:jc w:val="center"/>
              <w:rPr>
                <w:rFonts w:ascii="Times New Roman" w:hAnsi="Times New Roman" w:cs="Times New Roman"/>
              </w:rPr>
            </w:pPr>
            <w:r w:rsidRPr="00BE5472">
              <w:rPr>
                <w:rFonts w:ascii="Times New Roman" w:hAnsi="Times New Roman" w:cs="Times New Roman"/>
                <w:b/>
                <w:bCs/>
                <w:sz w:val="24"/>
                <w:szCs w:val="24"/>
              </w:rPr>
              <w:t>TEMELJNE VRIJEDNOSTI</w:t>
            </w:r>
          </w:p>
        </w:tc>
        <w:tc>
          <w:tcPr>
            <w:tcW w:w="7205" w:type="dxa"/>
          </w:tcPr>
          <w:p w14:paraId="497524E1" w14:textId="77777777" w:rsidR="00BF28D2" w:rsidRPr="00BE5472" w:rsidRDefault="00BF28D2" w:rsidP="00120B4F">
            <w:pPr>
              <w:numPr>
                <w:ilvl w:val="0"/>
                <w:numId w:val="8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bCs/>
                <w:i/>
                <w:sz w:val="24"/>
                <w:szCs w:val="24"/>
              </w:rPr>
              <w:t>Gostoljubivost</w:t>
            </w:r>
            <w:r w:rsidRPr="00BE5472">
              <w:rPr>
                <w:rFonts w:ascii="Times New Roman" w:hAnsi="Times New Roman" w:cs="Times New Roman"/>
                <w:b/>
                <w:bCs/>
                <w:sz w:val="24"/>
                <w:szCs w:val="24"/>
              </w:rPr>
              <w:t xml:space="preserve">  </w:t>
            </w:r>
            <w:r w:rsidRPr="00BE5472">
              <w:rPr>
                <w:rFonts w:ascii="Times New Roman" w:hAnsi="Times New Roman" w:cs="Times New Roman"/>
                <w:sz w:val="24"/>
                <w:szCs w:val="24"/>
              </w:rPr>
              <w:br/>
              <w:t>Naši se gosti uvijek osjećaju dobrodošli i iznimno cijenjeni.</w:t>
            </w:r>
          </w:p>
          <w:p w14:paraId="2E14A461" w14:textId="77777777" w:rsidR="00BF28D2" w:rsidRPr="00BE5472" w:rsidRDefault="00BF28D2" w:rsidP="00120B4F">
            <w:pPr>
              <w:numPr>
                <w:ilvl w:val="0"/>
                <w:numId w:val="86"/>
              </w:numPr>
              <w:spacing w:line="360" w:lineRule="auto"/>
              <w:contextualSpacing/>
              <w:jc w:val="both"/>
              <w:rPr>
                <w:rFonts w:ascii="Times New Roman" w:hAnsi="Times New Roman" w:cs="Times New Roman"/>
                <w:sz w:val="24"/>
                <w:szCs w:val="24"/>
                <w:lang w:val="it-IT"/>
              </w:rPr>
            </w:pPr>
            <w:r w:rsidRPr="00BE5472">
              <w:rPr>
                <w:rFonts w:ascii="Times New Roman" w:hAnsi="Times New Roman" w:cs="Times New Roman"/>
                <w:i/>
                <w:sz w:val="24"/>
                <w:szCs w:val="24"/>
                <w:lang w:val="it-IT"/>
              </w:rPr>
              <w:t>Ambicioznost</w:t>
            </w:r>
            <w:r w:rsidRPr="00BE5472">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br/>
              <w:t>Postavljamo si izazovne ciljeve te stremimo izvrsnosti u svemu što radimo.</w:t>
            </w:r>
          </w:p>
          <w:p w14:paraId="68F2F281" w14:textId="7B09A2DF" w:rsidR="00BF28D2" w:rsidRPr="00BE5472" w:rsidRDefault="00BF28D2" w:rsidP="00120B4F">
            <w:pPr>
              <w:numPr>
                <w:ilvl w:val="0"/>
                <w:numId w:val="86"/>
              </w:numPr>
              <w:spacing w:line="360" w:lineRule="auto"/>
              <w:contextualSpacing/>
              <w:jc w:val="both"/>
              <w:rPr>
                <w:rFonts w:ascii="Times New Roman" w:hAnsi="Times New Roman" w:cs="Times New Roman"/>
                <w:sz w:val="24"/>
                <w:szCs w:val="24"/>
                <w:lang w:val="it-IT"/>
              </w:rPr>
            </w:pPr>
            <w:r w:rsidRPr="00BE5472">
              <w:rPr>
                <w:rFonts w:ascii="Times New Roman" w:hAnsi="Times New Roman" w:cs="Times New Roman"/>
                <w:bCs/>
                <w:i/>
                <w:sz w:val="24"/>
                <w:szCs w:val="24"/>
                <w:lang w:val="it-IT"/>
              </w:rPr>
              <w:t>Odgovornost</w:t>
            </w:r>
            <w:r w:rsidRPr="00BE5472">
              <w:rPr>
                <w:rFonts w:ascii="Times New Roman" w:hAnsi="Times New Roman" w:cs="Times New Roman"/>
                <w:b/>
                <w:bCs/>
                <w:sz w:val="24"/>
                <w:szCs w:val="24"/>
                <w:lang w:val="it-IT"/>
              </w:rPr>
              <w:t xml:space="preserve"> </w:t>
            </w:r>
            <w:r w:rsidRPr="00BE5472">
              <w:rPr>
                <w:rFonts w:ascii="Times New Roman" w:hAnsi="Times New Roman" w:cs="Times New Roman"/>
                <w:sz w:val="24"/>
                <w:szCs w:val="24"/>
                <w:lang w:val="it-IT"/>
              </w:rPr>
              <w:br/>
              <w:t>Odgovorni smo i vjerodostojni prema poslovnim partnerima, pažljiv smo poslodavac koji</w:t>
            </w:r>
            <w:r w:rsidR="00E40189" w:rsidRPr="00BE5472">
              <w:rPr>
                <w:rFonts w:ascii="Times New Roman" w:hAnsi="Times New Roman" w:cs="Times New Roman"/>
                <w:sz w:val="24"/>
                <w:szCs w:val="24"/>
                <w:lang w:val="it-IT"/>
              </w:rPr>
              <w:t xml:space="preserve"> se</w:t>
            </w:r>
            <w:r w:rsidRPr="00BE5472">
              <w:rPr>
                <w:rFonts w:ascii="Times New Roman" w:hAnsi="Times New Roman" w:cs="Times New Roman"/>
                <w:sz w:val="24"/>
                <w:szCs w:val="24"/>
                <w:lang w:val="it-IT"/>
              </w:rPr>
              <w:t xml:space="preserve"> brine o svojim zaposlenicima, pružamo podršku društvenoj zajednici i posvećeni smo očuvanju okoliša.</w:t>
            </w:r>
          </w:p>
          <w:p w14:paraId="4B4E33D3" w14:textId="77777777" w:rsidR="00BF28D2" w:rsidRPr="00BE5472" w:rsidRDefault="00BF28D2" w:rsidP="00120B4F">
            <w:pPr>
              <w:numPr>
                <w:ilvl w:val="0"/>
                <w:numId w:val="86"/>
              </w:numPr>
              <w:spacing w:line="360" w:lineRule="auto"/>
              <w:contextualSpacing/>
              <w:jc w:val="both"/>
              <w:rPr>
                <w:rFonts w:ascii="Times New Roman" w:hAnsi="Times New Roman" w:cs="Times New Roman"/>
                <w:sz w:val="24"/>
                <w:szCs w:val="24"/>
                <w:lang w:val="it-IT"/>
              </w:rPr>
            </w:pPr>
            <w:r w:rsidRPr="00BE5472">
              <w:rPr>
                <w:rFonts w:ascii="Times New Roman" w:hAnsi="Times New Roman" w:cs="Times New Roman"/>
                <w:bCs/>
                <w:i/>
                <w:sz w:val="24"/>
                <w:szCs w:val="24"/>
                <w:lang w:val="it-IT"/>
              </w:rPr>
              <w:t>Inovativnost</w:t>
            </w:r>
            <w:r w:rsidRPr="00BE5472">
              <w:rPr>
                <w:rFonts w:ascii="Times New Roman" w:hAnsi="Times New Roman" w:cs="Times New Roman"/>
                <w:b/>
                <w:bCs/>
                <w:sz w:val="24"/>
                <w:szCs w:val="24"/>
                <w:lang w:val="it-IT"/>
              </w:rPr>
              <w:t xml:space="preserve">  </w:t>
            </w:r>
            <w:r w:rsidRPr="00BE5472">
              <w:rPr>
                <w:rFonts w:ascii="Times New Roman" w:hAnsi="Times New Roman" w:cs="Times New Roman"/>
                <w:sz w:val="24"/>
                <w:szCs w:val="24"/>
                <w:lang w:val="it-IT"/>
              </w:rPr>
              <w:br/>
              <w:t>Uvijek smo spremni za promjene i angažirani u traženju prilika za inovacije koje će pridonijeti boljim rezultatima.</w:t>
            </w:r>
          </w:p>
          <w:p w14:paraId="12271440" w14:textId="77777777" w:rsidR="00BF28D2" w:rsidRPr="00BE5472" w:rsidRDefault="00BF28D2" w:rsidP="00120B4F">
            <w:pPr>
              <w:numPr>
                <w:ilvl w:val="0"/>
                <w:numId w:val="86"/>
              </w:numPr>
              <w:spacing w:line="360" w:lineRule="auto"/>
              <w:contextualSpacing/>
              <w:jc w:val="both"/>
              <w:rPr>
                <w:rFonts w:ascii="Times New Roman" w:hAnsi="Times New Roman" w:cs="Times New Roman"/>
                <w:sz w:val="24"/>
                <w:szCs w:val="24"/>
                <w:lang w:val="it-IT"/>
              </w:rPr>
            </w:pPr>
            <w:r w:rsidRPr="00BE5472">
              <w:rPr>
                <w:rFonts w:ascii="Times New Roman" w:hAnsi="Times New Roman" w:cs="Times New Roman"/>
                <w:bCs/>
                <w:i/>
                <w:sz w:val="24"/>
                <w:szCs w:val="24"/>
                <w:lang w:val="it-IT"/>
              </w:rPr>
              <w:t>Ponos</w:t>
            </w:r>
            <w:r w:rsidRPr="00BE5472">
              <w:rPr>
                <w:rFonts w:ascii="Times New Roman" w:hAnsi="Times New Roman" w:cs="Times New Roman"/>
                <w:b/>
                <w:bCs/>
                <w:sz w:val="24"/>
                <w:szCs w:val="24"/>
                <w:lang w:val="it-IT"/>
              </w:rPr>
              <w:t xml:space="preserve">  </w:t>
            </w:r>
            <w:r w:rsidRPr="00BE5472">
              <w:rPr>
                <w:rFonts w:ascii="Times New Roman" w:hAnsi="Times New Roman" w:cs="Times New Roman"/>
                <w:sz w:val="24"/>
                <w:szCs w:val="24"/>
                <w:lang w:val="it-IT"/>
              </w:rPr>
              <w:br/>
              <w:t xml:space="preserve">Ponosni smo na svoje destinacije i uspjehe te na to što smo dio obitelji </w:t>
            </w:r>
            <w:r w:rsidRPr="00BE5472">
              <w:rPr>
                <w:rFonts w:ascii="Times New Roman" w:hAnsi="Times New Roman" w:cs="Times New Roman"/>
                <w:i/>
                <w:iCs/>
                <w:sz w:val="24"/>
                <w:szCs w:val="24"/>
                <w:lang w:val="it-IT"/>
              </w:rPr>
              <w:t>Valamara</w:t>
            </w:r>
            <w:r w:rsidRPr="00BE5472">
              <w:rPr>
                <w:rFonts w:ascii="Times New Roman" w:hAnsi="Times New Roman" w:cs="Times New Roman"/>
                <w:sz w:val="24"/>
                <w:szCs w:val="24"/>
                <w:lang w:val="it-IT"/>
              </w:rPr>
              <w:t>.</w:t>
            </w:r>
          </w:p>
          <w:p w14:paraId="004092A0" w14:textId="77777777" w:rsidR="00BF28D2" w:rsidRPr="00BE5472" w:rsidRDefault="00BF28D2" w:rsidP="003C2F5B">
            <w:pPr>
              <w:rPr>
                <w:rFonts w:ascii="Times New Roman" w:hAnsi="Times New Roman" w:cs="Times New Roman"/>
              </w:rPr>
            </w:pPr>
          </w:p>
        </w:tc>
      </w:tr>
      <w:tr w:rsidR="00BF28D2" w:rsidRPr="00BE5472" w14:paraId="4D8950E8" w14:textId="77777777" w:rsidTr="003C2F5B">
        <w:tc>
          <w:tcPr>
            <w:tcW w:w="1857" w:type="dxa"/>
            <w:vAlign w:val="center"/>
          </w:tcPr>
          <w:p w14:paraId="36F7713B" w14:textId="77777777" w:rsidR="00BF28D2" w:rsidRPr="00BE5472" w:rsidRDefault="00BF28D2" w:rsidP="003C2F5B">
            <w:pPr>
              <w:jc w:val="center"/>
              <w:rPr>
                <w:rFonts w:ascii="Times New Roman" w:hAnsi="Times New Roman" w:cs="Times New Roman"/>
              </w:rPr>
            </w:pPr>
            <w:r w:rsidRPr="00BE5472">
              <w:rPr>
                <w:rFonts w:ascii="Times New Roman" w:hAnsi="Times New Roman" w:cs="Times New Roman"/>
                <w:b/>
                <w:bCs/>
                <w:sz w:val="24"/>
                <w:szCs w:val="24"/>
              </w:rPr>
              <w:t>DUGOROČNI CILJ</w:t>
            </w:r>
          </w:p>
        </w:tc>
        <w:tc>
          <w:tcPr>
            <w:tcW w:w="7205" w:type="dxa"/>
          </w:tcPr>
          <w:p w14:paraId="4DBFAE2A" w14:textId="77777777" w:rsidR="00BF28D2" w:rsidRPr="00BE5472" w:rsidRDefault="00BF28D2" w:rsidP="003C2F5B">
            <w:pPr>
              <w:spacing w:line="360" w:lineRule="auto"/>
              <w:rPr>
                <w:rFonts w:ascii="Times New Roman" w:hAnsi="Times New Roman" w:cs="Times New Roman"/>
              </w:rPr>
            </w:pPr>
            <w:r w:rsidRPr="00BE5472">
              <w:rPr>
                <w:rFonts w:ascii="Times New Roman" w:hAnsi="Times New Roman" w:cs="Times New Roman"/>
                <w:sz w:val="24"/>
                <w:szCs w:val="24"/>
              </w:rPr>
              <w:t xml:space="preserve">Biti lider u inovativnom upravljanju odmorišnim turizmom i kontinuirano stvarati novu vrijednost za goste, zaposlenike, dioničare i lokalne zajednice u destinacijama u kojima poslujemo. </w:t>
            </w:r>
          </w:p>
        </w:tc>
      </w:tr>
    </w:tbl>
    <w:p w14:paraId="4073B6B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Valamar Riviera (2024a). Misija, vizija i temeljne vrijednosti. Preuzeto s: </w:t>
      </w:r>
      <w:hyperlink r:id="rId43" w:history="1">
        <w:r w:rsidRPr="00BE5472">
          <w:rPr>
            <w:rFonts w:ascii="Times New Roman" w:hAnsi="Times New Roman" w:cs="Times New Roman"/>
            <w:color w:val="0563C1" w:themeColor="hyperlink"/>
            <w:kern w:val="2"/>
            <w:sz w:val="24"/>
            <w:szCs w:val="24"/>
            <w:u w:val="single"/>
            <w14:ligatures w14:val="standardContextual"/>
          </w:rPr>
          <w:t>https://valamar-riviera.com/hr/o-nama/misija-vizija-i-temeljne-vrijednosti/</w:t>
        </w:r>
      </w:hyperlink>
      <w:r w:rsidRPr="00BE5472">
        <w:rPr>
          <w:rFonts w:ascii="Times New Roman" w:hAnsi="Times New Roman" w:cs="Times New Roman"/>
          <w:kern w:val="2"/>
          <w:sz w:val="24"/>
          <w:szCs w:val="24"/>
          <w14:ligatures w14:val="standardContextual"/>
        </w:rPr>
        <w:t xml:space="preserve"> Pristupljeno: 11. srpnja 2024.  i </w:t>
      </w:r>
      <w:bookmarkStart w:id="82" w:name="_Hlk171611790"/>
      <w:r w:rsidRPr="00BE5472">
        <w:rPr>
          <w:rFonts w:ascii="Times New Roman" w:hAnsi="Times New Roman" w:cs="Times New Roman"/>
          <w:kern w:val="2"/>
          <w:sz w:val="24"/>
          <w:szCs w:val="24"/>
          <w14:ligatures w14:val="standardContextual"/>
        </w:rPr>
        <w:t xml:space="preserve">Valamar Riviera (2024b). </w:t>
      </w:r>
      <w:r w:rsidRPr="00BE5472">
        <w:rPr>
          <w:rFonts w:ascii="Times New Roman" w:hAnsi="Times New Roman" w:cs="Times New Roman"/>
          <w:i/>
          <w:kern w:val="2"/>
          <w:sz w:val="24"/>
          <w:szCs w:val="24"/>
          <w14:ligatures w14:val="standardContextual"/>
        </w:rPr>
        <w:t>Godišnje izvješće 2023</w:t>
      </w:r>
      <w:r w:rsidRPr="00BE5472">
        <w:rPr>
          <w:rFonts w:ascii="Times New Roman" w:hAnsi="Times New Roman" w:cs="Times New Roman"/>
          <w:kern w:val="2"/>
          <w:sz w:val="24"/>
          <w:szCs w:val="24"/>
          <w14:ligatures w14:val="standardContextual"/>
        </w:rPr>
        <w:t xml:space="preserve">. Poreč: Valamar. </w:t>
      </w:r>
      <w:bookmarkEnd w:id="82"/>
    </w:p>
    <w:p w14:paraId="020C7DD3" w14:textId="17F17199" w:rsidR="00BC3443" w:rsidRPr="00BE5472" w:rsidRDefault="006E052A" w:rsidP="00CF2841">
      <w:pPr>
        <w:spacing w:after="120" w:line="360" w:lineRule="auto"/>
        <w:jc w:val="both"/>
        <w:rPr>
          <w:rFonts w:ascii="Times New Roman" w:hAnsi="Times New Roman" w:cs="Times New Roman"/>
          <w:sz w:val="24"/>
          <w:szCs w:val="24"/>
        </w:rPr>
      </w:pPr>
      <w:r w:rsidRPr="00BE5472">
        <w:rPr>
          <w:rFonts w:ascii="Times New Roman" w:hAnsi="Times New Roman" w:cs="Times New Roman"/>
          <w:b/>
          <w:kern w:val="2"/>
          <w:sz w:val="24"/>
          <w:szCs w:val="24"/>
          <w14:ligatures w14:val="standardContextual"/>
        </w:rPr>
        <w:lastRenderedPageBreak/>
        <w:t>Formuliranje strategije</w:t>
      </w:r>
      <w:r w:rsidRPr="00BE5472">
        <w:rPr>
          <w:rFonts w:ascii="Times New Roman" w:hAnsi="Times New Roman" w:cs="Times New Roman"/>
          <w:kern w:val="2"/>
          <w:sz w:val="24"/>
          <w:szCs w:val="24"/>
          <w14:ligatures w14:val="standardContextual"/>
        </w:rPr>
        <w:t xml:space="preserve"> predstavlja fazu razvoja strategija u kojoj poduzeće razvija konkretne strategije za postizanje postavljenih ciljeva. To može uključivati identifikaciju ključnih inicijativa, projekata ili aktivnosti te pravce razvoja koje će poduzeće provesti kako bi ostvarilo svoju misiju i viziju te postigla svoje ciljeve. U fazi formuliranja strategije  važno je izraditi SWOT (eng. </w:t>
      </w:r>
      <w:r w:rsidRPr="00BE5472">
        <w:rPr>
          <w:rFonts w:ascii="Times New Roman" w:hAnsi="Times New Roman" w:cs="Times New Roman"/>
          <w:i/>
          <w:kern w:val="2"/>
          <w:sz w:val="24"/>
          <w:szCs w:val="24"/>
          <w14:ligatures w14:val="standardContextual"/>
        </w:rPr>
        <w:t>Strenghts, Weaknesses, Opportunities</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kern w:val="2"/>
          <w:sz w:val="24"/>
          <w:szCs w:val="24"/>
          <w14:ligatures w14:val="standardContextual"/>
        </w:rPr>
        <w:t>Threats</w:t>
      </w:r>
      <w:r w:rsidRPr="00BE5472">
        <w:rPr>
          <w:rFonts w:ascii="Times New Roman" w:hAnsi="Times New Roman" w:cs="Times New Roman"/>
          <w:kern w:val="2"/>
          <w:sz w:val="24"/>
          <w:szCs w:val="24"/>
          <w14:ligatures w14:val="standardContextual"/>
        </w:rPr>
        <w:t>) matricu</w:t>
      </w:r>
      <w:r w:rsidR="00E40189"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odnosno</w:t>
      </w:r>
      <w:r w:rsidR="00734FEA"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analizirati trenut</w:t>
      </w:r>
      <w:r w:rsidR="009F3C04" w:rsidRPr="00BE5472">
        <w:rPr>
          <w:rFonts w:ascii="Times New Roman" w:hAnsi="Times New Roman" w:cs="Times New Roman"/>
          <w:kern w:val="2"/>
          <w:sz w:val="24"/>
          <w:szCs w:val="24"/>
          <w14:ligatures w14:val="standardContextual"/>
        </w:rPr>
        <w:t>ač</w:t>
      </w:r>
      <w:r w:rsidRPr="00BE5472">
        <w:rPr>
          <w:rFonts w:ascii="Times New Roman" w:hAnsi="Times New Roman" w:cs="Times New Roman"/>
          <w:kern w:val="2"/>
          <w:sz w:val="24"/>
          <w:szCs w:val="24"/>
          <w14:ligatures w14:val="standardContextual"/>
        </w:rPr>
        <w:t>nu situaciju u kojoj se poduzeće nalazi.  Uključuje analizu unutarnjih čimbenika</w:t>
      </w:r>
      <w:r w:rsidR="00E40189"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što su analiza resursa, kapaciteta, kompetencija, snaga i slabosti poduzeća kako bi se identificirale snage, slabosti, prilike i prijetnje s kojima se poduzeće suočava. Ova faza omogućava poduzeću da stvori temelje za razvoj strategija koje će odgovoriti na promjene u okruženju i iskoristiti prilike za rast i razvoj. Prema Sikavici, Bahtijarević-Šiber i Pološki Vokić (2008, 193) osnovna pitanja u procesu formuliranja strategije na koja menadžment treba odgovoriti su predstavljeni su na Prikazu </w:t>
      </w:r>
      <w:r w:rsidR="00595402" w:rsidRPr="00BE5472">
        <w:rPr>
          <w:rFonts w:ascii="Times New Roman" w:hAnsi="Times New Roman" w:cs="Times New Roman"/>
          <w:kern w:val="2"/>
          <w:sz w:val="24"/>
          <w:szCs w:val="24"/>
          <w14:ligatures w14:val="standardContextual"/>
        </w:rPr>
        <w:t>1</w:t>
      </w:r>
      <w:r w:rsidR="00B11EB4">
        <w:rPr>
          <w:rFonts w:ascii="Times New Roman" w:hAnsi="Times New Roman" w:cs="Times New Roman"/>
          <w:kern w:val="2"/>
          <w:sz w:val="24"/>
          <w:szCs w:val="24"/>
          <w14:ligatures w14:val="standardContextual"/>
        </w:rPr>
        <w:t>3</w:t>
      </w:r>
      <w:r w:rsidRPr="00BE5472">
        <w:rPr>
          <w:rFonts w:ascii="Times New Roman" w:hAnsi="Times New Roman" w:cs="Times New Roman"/>
          <w:kern w:val="2"/>
          <w:sz w:val="24"/>
          <w:szCs w:val="24"/>
          <w14:ligatures w14:val="standardContextual"/>
        </w:rPr>
        <w:t xml:space="preserve">. </w:t>
      </w:r>
    </w:p>
    <w:p w14:paraId="5A24DFD2" w14:textId="436E6CD2" w:rsidR="006E052A" w:rsidRPr="004756DA" w:rsidRDefault="004756DA" w:rsidP="004756DA">
      <w:pPr>
        <w:pStyle w:val="Caption"/>
        <w:rPr>
          <w:rFonts w:ascii="Times New Roman" w:hAnsi="Times New Roman" w:cs="Times New Roman"/>
          <w:kern w:val="2"/>
          <w:sz w:val="24"/>
          <w:szCs w:val="24"/>
          <w14:ligatures w14:val="standardContextual"/>
        </w:rPr>
      </w:pPr>
      <w:bookmarkStart w:id="83" w:name="_Toc241865281"/>
      <w:r w:rsidRPr="004756DA">
        <w:rPr>
          <w:rFonts w:ascii="Times New Roman" w:hAnsi="Times New Roman" w:cs="Times New Roman"/>
          <w:sz w:val="24"/>
          <w:szCs w:val="24"/>
        </w:rPr>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13</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Osnovna pitanja u procesu formuliranja strategije</w:t>
      </w:r>
      <w:bookmarkEnd w:id="83"/>
      <w:r w:rsidR="006E052A" w:rsidRPr="004756DA">
        <w:rPr>
          <w:rFonts w:ascii="Times New Roman" w:hAnsi="Times New Roman" w:cs="Times New Roman"/>
          <w:kern w:val="2"/>
          <w:sz w:val="24"/>
          <w:szCs w:val="24"/>
          <w14:ligatures w14:val="standardContextual"/>
        </w:rPr>
        <w:t xml:space="preserve">  </w:t>
      </w:r>
    </w:p>
    <w:p w14:paraId="53AB52A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noProof/>
          <w:kern w:val="2"/>
          <w:sz w:val="24"/>
          <w:szCs w:val="24"/>
          <w:lang w:eastAsia="hr-HR"/>
          <w14:ligatures w14:val="standardContextual"/>
        </w:rPr>
        <w:drawing>
          <wp:inline distT="0" distB="0" distL="0" distR="0" wp14:anchorId="4D1DC142" wp14:editId="63A95DBF">
            <wp:extent cx="5629275" cy="4095750"/>
            <wp:effectExtent l="0" t="38100" r="0" b="38100"/>
            <wp:docPr id="14" name="Dij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6E8EC8ED" w14:textId="228C3EF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Izvor: Prilago</w:t>
      </w:r>
      <w:r w:rsidR="005A7AD5" w:rsidRPr="00BE5472">
        <w:rPr>
          <w:rFonts w:ascii="Times New Roman" w:hAnsi="Times New Roman" w:cs="Times New Roman"/>
          <w:kern w:val="2"/>
          <w:sz w:val="24"/>
          <w:szCs w:val="24"/>
          <w14:ligatures w14:val="standardContextual"/>
        </w:rPr>
        <w:t>đe</w:t>
      </w:r>
      <w:r w:rsidRPr="00BE5472">
        <w:rPr>
          <w:rFonts w:ascii="Times New Roman" w:hAnsi="Times New Roman" w:cs="Times New Roman"/>
          <w:kern w:val="2"/>
          <w:sz w:val="24"/>
          <w:szCs w:val="24"/>
          <w14:ligatures w14:val="standardContextual"/>
        </w:rPr>
        <w:t xml:space="preserve">no prema: Sikavica, P., Bahtijarević-Šiber, F. i Pološki Vokić, N. (2008.). </w:t>
      </w:r>
      <w:r w:rsidRPr="00BE5472">
        <w:rPr>
          <w:rFonts w:ascii="Times New Roman" w:hAnsi="Times New Roman" w:cs="Times New Roman"/>
          <w:i/>
          <w:iCs/>
          <w:kern w:val="2"/>
          <w:sz w:val="24"/>
          <w:szCs w:val="24"/>
          <w14:ligatures w14:val="standardContextual"/>
        </w:rPr>
        <w:t>Temelji menadžmenta.</w:t>
      </w:r>
      <w:r w:rsidRPr="00BE5472">
        <w:rPr>
          <w:rFonts w:ascii="Times New Roman" w:hAnsi="Times New Roman" w:cs="Times New Roman"/>
          <w:kern w:val="2"/>
          <w:sz w:val="24"/>
          <w:szCs w:val="24"/>
          <w14:ligatures w14:val="standardContextual"/>
        </w:rPr>
        <w:t xml:space="preserve"> Zagreb: Školska knjiga, 193. </w:t>
      </w:r>
    </w:p>
    <w:p w14:paraId="76BF1A64" w14:textId="1DF95D94"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Strategije mogu uključivati različite aspekte poslovanja, uključujući prodaju, marketing, operacije, ljudske resurse, inovacije, financije i druge funkcije organizacije. Ključno je osigurati da strategije budu usklađene s </w:t>
      </w:r>
      <w:r w:rsidR="005A7AD5" w:rsidRPr="00BE5472">
        <w:rPr>
          <w:rFonts w:ascii="Times New Roman" w:hAnsi="Times New Roman" w:cs="Times New Roman"/>
          <w:kern w:val="2"/>
          <w:sz w:val="24"/>
          <w:szCs w:val="24"/>
          <w14:ligatures w14:val="standardContextual"/>
        </w:rPr>
        <w:t xml:space="preserve">vizijom, </w:t>
      </w:r>
      <w:r w:rsidRPr="00BE5472">
        <w:rPr>
          <w:rFonts w:ascii="Times New Roman" w:hAnsi="Times New Roman" w:cs="Times New Roman"/>
          <w:kern w:val="2"/>
          <w:sz w:val="24"/>
          <w:szCs w:val="24"/>
          <w14:ligatures w14:val="standardContextual"/>
        </w:rPr>
        <w:t>misijom i ciljevima poduzeća te da odražavaju i muda</w:t>
      </w:r>
      <w:r w:rsidR="000E4A37" w:rsidRPr="00BE5472">
        <w:rPr>
          <w:rFonts w:ascii="Times New Roman" w:hAnsi="Times New Roman" w:cs="Times New Roman"/>
          <w:kern w:val="2"/>
          <w:sz w:val="24"/>
          <w:szCs w:val="24"/>
          <w14:ligatures w14:val="standardContextual"/>
        </w:rPr>
        <w:t>r</w:t>
      </w:r>
      <w:r w:rsidRPr="00BE5472">
        <w:rPr>
          <w:rFonts w:ascii="Times New Roman" w:hAnsi="Times New Roman" w:cs="Times New Roman"/>
          <w:kern w:val="2"/>
          <w:sz w:val="24"/>
          <w:szCs w:val="24"/>
          <w14:ligatures w14:val="standardContextual"/>
        </w:rPr>
        <w:t xml:space="preserve"> pristup formuliranju strategije: </w:t>
      </w:r>
    </w:p>
    <w:p w14:paraId="1C64568E" w14:textId="77777777" w:rsidR="006E052A" w:rsidRPr="00BE5472" w:rsidRDefault="006E052A" w:rsidP="00120B4F">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Prvi pristup pretpostavlja razvoj </w:t>
      </w:r>
      <w:r w:rsidRPr="00BE5472">
        <w:rPr>
          <w:rFonts w:ascii="Times New Roman" w:hAnsi="Times New Roman" w:cs="Times New Roman"/>
          <w:i/>
          <w:kern w:val="2"/>
          <w:sz w:val="24"/>
          <w:szCs w:val="24"/>
          <w14:ligatures w14:val="standardContextual"/>
        </w:rPr>
        <w:t>planirane ili zamišljene strategije</w:t>
      </w:r>
      <w:r w:rsidRPr="00BE5472">
        <w:rPr>
          <w:rFonts w:ascii="Times New Roman" w:hAnsi="Times New Roman" w:cs="Times New Roman"/>
          <w:kern w:val="2"/>
          <w:sz w:val="24"/>
          <w:szCs w:val="24"/>
          <w14:ligatures w14:val="standardContextual"/>
        </w:rPr>
        <w:t xml:space="preserve"> koja označava strategiju koju je poduzeće odabralo slijediti, a strateški su je menadžeri dobro razradili. </w:t>
      </w:r>
    </w:p>
    <w:p w14:paraId="50595289" w14:textId="77777777" w:rsidR="006E052A" w:rsidRPr="00BE5472" w:rsidRDefault="006E052A" w:rsidP="00120B4F">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Drugi pristup je </w:t>
      </w:r>
      <w:r w:rsidRPr="00BE5472">
        <w:rPr>
          <w:rFonts w:ascii="Times New Roman" w:hAnsi="Times New Roman" w:cs="Times New Roman"/>
          <w:i/>
          <w:kern w:val="2"/>
          <w:sz w:val="24"/>
          <w:szCs w:val="24"/>
          <w14:ligatures w14:val="standardContextual"/>
        </w:rPr>
        <w:t>realizirana strategija</w:t>
      </w:r>
      <w:r w:rsidRPr="00BE5472">
        <w:rPr>
          <w:rFonts w:ascii="Times New Roman" w:hAnsi="Times New Roman" w:cs="Times New Roman"/>
          <w:kern w:val="2"/>
          <w:sz w:val="24"/>
          <w:szCs w:val="24"/>
          <w14:ligatures w14:val="standardContextual"/>
        </w:rPr>
        <w:t xml:space="preserve">, odnosno ona strategija koju poduzeće uistinu provodi. Može biti mnogo razloga zbog kojih namjeravanu strategiju (planiranu, zamišljenu) nije bilo moguće implementirati tako da ona postaje nerealizirana strategija. </w:t>
      </w:r>
    </w:p>
    <w:p w14:paraId="0DC04084" w14:textId="77777777" w:rsidR="006E052A" w:rsidRPr="00BE5472" w:rsidRDefault="006E052A" w:rsidP="00120B4F">
      <w:pPr>
        <w:numPr>
          <w:ilvl w:val="0"/>
          <w:numId w:val="4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Treći pristup nastavlja se na koncept nerealizirane strategije i argumentira da menadžeri, slijedeći svoje iskustvo, znanje i intuiciju razvijaju tzv</w:t>
      </w:r>
      <w:r w:rsidRPr="00BE5472">
        <w:rPr>
          <w:rFonts w:ascii="Times New Roman" w:hAnsi="Times New Roman" w:cs="Times New Roman"/>
          <w:i/>
          <w:kern w:val="2"/>
          <w:sz w:val="24"/>
          <w:szCs w:val="24"/>
          <w14:ligatures w14:val="standardContextual"/>
        </w:rPr>
        <w:t>. strategiju u nastanku</w:t>
      </w:r>
      <w:r w:rsidRPr="00BE5472">
        <w:rPr>
          <w:rFonts w:ascii="Times New Roman" w:hAnsi="Times New Roman" w:cs="Times New Roman"/>
          <w:kern w:val="2"/>
          <w:sz w:val="24"/>
          <w:szCs w:val="24"/>
          <w14:ligatures w14:val="standardContextual"/>
        </w:rPr>
        <w:t xml:space="preserve">. Kada se takva strategija implementira, ona postaje realizirana strategija. </w:t>
      </w:r>
    </w:p>
    <w:p w14:paraId="2377CD44" w14:textId="1F384C5A"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Opisani pristupi pojašnjavaju se na Prikazu </w:t>
      </w:r>
      <w:r w:rsidR="00F37DE1" w:rsidRPr="00BE5472">
        <w:rPr>
          <w:rFonts w:ascii="Times New Roman" w:hAnsi="Times New Roman" w:cs="Times New Roman"/>
          <w:kern w:val="2"/>
          <w:sz w:val="24"/>
          <w:szCs w:val="24"/>
          <w14:ligatures w14:val="standardContextual"/>
        </w:rPr>
        <w:t>1</w:t>
      </w:r>
      <w:r w:rsidR="00B11EB4">
        <w:rPr>
          <w:rFonts w:ascii="Times New Roman" w:hAnsi="Times New Roman" w:cs="Times New Roman"/>
          <w:kern w:val="2"/>
          <w:sz w:val="24"/>
          <w:szCs w:val="24"/>
          <w14:ligatures w14:val="standardContextual"/>
        </w:rPr>
        <w:t>4</w:t>
      </w:r>
      <w:r w:rsidRPr="00BE5472">
        <w:rPr>
          <w:rFonts w:ascii="Times New Roman" w:hAnsi="Times New Roman" w:cs="Times New Roman"/>
          <w:kern w:val="2"/>
          <w:sz w:val="24"/>
          <w:szCs w:val="24"/>
          <w14:ligatures w14:val="standardContextual"/>
        </w:rPr>
        <w:t>.</w:t>
      </w:r>
    </w:p>
    <w:p w14:paraId="460A5DDA" w14:textId="5D236D4D" w:rsidR="006E052A" w:rsidRPr="004756DA" w:rsidRDefault="004756DA" w:rsidP="004756DA">
      <w:pPr>
        <w:pStyle w:val="Caption"/>
        <w:rPr>
          <w:rFonts w:ascii="Times New Roman" w:hAnsi="Times New Roman" w:cs="Times New Roman"/>
          <w:kern w:val="2"/>
          <w:sz w:val="24"/>
          <w:szCs w:val="24"/>
          <w14:ligatures w14:val="standardContextual"/>
        </w:rPr>
      </w:pPr>
      <w:bookmarkStart w:id="84" w:name="_Toc241865282"/>
      <w:r w:rsidRPr="004756DA">
        <w:rPr>
          <w:rFonts w:ascii="Times New Roman" w:hAnsi="Times New Roman" w:cs="Times New Roman"/>
          <w:sz w:val="24"/>
          <w:szCs w:val="24"/>
        </w:rPr>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14</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Namjeravane i strategije u nastanku</w:t>
      </w:r>
      <w:bookmarkEnd w:id="84"/>
      <w:r w:rsidR="006E052A" w:rsidRPr="004756DA">
        <w:rPr>
          <w:rFonts w:ascii="Times New Roman" w:hAnsi="Times New Roman" w:cs="Times New Roman"/>
          <w:kern w:val="2"/>
          <w:sz w:val="24"/>
          <w:szCs w:val="24"/>
          <w14:ligatures w14:val="standardContextual"/>
        </w:rPr>
        <w:t xml:space="preserve"> </w:t>
      </w:r>
    </w:p>
    <w:p w14:paraId="16BF5E39" w14:textId="77777777" w:rsidR="006E052A" w:rsidRPr="00BE5472" w:rsidRDefault="006E052A" w:rsidP="006E052A">
      <w:pPr>
        <w:spacing w:before="100" w:beforeAutospacing="1" w:after="100" w:afterAutospacing="1" w:line="240" w:lineRule="auto"/>
        <w:rPr>
          <w:rFonts w:ascii="Times New Roman" w:eastAsia="Times New Roman" w:hAnsi="Times New Roman" w:cs="Times New Roman"/>
          <w:sz w:val="24"/>
          <w:szCs w:val="24"/>
          <w:lang w:val="en-US"/>
        </w:rPr>
      </w:pPr>
      <w:r w:rsidRPr="00BE5472">
        <w:rPr>
          <w:rFonts w:ascii="Times New Roman" w:eastAsia="Times New Roman" w:hAnsi="Times New Roman" w:cs="Times New Roman"/>
          <w:noProof/>
          <w:sz w:val="24"/>
          <w:szCs w:val="24"/>
          <w:lang w:eastAsia="hr-HR"/>
        </w:rPr>
        <w:drawing>
          <wp:inline distT="0" distB="0" distL="0" distR="0" wp14:anchorId="56D1C487" wp14:editId="486D418A">
            <wp:extent cx="5430805" cy="2324100"/>
            <wp:effectExtent l="247650" t="285750" r="246380" b="285750"/>
            <wp:docPr id="15" name="Slika 15" descr="C:\Users\Korisnik\AppData\Local\Packages\Microsoft.Windows.Photos_8wekyb3d8bbwe\TempState\ShareServiceTempFolder\Nastajanje strategij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risnik\AppData\Local\Packages\Microsoft.Windows.Photos_8wekyb3d8bbwe\TempState\ShareServiceTempFolder\Nastajanje strategija.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47557" cy="2331269"/>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68E650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Prilagođeno prema: Mintzberg, H. i Waters, J. A. (1985). Of Strategies, Deliberate and Emergent. </w:t>
      </w:r>
      <w:r w:rsidRPr="00BE5472">
        <w:rPr>
          <w:rFonts w:ascii="Times New Roman" w:hAnsi="Times New Roman" w:cs="Times New Roman"/>
          <w:i/>
          <w:kern w:val="2"/>
          <w:sz w:val="24"/>
          <w:szCs w:val="24"/>
          <w14:ligatures w14:val="standardContextual"/>
        </w:rPr>
        <w:t xml:space="preserve">Strategic Management Journal, </w:t>
      </w:r>
      <w:r w:rsidRPr="00BE5472">
        <w:rPr>
          <w:rFonts w:ascii="Times New Roman" w:hAnsi="Times New Roman" w:cs="Times New Roman"/>
          <w:kern w:val="2"/>
          <w:sz w:val="24"/>
          <w:szCs w:val="24"/>
          <w14:ligatures w14:val="standardContextual"/>
        </w:rPr>
        <w:t xml:space="preserve">6(3), 257 – 272. </w:t>
      </w:r>
    </w:p>
    <w:p w14:paraId="1647A9FD" w14:textId="77777777" w:rsidR="007F2DBA" w:rsidRDefault="007F2DBA" w:rsidP="006E052A">
      <w:pPr>
        <w:spacing w:line="360" w:lineRule="auto"/>
        <w:jc w:val="both"/>
        <w:rPr>
          <w:rFonts w:ascii="Times New Roman" w:hAnsi="Times New Roman" w:cs="Times New Roman"/>
          <w:kern w:val="2"/>
          <w:sz w:val="24"/>
          <w:szCs w:val="24"/>
          <w14:ligatures w14:val="standardContextual"/>
        </w:rPr>
        <w:sectPr w:rsidR="007F2DBA" w:rsidSect="00D03C2F">
          <w:pgSz w:w="12240" w:h="15840"/>
          <w:pgMar w:top="1440" w:right="1440" w:bottom="1440" w:left="1440" w:header="708" w:footer="708" w:gutter="0"/>
          <w:cols w:space="708"/>
          <w:docGrid w:linePitch="360"/>
        </w:sectPr>
      </w:pPr>
    </w:p>
    <w:p w14:paraId="5FC5CF5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Moguće je razlikovati tri osnovna tipa strategija:</w:t>
      </w:r>
    </w:p>
    <w:p w14:paraId="42AF7593" w14:textId="77777777" w:rsidR="006E052A" w:rsidRPr="00BE5472" w:rsidRDefault="006E052A" w:rsidP="00120B4F">
      <w:pPr>
        <w:numPr>
          <w:ilvl w:val="0"/>
          <w:numId w:val="2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Korporativna strategija</w:t>
      </w:r>
      <w:r w:rsidRPr="00BE5472">
        <w:rPr>
          <w:rFonts w:ascii="Times New Roman" w:hAnsi="Times New Roman" w:cs="Times New Roman"/>
          <w:kern w:val="2"/>
          <w:sz w:val="24"/>
          <w:szCs w:val="24"/>
          <w14:ligatures w14:val="standardContextual"/>
        </w:rPr>
        <w:t xml:space="preserve"> usmjerava cjelokupno poduzeće, određuje industrije ili tržišta na kojima će se natjecati te raspoređuje resurse među različitim poslovnim jedinicama radi stvaranja sinergija među njima. Spajanja i preuzimanja također spadaju u domenu korporativne strategije. Prema Cerović (2003) složeni hotelski sustavi u Hrvatskoj, na najvišim razinama primjenjuju dva pristupa – glavnu strategiju  i poslovni portfolio. Glavna strategija može uključiti tri  različita tipa: strategiju kontinuiteta, strategiju rasta i strategiju upravljanja u kriznim situacijama. Poslovni portfolio je strategija koja se izrađuje kod složenih poduzeća s više različitih djelatnosti (Sikavica, Bahtijarević-Šiber i Pološki Vokić 2008). </w:t>
      </w:r>
    </w:p>
    <w:p w14:paraId="603E5ABF" w14:textId="0EB24842" w:rsidR="006E052A" w:rsidRPr="00BE5472" w:rsidRDefault="006E052A" w:rsidP="006E052A">
      <w:pPr>
        <w:spacing w:line="360" w:lineRule="auto"/>
        <w:ind w:left="720"/>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Primjerice, hotelska grupacija </w:t>
      </w:r>
      <w:r w:rsidRPr="00BE5472">
        <w:rPr>
          <w:rFonts w:ascii="Times New Roman" w:hAnsi="Times New Roman" w:cs="Times New Roman"/>
          <w:i/>
          <w:iCs/>
          <w:kern w:val="2"/>
          <w:sz w:val="24"/>
          <w:szCs w:val="24"/>
          <w14:ligatures w14:val="standardContextual"/>
        </w:rPr>
        <w:t>Mandarin Oriental</w:t>
      </w:r>
      <w:r w:rsidRPr="00BE5472">
        <w:rPr>
          <w:rFonts w:ascii="Times New Roman" w:hAnsi="Times New Roman" w:cs="Times New Roman"/>
          <w:kern w:val="2"/>
          <w:sz w:val="24"/>
          <w:szCs w:val="24"/>
          <w14:ligatures w14:val="standardContextual"/>
        </w:rPr>
        <w:t xml:space="preserve"> je sebi postavila četiri strateška prioriteta (Mandarin Oriental 2023): (1) </w:t>
      </w:r>
      <w:r w:rsidRPr="00BE5472">
        <w:rPr>
          <w:rFonts w:ascii="Times New Roman" w:hAnsi="Times New Roman" w:cs="Times New Roman"/>
          <w:i/>
          <w:kern w:val="2"/>
          <w:sz w:val="24"/>
          <w:szCs w:val="24"/>
          <w14:ligatures w14:val="standardContextual"/>
        </w:rPr>
        <w:t>podizanje razine marke</w:t>
      </w:r>
      <w:r w:rsidRPr="00BE5472">
        <w:rPr>
          <w:rFonts w:ascii="Times New Roman" w:hAnsi="Times New Roman" w:cs="Times New Roman"/>
          <w:kern w:val="2"/>
          <w:sz w:val="24"/>
          <w:szCs w:val="24"/>
          <w14:ligatures w14:val="standardContextual"/>
        </w:rPr>
        <w:t xml:space="preserve">; (2) </w:t>
      </w:r>
      <w:r w:rsidRPr="00BE5472">
        <w:rPr>
          <w:rFonts w:ascii="Times New Roman" w:hAnsi="Times New Roman" w:cs="Times New Roman"/>
          <w:i/>
          <w:kern w:val="2"/>
          <w:sz w:val="24"/>
          <w:szCs w:val="24"/>
          <w14:ligatures w14:val="standardContextual"/>
        </w:rPr>
        <w:t>osnaživanje osnovne djelatnosti</w:t>
      </w:r>
      <w:r w:rsidR="00E40189" w:rsidRPr="00BE5472">
        <w:rPr>
          <w:rFonts w:ascii="Times New Roman" w:hAnsi="Times New Roman" w:cs="Times New Roman"/>
          <w:i/>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 to  korištenjem internih podataka kako bi dobili dublji uvid u svoje objekte i odredili nove strategije za poboljšanu učinkovitost i rast. Podaci koje prikupljaju i analiziraju danas pružaju dodatne povratne informacije o prednostima i nedostacima ponude svakog njihovog hotela. Podaci se koriste  kako bi poboljšali usluge, unaprijedili iskustvo gostiju, poboljšali upravljanje prihodima i učinkovitije provodili marketing; (3) </w:t>
      </w:r>
      <w:r w:rsidRPr="00BE5472">
        <w:rPr>
          <w:rFonts w:ascii="Times New Roman" w:hAnsi="Times New Roman" w:cs="Times New Roman"/>
          <w:i/>
          <w:kern w:val="2"/>
          <w:sz w:val="24"/>
          <w:szCs w:val="24"/>
          <w14:ligatures w14:val="standardContextual"/>
        </w:rPr>
        <w:t>podizanje svojih ljudi</w:t>
      </w:r>
      <w:r w:rsidR="00E40189" w:rsidRPr="00BE5472">
        <w:rPr>
          <w:rFonts w:ascii="Times New Roman" w:hAnsi="Times New Roman" w:cs="Times New Roman"/>
          <w:i/>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w:t>
      </w:r>
      <w:r w:rsidR="00E40189"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w:t>
      </w:r>
      <w:r w:rsidR="00E40189"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evolucija i zaštita njihovog jedinstvenog kulturnog DNK-a i dalje su ključni za osiguranje dosljedne isporuke izvrsnosti usluge, ključnog diferencijatora </w:t>
      </w:r>
      <w:r w:rsidRPr="00BE5472">
        <w:rPr>
          <w:rFonts w:ascii="Times New Roman" w:hAnsi="Times New Roman" w:cs="Times New Roman"/>
          <w:i/>
          <w:iCs/>
          <w:kern w:val="2"/>
          <w:sz w:val="24"/>
          <w:szCs w:val="24"/>
          <w14:ligatures w14:val="standardContextual"/>
        </w:rPr>
        <w:t>Mandarin Orientala</w:t>
      </w:r>
      <w:r w:rsidRPr="00BE5472">
        <w:rPr>
          <w:rFonts w:ascii="Times New Roman" w:hAnsi="Times New Roman" w:cs="Times New Roman"/>
          <w:kern w:val="2"/>
          <w:sz w:val="24"/>
          <w:szCs w:val="24"/>
          <w14:ligatures w14:val="standardContextual"/>
        </w:rPr>
        <w:t xml:space="preserve">. Fokus grupe je na pridobivanju i zadržavanje pravih talenata, pružanje jedinstvenog iskustva među kolegama te priprema organizacije za rast. Nedavno su pokrenuli digitalnu, interaktivnu platformu za učenje i razvoj. Osim toga, implementirat će model rada ljudskih resursa koji pojednostavljuje tehnološku platformu i preoblikovat će procese kako bi bolje razumjeli svoje talente i podržali organizacijsku agilnost.; (4) </w:t>
      </w:r>
      <w:r w:rsidRPr="00BE5472">
        <w:rPr>
          <w:rFonts w:ascii="Times New Roman" w:hAnsi="Times New Roman" w:cs="Times New Roman"/>
          <w:i/>
          <w:kern w:val="2"/>
          <w:sz w:val="24"/>
          <w:szCs w:val="24"/>
          <w14:ligatures w14:val="standardContextual"/>
        </w:rPr>
        <w:t>iznimna kvaliteta</w:t>
      </w:r>
      <w:r w:rsidR="00E40189" w:rsidRPr="00BE5472">
        <w:rPr>
          <w:rFonts w:ascii="Times New Roman" w:hAnsi="Times New Roman" w:cs="Times New Roman"/>
          <w:i/>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w:t>
      </w:r>
      <w:r w:rsidR="00E40189"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w:t>
      </w:r>
      <w:r w:rsidR="00E40189"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grupa čvrsto vjeruje da je njezina konkurentska prednost u njezinom portfelju jedinstvenih objekata i dosljednoj isporuci izvrsnosti usluge, koja se odlikuje toplim, angažiranim, osobnim interakcijama koje imaju s gostima.</w:t>
      </w:r>
      <w:r w:rsidRPr="00BE5472">
        <w:rPr>
          <w:rFonts w:ascii="Times New Roman" w:hAnsi="Times New Roman" w:cs="Times New Roman"/>
          <w:kern w:val="2"/>
          <w14:ligatures w14:val="standardContextual"/>
        </w:rPr>
        <w:t xml:space="preserve"> </w:t>
      </w:r>
      <w:r w:rsidR="00E40189" w:rsidRPr="00BE5472">
        <w:rPr>
          <w:rFonts w:ascii="Times New Roman" w:hAnsi="Times New Roman" w:cs="Times New Roman"/>
          <w:kern w:val="2"/>
          <w14:ligatures w14:val="standardContextual"/>
        </w:rPr>
        <w:t>S o</w:t>
      </w:r>
      <w:r w:rsidRPr="00BE5472">
        <w:rPr>
          <w:rFonts w:ascii="Times New Roman" w:hAnsi="Times New Roman" w:cs="Times New Roman"/>
          <w:kern w:val="2"/>
          <w:sz w:val="24"/>
          <w:szCs w:val="24"/>
          <w14:ligatures w14:val="standardContextual"/>
        </w:rPr>
        <w:t xml:space="preserve">bzirom </w:t>
      </w:r>
      <w:r w:rsidR="00E40189" w:rsidRPr="00BE5472">
        <w:rPr>
          <w:rFonts w:ascii="Times New Roman" w:hAnsi="Times New Roman" w:cs="Times New Roman"/>
          <w:kern w:val="2"/>
          <w:sz w:val="24"/>
          <w:szCs w:val="24"/>
          <w14:ligatures w14:val="standardContextual"/>
        </w:rPr>
        <w:t xml:space="preserve">na to </w:t>
      </w:r>
      <w:r w:rsidRPr="00BE5472">
        <w:rPr>
          <w:rFonts w:ascii="Times New Roman" w:hAnsi="Times New Roman" w:cs="Times New Roman"/>
          <w:kern w:val="2"/>
          <w:sz w:val="24"/>
          <w:szCs w:val="24"/>
          <w14:ligatures w14:val="standardContextual"/>
        </w:rPr>
        <w:t xml:space="preserve">da planiraju otvaranje 26 novih hotela i rezidencija u sljedećih nekoliko godina, neprestano razvijaju smjernice u području dizajna i tehnologije kako bi stvorili portfelj različitih, visoko privlačnih objekata. Slično </w:t>
      </w:r>
      <w:r w:rsidRPr="00BE5472">
        <w:rPr>
          <w:rFonts w:ascii="Times New Roman" w:hAnsi="Times New Roman" w:cs="Times New Roman"/>
          <w:i/>
          <w:iCs/>
          <w:kern w:val="2"/>
          <w:sz w:val="24"/>
          <w:szCs w:val="24"/>
          <w14:ligatures w14:val="standardContextual"/>
        </w:rPr>
        <w:t>Mandarin Orientalu</w:t>
      </w:r>
      <w:r w:rsidRPr="00BE5472">
        <w:rPr>
          <w:rFonts w:ascii="Times New Roman" w:hAnsi="Times New Roman" w:cs="Times New Roman"/>
          <w:kern w:val="2"/>
          <w:sz w:val="24"/>
          <w:szCs w:val="24"/>
          <w14:ligatures w14:val="standardContextual"/>
        </w:rPr>
        <w:t xml:space="preserve">, hotelsko poduzeće </w:t>
      </w:r>
      <w:r w:rsidRPr="00BE5472">
        <w:rPr>
          <w:rFonts w:ascii="Times New Roman" w:hAnsi="Times New Roman" w:cs="Times New Roman"/>
          <w:i/>
          <w:iCs/>
          <w:kern w:val="2"/>
          <w:sz w:val="24"/>
          <w:szCs w:val="24"/>
          <w14:ligatures w14:val="standardContextual"/>
        </w:rPr>
        <w:t>Valamar</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Riviera</w:t>
      </w:r>
      <w:r w:rsidRPr="00BE5472">
        <w:rPr>
          <w:rFonts w:ascii="Times New Roman" w:hAnsi="Times New Roman" w:cs="Times New Roman"/>
          <w:kern w:val="2"/>
          <w:sz w:val="24"/>
          <w:szCs w:val="24"/>
          <w14:ligatures w14:val="standardContextual"/>
        </w:rPr>
        <w:t xml:space="preserve"> odredilo </w:t>
      </w:r>
      <w:r w:rsidR="00E40189" w:rsidRPr="00BE5472">
        <w:rPr>
          <w:rFonts w:ascii="Times New Roman" w:hAnsi="Times New Roman" w:cs="Times New Roman"/>
          <w:kern w:val="2"/>
          <w:sz w:val="24"/>
          <w:szCs w:val="24"/>
          <w14:ligatures w14:val="standardContextual"/>
        </w:rPr>
        <w:t xml:space="preserve">je </w:t>
      </w:r>
      <w:r w:rsidRPr="00BE5472">
        <w:rPr>
          <w:rFonts w:ascii="Times New Roman" w:hAnsi="Times New Roman" w:cs="Times New Roman"/>
          <w:kern w:val="2"/>
          <w:sz w:val="24"/>
          <w:szCs w:val="24"/>
          <w14:ligatures w14:val="standardContextual"/>
        </w:rPr>
        <w:t xml:space="preserve">održivi turizam kao jedan od svojih strateških prioriteta, a područje je to u koje </w:t>
      </w:r>
      <w:r w:rsidRPr="00BE5472">
        <w:rPr>
          <w:rFonts w:ascii="Times New Roman" w:hAnsi="Times New Roman" w:cs="Times New Roman"/>
          <w:kern w:val="2"/>
          <w:sz w:val="24"/>
          <w:szCs w:val="24"/>
          <w14:ligatures w14:val="standardContextual"/>
        </w:rPr>
        <w:lastRenderedPageBreak/>
        <w:t>ulaže velike napore posljednjih godina. Cilj je ovog hotelskog poduzeća dostići zlatnu razinu ESG</w:t>
      </w:r>
      <w:r w:rsidR="00E40189"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(eng. </w:t>
      </w:r>
      <w:r w:rsidRPr="00BE5472">
        <w:rPr>
          <w:rFonts w:ascii="Times New Roman" w:hAnsi="Times New Roman" w:cs="Times New Roman"/>
          <w:i/>
          <w:kern w:val="2"/>
          <w:sz w:val="24"/>
          <w:szCs w:val="24"/>
          <w14:ligatures w14:val="standardContextual"/>
        </w:rPr>
        <w:t>Environmental, Social and Governance</w:t>
      </w:r>
      <w:r w:rsidRPr="00BE5472">
        <w:rPr>
          <w:rFonts w:ascii="Times New Roman" w:hAnsi="Times New Roman" w:cs="Times New Roman"/>
          <w:kern w:val="2"/>
          <w:sz w:val="24"/>
          <w:szCs w:val="24"/>
          <w14:ligatures w14:val="standardContextual"/>
        </w:rPr>
        <w:t>) rejtinga. Od ostalih strateških prioriteta ističu se: investicije koje doprinose poboljšanju kvalitete usluge, ulaganje u ljudske resurse i izvrsnost, ulaganje u zadovoljstvo gostiju te podizanje kvalitete usluge (Valamar Riviera 2024b: 2-3).</w:t>
      </w:r>
    </w:p>
    <w:p w14:paraId="6418187C" w14:textId="5FA812C8" w:rsidR="006E052A" w:rsidRPr="00BE5472" w:rsidRDefault="006E052A" w:rsidP="00120B4F">
      <w:pPr>
        <w:numPr>
          <w:ilvl w:val="0"/>
          <w:numId w:val="24"/>
        </w:numPr>
        <w:spacing w:line="360" w:lineRule="auto"/>
        <w:contextualSpacing/>
        <w:jc w:val="both"/>
        <w:rPr>
          <w:rFonts w:ascii="Times New Roman" w:hAnsi="Times New Roman" w:cs="Times New Roman"/>
          <w:i/>
          <w:kern w:val="2"/>
          <w:sz w:val="24"/>
          <w:szCs w:val="24"/>
          <w14:ligatures w14:val="standardContextual"/>
        </w:rPr>
      </w:pPr>
      <w:r w:rsidRPr="00BE5472">
        <w:rPr>
          <w:rFonts w:ascii="Times New Roman" w:hAnsi="Times New Roman" w:cs="Times New Roman"/>
          <w:i/>
          <w:kern w:val="2"/>
          <w:sz w:val="24"/>
          <w:szCs w:val="24"/>
          <w14:ligatures w14:val="standardContextual"/>
        </w:rPr>
        <w:t>Poslovna strategija</w:t>
      </w:r>
      <w:r w:rsidRPr="00BE5472">
        <w:rPr>
          <w:rFonts w:ascii="Times New Roman" w:hAnsi="Times New Roman" w:cs="Times New Roman"/>
          <w:kern w:val="2"/>
          <w:sz w:val="24"/>
          <w:szCs w:val="24"/>
          <w14:ligatures w14:val="standardContextual"/>
        </w:rPr>
        <w:t xml:space="preserve"> odnosi se na konkurenciju određene poslovne jedinice ili odjela na odabranom tržištu. Ova strategija obuhvaća pozicioniranje na tržištu, identifikaciju ciljnog tržišta, diferencijaciju od konkurencije i postizanje održive konkurentske prednosti. Relativni položaj poduzeća unutar njegove industrije određuje hoće li profitabilnost poduzeća biti iznad ili ispod prosjeka industrije. Temeljna osnova iznadprosječne profitabilnosti dugoročno je održiva konkurentska prednost. Hotelska se poduzeća suočavaju sa sve žešćom konkurencijom. Zbog toga je hotelskim poduzećima važno donositi odgovarajuće izbore između strategije koju valja odabrati i zadržati u odgovarajućem vremenskom roku i sukladno situaciji u okruženju. Sve se to čini kako bi hotelska poduzeća postigla konkurentsku prednosti na tržištu (Brotherton 1999; Bordean i sur. 2010). Kako Porter (1985: 11 - 15) argumentira, postoje dva osnovna tipa konkurentske prednosti poduzeća: niska cijena ili diferencijacija. Ta dva osnovna tipa konkurentske prednosti, zajedno s čitavim opsegom aktivnosti unutar kojih poduzeće nastoji postići te prednosti, dovode do razvoja tri generičke strategije za postizanje iznadprosječnih rezultata u industriji: troškovno vodstvo, diferencijacija i fokus. Dvije su varijante strategije fokusiranja koje poduzeće može primijeniti: fokus na troškove i fokus na diferencijaciju. Tako Porter ističe ukupno četiri generičke strategije koje poduzeća mogu koristiti za postizanje svojih ciljeva: troškovno vodstvo, diferencijacija te fokusiranje na diferencijaciju ili troškovno vodstvo unutar određene tržišne niše. Mnogi hoteli ili restorani odlučuju se na strategiju troškovnog vodstva pokušavajući svoditi svoje operativne troškove na minimum. Cilj je privući široke segmente gostiju (Harrison i Enz 2005). Ova strategija izravno utječe na poslovne rezultate hotela (Abdul i Basri 2012). Na primjer, hotelski lanac </w:t>
      </w:r>
      <w:r w:rsidRPr="00BE5472">
        <w:rPr>
          <w:rFonts w:ascii="Times New Roman" w:hAnsi="Times New Roman" w:cs="Times New Roman"/>
          <w:i/>
          <w:iCs/>
          <w:kern w:val="2"/>
          <w:sz w:val="24"/>
          <w:szCs w:val="24"/>
          <w14:ligatures w14:val="standardContextual"/>
        </w:rPr>
        <w:t>Tune Hotels</w:t>
      </w:r>
      <w:r w:rsidR="004375E9" w:rsidRPr="00BE5472">
        <w:rPr>
          <w:rFonts w:ascii="Times New Roman" w:hAnsi="Times New Roman" w:cs="Times New Roman"/>
          <w:i/>
          <w:iCs/>
          <w:kern w:val="2"/>
          <w:sz w:val="24"/>
          <w:szCs w:val="24"/>
          <w14:ligatures w14:val="standardContextual"/>
        </w:rPr>
        <w:t>,</w:t>
      </w:r>
      <w:r w:rsidRPr="00BE5472">
        <w:rPr>
          <w:rFonts w:ascii="Times New Roman" w:hAnsi="Times New Roman" w:cs="Times New Roman"/>
          <w:i/>
          <w:iCs/>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koji je vrata svoja prvog hotela otvorio 2007. godine, a danas posluje u Maleziji, Indoneziji, Velikoj Britaniji i drugim zemljama, postiže uspjeh s niskotroškovnim modelom. Njihov poznati moto u mislima kupaca je ponuda hotela s pet zvjezdica po cijeni hotela s jednom zvjezdicom, a sve se temelji na modelu operacija bez </w:t>
      </w:r>
      <w:r w:rsidRPr="00BE5472">
        <w:rPr>
          <w:rFonts w:ascii="Times New Roman" w:hAnsi="Times New Roman" w:cs="Times New Roman"/>
          <w:kern w:val="2"/>
          <w:sz w:val="24"/>
          <w:szCs w:val="24"/>
          <w14:ligatures w14:val="standardContextual"/>
        </w:rPr>
        <w:lastRenderedPageBreak/>
        <w:t xml:space="preserve">previše suvišnih sadržaja. Poslovni model sličan je niskobudžetnim zračnim prijevoznicima (poput </w:t>
      </w:r>
      <w:r w:rsidRPr="00BE5472">
        <w:rPr>
          <w:rFonts w:ascii="Times New Roman" w:hAnsi="Times New Roman" w:cs="Times New Roman"/>
          <w:i/>
          <w:iCs/>
          <w:kern w:val="2"/>
          <w:sz w:val="24"/>
          <w:szCs w:val="24"/>
          <w14:ligatures w14:val="standardContextual"/>
        </w:rPr>
        <w:t>Southwest Airlinesa</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Air Asia</w:t>
      </w:r>
      <w:r w:rsidRPr="00BE5472">
        <w:rPr>
          <w:rFonts w:ascii="Times New Roman" w:hAnsi="Times New Roman" w:cs="Times New Roman"/>
          <w:kern w:val="2"/>
          <w:sz w:val="24"/>
          <w:szCs w:val="24"/>
          <w14:ligatures w14:val="standardContextual"/>
        </w:rPr>
        <w:t xml:space="preserve"> i dr.) jer naplaćuju sve „osim kreveta i kupaonice“ (</w:t>
      </w:r>
      <w:r w:rsidRPr="00BE5472">
        <w:rPr>
          <w:rFonts w:ascii="Times New Roman" w:hAnsi="Times New Roman" w:cs="Times New Roman"/>
          <w:i/>
          <w:kern w:val="2"/>
          <w:sz w:val="24"/>
          <w:szCs w:val="24"/>
          <w14:ligatures w14:val="standardContextual"/>
        </w:rPr>
        <w:t>Tune Hotels</w:t>
      </w:r>
      <w:r w:rsidRPr="00BE5472">
        <w:rPr>
          <w:rFonts w:ascii="Times New Roman" w:hAnsi="Times New Roman" w:cs="Times New Roman"/>
          <w:kern w:val="2"/>
          <w:sz w:val="24"/>
          <w:szCs w:val="24"/>
          <w14:ligatures w14:val="standardContextual"/>
        </w:rPr>
        <w:t xml:space="preserve"> bez dat.). Poduzeća koje se odluče na strategiju diferencijacije mogu razmotriti širi tržišni pristup. Kao primjer mogu poslužiti hotelski lanci poput </w:t>
      </w:r>
      <w:r w:rsidRPr="00BE5472">
        <w:rPr>
          <w:rFonts w:ascii="Times New Roman" w:hAnsi="Times New Roman" w:cs="Times New Roman"/>
          <w:i/>
          <w:iCs/>
          <w:kern w:val="2"/>
          <w:sz w:val="24"/>
          <w:szCs w:val="24"/>
          <w14:ligatures w14:val="standardContextual"/>
        </w:rPr>
        <w:t>Hiltona</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Marriotta</w:t>
      </w:r>
      <w:r w:rsidRPr="00BE5472">
        <w:rPr>
          <w:rFonts w:ascii="Times New Roman" w:hAnsi="Times New Roman" w:cs="Times New Roman"/>
          <w:kern w:val="2"/>
          <w:sz w:val="24"/>
          <w:szCs w:val="24"/>
          <w14:ligatures w14:val="standardContextual"/>
        </w:rPr>
        <w:t>. Ovi se lanci obraćaju različitim tržišnim segmentima različitim markama. Istovremeno, kvaliteta nije narušena jer svaka marka garantira odgovarajuću kvalitetu onoj skupini na tržištu kojoj se i obraća. Hilton danas u svom portfelju ima 24 marke koje se dalje segmentiraju sukladno tržištima kojima se obraća. Tako se izdvajaju luksuzne marke poput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bez dat.) : </w:t>
      </w:r>
      <w:r w:rsidRPr="00BE5472">
        <w:rPr>
          <w:rFonts w:ascii="Times New Roman" w:hAnsi="Times New Roman" w:cs="Times New Roman"/>
          <w:i/>
          <w:iCs/>
          <w:kern w:val="2"/>
          <w:sz w:val="24"/>
          <w:szCs w:val="24"/>
          <w14:ligatures w14:val="standardContextual"/>
        </w:rPr>
        <w:t>Waldorf Astorie Hotels and Resorts</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LXR Hotels</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and</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Resorts</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Conrad Hotels and Resorts</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Signia by Hilton</w:t>
      </w:r>
      <w:r w:rsidRPr="00BE5472">
        <w:rPr>
          <w:rFonts w:ascii="Times New Roman" w:hAnsi="Times New Roman" w:cs="Times New Roman"/>
          <w:kern w:val="2"/>
          <w:sz w:val="24"/>
          <w:szCs w:val="24"/>
          <w14:ligatures w14:val="standardContextual"/>
        </w:rPr>
        <w:t xml:space="preserve">. Hotelsko poduzeće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prepoznaje avanturističke putnike i za njih je prilagodio posebne marke unutar krovne marke „Lokalnog bijega“ (eng. </w:t>
      </w:r>
      <w:r w:rsidRPr="00BE5472">
        <w:rPr>
          <w:rFonts w:ascii="Times New Roman" w:hAnsi="Times New Roman" w:cs="Times New Roman"/>
          <w:i/>
          <w:kern w:val="2"/>
          <w:sz w:val="24"/>
          <w:szCs w:val="24"/>
          <w14:ligatures w14:val="standardContextual"/>
        </w:rPr>
        <w:t>Local Escapes</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Canopy by Hilton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Tempo by Hilton</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Motto by Hilton</w:t>
      </w:r>
      <w:r w:rsidRPr="00BE5472">
        <w:rPr>
          <w:rFonts w:ascii="Times New Roman" w:hAnsi="Times New Roman" w:cs="Times New Roman"/>
          <w:kern w:val="2"/>
          <w:sz w:val="24"/>
          <w:szCs w:val="24"/>
          <w14:ligatures w14:val="standardContextual"/>
        </w:rPr>
        <w:t xml:space="preserve">. Za tržišni segment koji je u potrazi za „Premium iskustvima“ (eng. </w:t>
      </w:r>
      <w:r w:rsidRPr="00BE5472">
        <w:rPr>
          <w:rFonts w:ascii="Times New Roman" w:hAnsi="Times New Roman" w:cs="Times New Roman"/>
          <w:i/>
          <w:kern w:val="2"/>
          <w:sz w:val="24"/>
          <w:szCs w:val="24"/>
          <w14:ligatures w14:val="standardContextual"/>
        </w:rPr>
        <w:t>Premium Experiences</w:t>
      </w:r>
      <w:r w:rsidRPr="00BE5472">
        <w:rPr>
          <w:rFonts w:ascii="Times New Roman" w:hAnsi="Times New Roman" w:cs="Times New Roman"/>
          <w:kern w:val="2"/>
          <w:sz w:val="24"/>
          <w:szCs w:val="24"/>
          <w14:ligatures w14:val="standardContextual"/>
        </w:rPr>
        <w:t xml:space="preserve">) Hilton nudi bogati portfelj sofisticiranih hotela i odmarališta u najživopisnijim gradovima i destinacijama na svijetu: </w:t>
      </w:r>
      <w:r w:rsidRPr="00BE5472">
        <w:rPr>
          <w:rFonts w:ascii="Times New Roman" w:hAnsi="Times New Roman" w:cs="Times New Roman"/>
          <w:i/>
          <w:iCs/>
          <w:kern w:val="2"/>
          <w:sz w:val="24"/>
          <w:szCs w:val="24"/>
          <w14:ligatures w14:val="standardContextual"/>
        </w:rPr>
        <w:t>Hilton Hotels &amp; Resorts</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DoubleTree by Hilton</w:t>
      </w:r>
      <w:r w:rsidRPr="00BE5472">
        <w:rPr>
          <w:rFonts w:ascii="Times New Roman" w:hAnsi="Times New Roman" w:cs="Times New Roman"/>
          <w:kern w:val="2"/>
          <w:sz w:val="24"/>
          <w:szCs w:val="24"/>
          <w14:ligatures w14:val="standardContextual"/>
        </w:rPr>
        <w:t xml:space="preserve">. „Pomno odabrane kolekcije“ (eng. </w:t>
      </w:r>
      <w:r w:rsidRPr="00BE5472">
        <w:rPr>
          <w:rFonts w:ascii="Times New Roman" w:hAnsi="Times New Roman" w:cs="Times New Roman"/>
          <w:i/>
          <w:kern w:val="2"/>
          <w:sz w:val="24"/>
          <w:szCs w:val="24"/>
          <w14:ligatures w14:val="standardContextual"/>
        </w:rPr>
        <w:t>Curated Collections</w:t>
      </w:r>
      <w:r w:rsidRPr="00BE5472">
        <w:rPr>
          <w:rFonts w:ascii="Times New Roman" w:hAnsi="Times New Roman" w:cs="Times New Roman"/>
          <w:kern w:val="2"/>
          <w:sz w:val="24"/>
          <w:szCs w:val="24"/>
          <w14:ligatures w14:val="standardContextual"/>
        </w:rPr>
        <w:t xml:space="preserve">) jedinstveno dizajniranih hotela na izuzetnim lokacijama uključuju: </w:t>
      </w:r>
      <w:r w:rsidRPr="00BE5472">
        <w:rPr>
          <w:rFonts w:ascii="Times New Roman" w:hAnsi="Times New Roman" w:cs="Times New Roman"/>
          <w:i/>
          <w:iCs/>
          <w:kern w:val="2"/>
          <w:sz w:val="24"/>
          <w:szCs w:val="24"/>
          <w14:ligatures w14:val="standardContextual"/>
        </w:rPr>
        <w:t>Curio Collection by Hilton</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Tapestry Collection by Hilton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prepoznaje potrebu određenih tržišnih segmenata za smještajem koji stvara osjećaj vlastitog doma uz dodatne pogodnosti hotelskog boravka pa je portfelj hotelskog poduzeća obogaćen za „</w:t>
      </w:r>
      <w:r w:rsidR="004375E9" w:rsidRPr="00BE5472">
        <w:rPr>
          <w:rFonts w:ascii="Times New Roman" w:hAnsi="Times New Roman" w:cs="Times New Roman"/>
          <w:kern w:val="2"/>
          <w:sz w:val="24"/>
          <w:szCs w:val="24"/>
          <w14:ligatures w14:val="standardContextual"/>
        </w:rPr>
        <w:t>s</w:t>
      </w:r>
      <w:r w:rsidRPr="00BE5472">
        <w:rPr>
          <w:rFonts w:ascii="Times New Roman" w:hAnsi="Times New Roman" w:cs="Times New Roman"/>
          <w:kern w:val="2"/>
          <w:sz w:val="24"/>
          <w:szCs w:val="24"/>
          <w14:ligatures w14:val="standardContextual"/>
        </w:rPr>
        <w:t xml:space="preserve">uite za svakoga“ (eng. </w:t>
      </w:r>
      <w:r w:rsidRPr="00BE5472">
        <w:rPr>
          <w:rFonts w:ascii="Times New Roman" w:hAnsi="Times New Roman" w:cs="Times New Roman"/>
          <w:i/>
          <w:kern w:val="2"/>
          <w:sz w:val="24"/>
          <w:szCs w:val="24"/>
          <w14:ligatures w14:val="standardContextual"/>
        </w:rPr>
        <w:t>A suite for every guest</w:t>
      </w:r>
      <w:r w:rsidRPr="00BE5472">
        <w:rPr>
          <w:rFonts w:ascii="Times New Roman" w:hAnsi="Times New Roman" w:cs="Times New Roman"/>
          <w:kern w:val="2"/>
          <w:sz w:val="24"/>
          <w:szCs w:val="24"/>
          <w14:ligatures w14:val="standardContextual"/>
        </w:rPr>
        <w:t xml:space="preserve">) unutar kojeg se izdvajaju: </w:t>
      </w:r>
      <w:r w:rsidRPr="00BE5472">
        <w:rPr>
          <w:rFonts w:ascii="Times New Roman" w:hAnsi="Times New Roman" w:cs="Times New Roman"/>
          <w:i/>
          <w:iCs/>
          <w:kern w:val="2"/>
          <w:sz w:val="24"/>
          <w:szCs w:val="24"/>
          <w14:ligatures w14:val="standardContextual"/>
        </w:rPr>
        <w:t>Embassy Suites by Hilton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Homewood Suites by Hilton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Home2Suites by Hilton</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LivSmart Studios by Hilton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Hilton Garden Inn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Hampton by Hilton, Tru by Hilton</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Spark by Hilton</w:t>
      </w:r>
      <w:r w:rsidRPr="00BE5472">
        <w:rPr>
          <w:rFonts w:ascii="Times New Roman" w:hAnsi="Times New Roman" w:cs="Times New Roman"/>
          <w:kern w:val="2"/>
          <w:sz w:val="24"/>
          <w:szCs w:val="24"/>
          <w14:ligatures w14:val="standardContextual"/>
        </w:rPr>
        <w:t xml:space="preserve"> marke su kojima se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obraća tržišnom segmentu u potrazi za ekonomskom i premium ekonomskom razinom usluge i cijene. Tako je 2023. godine kreirana marka „</w:t>
      </w:r>
      <w:r w:rsidR="004375E9" w:rsidRPr="00BE5472">
        <w:rPr>
          <w:rFonts w:ascii="Times New Roman" w:hAnsi="Times New Roman" w:cs="Times New Roman"/>
          <w:kern w:val="2"/>
          <w:sz w:val="24"/>
          <w:szCs w:val="24"/>
          <w14:ligatures w14:val="standardContextual"/>
        </w:rPr>
        <w:t>v</w:t>
      </w:r>
      <w:r w:rsidRPr="00BE5472">
        <w:rPr>
          <w:rFonts w:ascii="Times New Roman" w:hAnsi="Times New Roman" w:cs="Times New Roman"/>
          <w:kern w:val="2"/>
          <w:sz w:val="24"/>
          <w:szCs w:val="24"/>
          <w14:ligatures w14:val="standardContextual"/>
        </w:rPr>
        <w:t xml:space="preserve">iših osnova“ (eng. </w:t>
      </w:r>
      <w:r w:rsidRPr="00BE5472">
        <w:rPr>
          <w:rFonts w:ascii="Times New Roman" w:hAnsi="Times New Roman" w:cs="Times New Roman"/>
          <w:i/>
          <w:kern w:val="2"/>
          <w:sz w:val="24"/>
          <w:szCs w:val="24"/>
          <w14:ligatures w14:val="standardContextual"/>
        </w:rPr>
        <w:t>Elevated Essentials</w:t>
      </w:r>
      <w:r w:rsidRPr="00BE5472">
        <w:rPr>
          <w:rFonts w:ascii="Times New Roman" w:hAnsi="Times New Roman" w:cs="Times New Roman"/>
          <w:kern w:val="2"/>
          <w:sz w:val="24"/>
          <w:szCs w:val="24"/>
          <w14:ligatures w14:val="standardContextual"/>
        </w:rPr>
        <w:t xml:space="preserve">). Hotelsko poduzeće </w:t>
      </w:r>
      <w:r w:rsidRPr="00BE5472">
        <w:rPr>
          <w:rFonts w:ascii="Times New Roman" w:hAnsi="Times New Roman" w:cs="Times New Roman"/>
          <w:i/>
          <w:iCs/>
          <w:kern w:val="2"/>
          <w:sz w:val="24"/>
          <w:szCs w:val="24"/>
          <w14:ligatures w14:val="standardContextual"/>
        </w:rPr>
        <w:t>Marriot</w:t>
      </w:r>
      <w:r w:rsidRPr="00BE5472">
        <w:rPr>
          <w:rFonts w:ascii="Times New Roman" w:hAnsi="Times New Roman" w:cs="Times New Roman"/>
          <w:kern w:val="2"/>
          <w:sz w:val="24"/>
          <w:szCs w:val="24"/>
          <w14:ligatures w14:val="standardContextual"/>
        </w:rPr>
        <w:t xml:space="preserve"> ima preko 30 marki segmentiranih unutar </w:t>
      </w:r>
      <w:r w:rsidR="004375E9" w:rsidRPr="00BE5472">
        <w:rPr>
          <w:rFonts w:ascii="Times New Roman" w:hAnsi="Times New Roman" w:cs="Times New Roman"/>
          <w:kern w:val="2"/>
          <w:sz w:val="24"/>
          <w:szCs w:val="24"/>
          <w14:ligatures w14:val="standardContextual"/>
        </w:rPr>
        <w:t>pet</w:t>
      </w:r>
      <w:r w:rsidRPr="00BE5472">
        <w:rPr>
          <w:rFonts w:ascii="Times New Roman" w:hAnsi="Times New Roman" w:cs="Times New Roman"/>
          <w:kern w:val="2"/>
          <w:sz w:val="24"/>
          <w:szCs w:val="24"/>
          <w14:ligatures w14:val="standardContextual"/>
        </w:rPr>
        <w:t xml:space="preserve"> kategorija sukladno tržišnim skupinama kojima se obraćaju. Tako se izdvajaju sljedeće marke (</w:t>
      </w:r>
      <w:r w:rsidRPr="00BE5472">
        <w:rPr>
          <w:rFonts w:ascii="Times New Roman" w:hAnsi="Times New Roman" w:cs="Times New Roman"/>
          <w:i/>
          <w:iCs/>
          <w:kern w:val="2"/>
          <w:sz w:val="24"/>
          <w:szCs w:val="24"/>
          <w14:ligatures w14:val="standardContextual"/>
        </w:rPr>
        <w:t>Marriot</w:t>
      </w:r>
      <w:r w:rsidRPr="00BE5472">
        <w:rPr>
          <w:rFonts w:ascii="Times New Roman" w:hAnsi="Times New Roman" w:cs="Times New Roman"/>
          <w:kern w:val="2"/>
          <w:sz w:val="24"/>
          <w:szCs w:val="24"/>
          <w14:ligatures w14:val="standardContextual"/>
        </w:rPr>
        <w:t xml:space="preserve">, bez dat.): </w:t>
      </w:r>
      <w:r w:rsidRPr="00BE5472">
        <w:rPr>
          <w:rFonts w:ascii="Times New Roman" w:hAnsi="Times New Roman" w:cs="Times New Roman"/>
          <w:i/>
          <w:kern w:val="2"/>
          <w:sz w:val="24"/>
          <w:szCs w:val="24"/>
          <w14:ligatures w14:val="standardContextual"/>
        </w:rPr>
        <w:t>luksuzni hoteli</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Ritz Carlton, St. Regis, JW Marriot, Ritz Carlton Reserve, The Luxury Collection, W Hotels</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Edition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premium hoteli</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 xml:space="preserve">Marriot Hotels, Sheraton, The Marriott Vacation Clubs Delta Hotels by Marriott, Westin, </w:t>
      </w:r>
      <w:r w:rsidR="004375E9" w:rsidRPr="00BE5472">
        <w:rPr>
          <w:rFonts w:ascii="Times New Roman" w:hAnsi="Times New Roman" w:cs="Times New Roman"/>
          <w:i/>
          <w:iCs/>
          <w:kern w:val="2"/>
          <w:sz w:val="24"/>
          <w:szCs w:val="24"/>
          <w14:ligatures w14:val="standardContextual"/>
        </w:rPr>
        <w:t>El</w:t>
      </w:r>
      <w:r w:rsidRPr="00BE5472">
        <w:rPr>
          <w:rFonts w:ascii="Times New Roman" w:hAnsi="Times New Roman" w:cs="Times New Roman"/>
          <w:i/>
          <w:iCs/>
          <w:kern w:val="2"/>
          <w:sz w:val="24"/>
          <w:szCs w:val="24"/>
          <w14:ligatures w14:val="standardContextual"/>
        </w:rPr>
        <w:t xml:space="preserve"> Méridien, Renaissance Hotels</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Gaylord Hotels</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selektirani hoteli</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 xml:space="preserve">Courtyard, Four Points​, SpringHill Suites, Fairfield </w:t>
      </w:r>
      <w:r w:rsidRPr="00BE5472">
        <w:rPr>
          <w:rFonts w:ascii="Times New Roman" w:hAnsi="Times New Roman" w:cs="Times New Roman"/>
          <w:i/>
          <w:iCs/>
          <w:kern w:val="2"/>
          <w:sz w:val="24"/>
          <w:szCs w:val="24"/>
          <w14:ligatures w14:val="standardContextual"/>
        </w:rPr>
        <w:lastRenderedPageBreak/>
        <w:t>Inn &amp; Suites, AC Hotels, Aloft Hotels, Moxy Hotels, Protea​ Hotels, City Express i Four Points Express by Sheraton</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hoteli za</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duži boravak</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Residence Inn, TownePlace Suites, Element Hotels, Homes &amp; Villas by Marriott Bonvoy, Apartments by Marriott Bonvoy i Marriott Executive Apartments</w:t>
      </w:r>
      <w:r w:rsidRPr="00BE5472">
        <w:rPr>
          <w:rFonts w:ascii="Times New Roman" w:hAnsi="Times New Roman" w:cs="Times New Roman"/>
          <w:kern w:val="2"/>
          <w:sz w:val="24"/>
          <w:szCs w:val="24"/>
          <w14:ligatures w14:val="standardContextual"/>
        </w:rPr>
        <w:t>) i k</w:t>
      </w:r>
      <w:r w:rsidRPr="00BE5472">
        <w:rPr>
          <w:rFonts w:ascii="Times New Roman" w:hAnsi="Times New Roman" w:cs="Times New Roman"/>
          <w:i/>
          <w:kern w:val="2"/>
          <w:sz w:val="24"/>
          <w:szCs w:val="24"/>
          <w14:ligatures w14:val="standardContextual"/>
        </w:rPr>
        <w:t>olekcije hotela</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Autograph Collection, Design Hotels, Tribute Portfolio Hotels i MGM Collection with Marriott Bonvoy</w:t>
      </w:r>
      <w:r w:rsidRPr="00BE5472">
        <w:rPr>
          <w:rFonts w:ascii="Times New Roman" w:hAnsi="Times New Roman" w:cs="Times New Roman"/>
          <w:kern w:val="2"/>
          <w:sz w:val="24"/>
          <w:szCs w:val="24"/>
          <w14:ligatures w14:val="standardContextual"/>
        </w:rPr>
        <w:t xml:space="preserve">). Na tragu toga, hotelsko poduzeće </w:t>
      </w:r>
      <w:r w:rsidRPr="00BE5472">
        <w:rPr>
          <w:rFonts w:ascii="Times New Roman" w:hAnsi="Times New Roman" w:cs="Times New Roman"/>
          <w:i/>
          <w:iCs/>
          <w:kern w:val="2"/>
          <w:sz w:val="24"/>
          <w:szCs w:val="24"/>
          <w14:ligatures w14:val="standardContextual"/>
        </w:rPr>
        <w:t>Valamar Riviera</w:t>
      </w:r>
      <w:r w:rsidRPr="00BE5472">
        <w:rPr>
          <w:rFonts w:ascii="Times New Roman" w:hAnsi="Times New Roman" w:cs="Times New Roman"/>
          <w:kern w:val="2"/>
          <w:sz w:val="24"/>
          <w:szCs w:val="24"/>
          <w14:ligatures w14:val="standardContextual"/>
        </w:rPr>
        <w:t xml:space="preserve"> ima pet razvijenih marki: </w:t>
      </w:r>
      <w:r w:rsidRPr="00BE5472">
        <w:rPr>
          <w:rFonts w:ascii="Times New Roman" w:hAnsi="Times New Roman" w:cs="Times New Roman"/>
          <w:i/>
          <w:iCs/>
          <w:kern w:val="2"/>
          <w:sz w:val="24"/>
          <w:szCs w:val="24"/>
          <w14:ligatures w14:val="standardContextual"/>
        </w:rPr>
        <w:t>Valamar Collection</w:t>
      </w:r>
      <w:r w:rsidRPr="00BE5472">
        <w:rPr>
          <w:rFonts w:ascii="Times New Roman" w:hAnsi="Times New Roman" w:cs="Times New Roman"/>
          <w:kern w:val="2"/>
          <w:sz w:val="24"/>
          <w:szCs w:val="24"/>
          <w14:ligatures w14:val="standardContextual"/>
        </w:rPr>
        <w:t xml:space="preserve"> s 1.308 smještajnih jedinica, </w:t>
      </w:r>
      <w:r w:rsidRPr="00BE5472">
        <w:rPr>
          <w:rFonts w:ascii="Times New Roman" w:hAnsi="Times New Roman" w:cs="Times New Roman"/>
          <w:i/>
          <w:iCs/>
          <w:kern w:val="2"/>
          <w:sz w:val="24"/>
          <w:szCs w:val="24"/>
          <w14:ligatures w14:val="standardContextual"/>
        </w:rPr>
        <w:t>Valamar Hotels &amp; Resorts</w:t>
      </w:r>
      <w:r w:rsidRPr="00BE5472">
        <w:rPr>
          <w:rFonts w:ascii="Times New Roman" w:hAnsi="Times New Roman" w:cs="Times New Roman"/>
          <w:kern w:val="2"/>
          <w:sz w:val="24"/>
          <w:szCs w:val="24"/>
          <w14:ligatures w14:val="standardContextual"/>
        </w:rPr>
        <w:t xml:space="preserve"> s 3.792 smještajnih jedinica, </w:t>
      </w:r>
      <w:r w:rsidRPr="00BE5472">
        <w:rPr>
          <w:rFonts w:ascii="Times New Roman" w:hAnsi="Times New Roman" w:cs="Times New Roman"/>
          <w:i/>
          <w:iCs/>
          <w:kern w:val="2"/>
          <w:sz w:val="24"/>
          <w:szCs w:val="24"/>
          <w14:ligatures w14:val="standardContextual"/>
        </w:rPr>
        <w:t>Places by Valamar</w:t>
      </w:r>
      <w:r w:rsidRPr="00BE5472">
        <w:rPr>
          <w:rFonts w:ascii="Times New Roman" w:hAnsi="Times New Roman" w:cs="Times New Roman"/>
          <w:kern w:val="2"/>
          <w:sz w:val="24"/>
          <w:szCs w:val="24"/>
          <w14:ligatures w14:val="standardContextual"/>
        </w:rPr>
        <w:t xml:space="preserve"> s 504 smještajnih jedinica, </w:t>
      </w:r>
      <w:r w:rsidRPr="00BE5472">
        <w:rPr>
          <w:rFonts w:ascii="Times New Roman" w:hAnsi="Times New Roman" w:cs="Times New Roman"/>
          <w:i/>
          <w:iCs/>
          <w:kern w:val="2"/>
          <w:sz w:val="24"/>
          <w:szCs w:val="24"/>
          <w14:ligatures w14:val="standardContextual"/>
        </w:rPr>
        <w:t>Sunny by Valamar</w:t>
      </w:r>
      <w:r w:rsidRPr="00BE5472">
        <w:rPr>
          <w:rFonts w:ascii="Times New Roman" w:hAnsi="Times New Roman" w:cs="Times New Roman"/>
          <w:kern w:val="2"/>
          <w:sz w:val="24"/>
          <w:szCs w:val="24"/>
          <w14:ligatures w14:val="standardContextual"/>
        </w:rPr>
        <w:t xml:space="preserve"> s 3.449 smještajnih jedinica i </w:t>
      </w:r>
      <w:r w:rsidRPr="00BE5472">
        <w:rPr>
          <w:rFonts w:ascii="Times New Roman" w:hAnsi="Times New Roman" w:cs="Times New Roman"/>
          <w:i/>
          <w:iCs/>
          <w:kern w:val="2"/>
          <w:sz w:val="24"/>
          <w:szCs w:val="24"/>
          <w14:ligatures w14:val="standardContextual"/>
        </w:rPr>
        <w:t>Camping Adriatic by Valamar</w:t>
      </w:r>
      <w:r w:rsidRPr="00BE5472">
        <w:rPr>
          <w:rFonts w:ascii="Times New Roman" w:hAnsi="Times New Roman" w:cs="Times New Roman"/>
          <w:kern w:val="2"/>
          <w:sz w:val="24"/>
          <w:szCs w:val="24"/>
          <w14:ligatures w14:val="standardContextual"/>
        </w:rPr>
        <w:t xml:space="preserve"> s 11.649 smještajnih jedinica (</w:t>
      </w:r>
      <w:r w:rsidRPr="00BE5472">
        <w:rPr>
          <w:rFonts w:ascii="Times New Roman" w:hAnsi="Times New Roman" w:cs="Times New Roman"/>
          <w:i/>
          <w:iCs/>
          <w:kern w:val="2"/>
          <w:sz w:val="24"/>
          <w:szCs w:val="24"/>
          <w14:ligatures w14:val="standardContextual"/>
        </w:rPr>
        <w:t>Valamar Riviera</w:t>
      </w:r>
      <w:r w:rsidRPr="00BE5472">
        <w:rPr>
          <w:rFonts w:ascii="Times New Roman" w:hAnsi="Times New Roman" w:cs="Times New Roman"/>
          <w:kern w:val="2"/>
          <w:sz w:val="24"/>
          <w:szCs w:val="24"/>
          <w14:ligatures w14:val="standardContextual"/>
        </w:rPr>
        <w:t xml:space="preserve"> 2024c).</w:t>
      </w:r>
      <w:r w:rsidR="009418EF" w:rsidRPr="00BE5472">
        <w:rPr>
          <w:rFonts w:ascii="Times New Roman" w:hAnsi="Times New Roman" w:cs="Times New Roman"/>
          <w:i/>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Diferencijacija je skupa strategija s velikim ulaganjima u jedinstvene značajke koje je teže imitirati. Međutim, iznimno je profitabilna zbog visoke cijene koja se naplaćuje (Thompson i sur. 2012). Poduzeća koje</w:t>
      </w:r>
      <w:r w:rsidR="004375E9" w:rsidRPr="00BE5472">
        <w:rPr>
          <w:rFonts w:ascii="Times New Roman" w:hAnsi="Times New Roman" w:cs="Times New Roman"/>
          <w:kern w:val="2"/>
          <w:sz w:val="24"/>
          <w:szCs w:val="24"/>
          <w14:ligatures w14:val="standardContextual"/>
        </w:rPr>
        <w:t xml:space="preserve"> se</w:t>
      </w:r>
      <w:r w:rsidRPr="00BE5472">
        <w:rPr>
          <w:rFonts w:ascii="Times New Roman" w:hAnsi="Times New Roman" w:cs="Times New Roman"/>
          <w:kern w:val="2"/>
          <w:sz w:val="24"/>
          <w:szCs w:val="24"/>
          <w14:ligatures w14:val="standardContextual"/>
        </w:rPr>
        <w:t xml:space="preserve"> koriste strategij</w:t>
      </w:r>
      <w:r w:rsidR="004375E9"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fokusiranja moraju pažljivo provesti istraživanje tržišta kako bi razumjela potrebe i zahtjeve tržišnih segmenata, ali s aspekta kvalitete (Porter 1985). Fokus može biti na određenoj tržišnoj skupini, određenim destinacijama ili nekim drugim posebnim zahtjevima. </w:t>
      </w:r>
    </w:p>
    <w:p w14:paraId="0B70428A" w14:textId="2277D4CE" w:rsidR="006E052A" w:rsidRPr="00BE5472" w:rsidRDefault="006E052A" w:rsidP="00120B4F">
      <w:pPr>
        <w:numPr>
          <w:ilvl w:val="0"/>
          <w:numId w:val="2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Funkcijska strategija</w:t>
      </w:r>
      <w:r w:rsidRPr="00BE5472">
        <w:rPr>
          <w:rFonts w:ascii="Times New Roman" w:hAnsi="Times New Roman" w:cs="Times New Roman"/>
          <w:kern w:val="2"/>
          <w:sz w:val="24"/>
          <w:szCs w:val="24"/>
          <w14:ligatures w14:val="standardContextual"/>
        </w:rPr>
        <w:t xml:space="preserve"> obuhvaća strategije razvijene od strane različitih odjela ili jedinica unutar poduzeća, kao što su marketing, financije, operacije ili ljudski resursi. Ove strategije usklađene su s općom poslovnom strategijom te imaju za cilj optimizaciju performansi svakog funkcijskog područja kako bi doprinijele postizanju ciljeva poduzeća.</w:t>
      </w:r>
    </w:p>
    <w:p w14:paraId="6A2BBAA6" w14:textId="77777777" w:rsidR="00BC3443" w:rsidRPr="00BE5472" w:rsidRDefault="00BC3443" w:rsidP="00BC3443">
      <w:pPr>
        <w:spacing w:line="360" w:lineRule="auto"/>
        <w:ind w:left="720"/>
        <w:contextualSpacing/>
        <w:jc w:val="both"/>
        <w:rPr>
          <w:rFonts w:ascii="Times New Roman" w:hAnsi="Times New Roman" w:cs="Times New Roman"/>
          <w:kern w:val="2"/>
          <w:sz w:val="24"/>
          <w:szCs w:val="24"/>
          <w14:ligatures w14:val="standardContextual"/>
        </w:rPr>
      </w:pPr>
    </w:p>
    <w:p w14:paraId="6CB5546A"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kern w:val="2"/>
          <w:sz w:val="24"/>
          <w:szCs w:val="24"/>
          <w14:ligatures w14:val="standardContextual"/>
        </w:rPr>
        <w:t>Implementacija strategije</w:t>
      </w:r>
      <w:r w:rsidRPr="00BE5472">
        <w:rPr>
          <w:rFonts w:ascii="Times New Roman" w:hAnsi="Times New Roman" w:cs="Times New Roman"/>
          <w:kern w:val="2"/>
          <w:sz w:val="24"/>
          <w:szCs w:val="24"/>
          <w14:ligatures w14:val="standardContextual"/>
        </w:rPr>
        <w:t xml:space="preserve"> uključuje konkretne korake poput alokacije resursa, uspostavljanja sustava praćenja i mjerenja napretka te motiviranja i angažiranja zaposlenika u provedbi strategija. Važno je osigurati da sve razine organizacije razumiju i podrže strategije te da budu aktivno uključene u njihovu provedbu. Ova faza zahtijeva dobru koordinaciju i suradnju među različitim dijelovima organizacije kako bi se osiguralo usklađeno djelovanje prema postavljenim ciljevima. </w:t>
      </w:r>
    </w:p>
    <w:p w14:paraId="03744DC3"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b/>
          <w:kern w:val="2"/>
          <w:sz w:val="24"/>
          <w:szCs w:val="24"/>
          <w14:ligatures w14:val="standardContextual"/>
        </w:rPr>
        <w:t>Evaluacija i kontrola</w:t>
      </w:r>
      <w:r w:rsidRPr="00BE5472">
        <w:rPr>
          <w:rFonts w:ascii="Times New Roman" w:hAnsi="Times New Roman" w:cs="Times New Roman"/>
          <w:kern w:val="2"/>
          <w:sz w:val="24"/>
          <w:szCs w:val="24"/>
          <w14:ligatures w14:val="standardContextual"/>
        </w:rPr>
        <w:t xml:space="preserve"> kao posljednja faza procesa strateškog menadžmenta uključuje redovitu evaluaciju napretka u ostvarivanju ciljeva i učinkovitosti provedbe strategija. To uključuje sustavno praćenje ključnih pokazatelja uspješnosti, analizu rezultata i usporedbe s postavljenim ciljevima te identifikaciju potrebnih prilagodbi ili poboljšanja. Ova faza omogućuje organizaciji da reagira na promjene u okruženju ili unutar same organizacije te da prilagodi svoje strategije i aktivnosti kako bi se osiguralo postizanje željenih rezultata.  Kontinuirana evaluacija i kontrola </w:t>
      </w:r>
      <w:r w:rsidRPr="00BE5472">
        <w:rPr>
          <w:rFonts w:ascii="Times New Roman" w:hAnsi="Times New Roman" w:cs="Times New Roman"/>
          <w:kern w:val="2"/>
          <w:sz w:val="24"/>
          <w:szCs w:val="24"/>
          <w14:ligatures w14:val="standardContextual"/>
        </w:rPr>
        <w:lastRenderedPageBreak/>
        <w:t>ključna je za održavanje agilnosti i konkurentnosti organizacije u dinamičnom poslovnom okruženju.</w:t>
      </w:r>
    </w:p>
    <w:p w14:paraId="1FD7F102" w14:textId="005D3896"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Može se konstatirati da u hotelskim poduzećima, strateški menadžeri imaju ključne uloge i odgovornosti, a sve kako bi osigurali uspješno i održivo poslovanje. Pri tome su pred njima različiti zadaci kao npr.:</w:t>
      </w:r>
    </w:p>
    <w:p w14:paraId="3A4591EC"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Analiza tržišta</w:t>
      </w:r>
      <w:r w:rsidRPr="00BE5472">
        <w:rPr>
          <w:rFonts w:ascii="Times New Roman" w:hAnsi="Times New Roman" w:cs="Times New Roman"/>
          <w:kern w:val="2"/>
          <w:sz w:val="24"/>
          <w:szCs w:val="24"/>
          <w14:ligatures w14:val="standardContextual"/>
        </w:rPr>
        <w:t>: Provode dubinske analize tržišta kako bi razumjeli trendove, potrebe gostiju i konkurenciju te identificirali prilike za rast i razvoj njihovog poduzeća.</w:t>
      </w:r>
    </w:p>
    <w:p w14:paraId="19FBED6B" w14:textId="784FE803"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Postavljanje ciljeva</w:t>
      </w:r>
      <w:r w:rsidRPr="00BE5472">
        <w:rPr>
          <w:rFonts w:ascii="Times New Roman" w:hAnsi="Times New Roman" w:cs="Times New Roman"/>
          <w:kern w:val="2"/>
          <w:sz w:val="24"/>
          <w:szCs w:val="24"/>
          <w14:ligatures w14:val="standardContextual"/>
        </w:rPr>
        <w:t>: Definiraju jasne ciljeve poslovanja u skladu s misijom i vizijom hotelskog poduzeća te usklađuju strategije kako bi</w:t>
      </w:r>
      <w:r w:rsidR="007614C1" w:rsidRPr="00BE5472">
        <w:rPr>
          <w:rFonts w:ascii="Times New Roman" w:hAnsi="Times New Roman" w:cs="Times New Roman"/>
          <w:kern w:val="2"/>
          <w:sz w:val="24"/>
          <w:szCs w:val="24"/>
          <w14:ligatures w14:val="standardContextual"/>
        </w:rPr>
        <w:t xml:space="preserve"> ostvarili</w:t>
      </w:r>
      <w:r w:rsidRPr="00BE5472">
        <w:rPr>
          <w:rFonts w:ascii="Times New Roman" w:hAnsi="Times New Roman" w:cs="Times New Roman"/>
          <w:kern w:val="2"/>
          <w:sz w:val="24"/>
          <w:szCs w:val="24"/>
          <w14:ligatures w14:val="standardContextual"/>
        </w:rPr>
        <w:t xml:space="preserve"> te ciljeve.</w:t>
      </w:r>
    </w:p>
    <w:p w14:paraId="70CFDDD0"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Razvoj strategija</w:t>
      </w:r>
      <w:r w:rsidRPr="00BE5472">
        <w:rPr>
          <w:rFonts w:ascii="Times New Roman" w:hAnsi="Times New Roman" w:cs="Times New Roman"/>
          <w:kern w:val="2"/>
          <w:sz w:val="24"/>
          <w:szCs w:val="24"/>
          <w14:ligatures w14:val="standardContextual"/>
        </w:rPr>
        <w:t>: Razvijaju dugoročne strategije poslovanja koje uključuju diferencijaciju, troškovno vodstvo ili fokusiranje na određene segmente tržišta kako bi osigurali i održali konkurentsku prednost.</w:t>
      </w:r>
    </w:p>
    <w:p w14:paraId="717D5A63"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Upravljanje resursima</w:t>
      </w:r>
      <w:r w:rsidRPr="00BE5472">
        <w:rPr>
          <w:rFonts w:ascii="Times New Roman" w:hAnsi="Times New Roman" w:cs="Times New Roman"/>
          <w:kern w:val="2"/>
          <w:sz w:val="24"/>
          <w:szCs w:val="24"/>
          <w14:ligatures w14:val="standardContextual"/>
        </w:rPr>
        <w:t>: Upravljaju resursima hotela, uključujući ljudske, financijske, i operativne resurse kako bi osigurali učinkovitu primjenu strategija.</w:t>
      </w:r>
    </w:p>
    <w:p w14:paraId="71018278"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Praćenje poslovne uspješnosti hotelskog poduzeća</w:t>
      </w:r>
      <w:r w:rsidRPr="00BE5472">
        <w:rPr>
          <w:rFonts w:ascii="Times New Roman" w:hAnsi="Times New Roman" w:cs="Times New Roman"/>
          <w:kern w:val="2"/>
          <w:sz w:val="24"/>
          <w:szCs w:val="24"/>
          <w14:ligatures w14:val="standardContextual"/>
        </w:rPr>
        <w:t>: Redovito prate rezultate poslovanja i uspoređuju ih s postavljenim ciljevima. Shodno potrebi prilagođavaju strategije te provode sve eventualno potrebne dodatne prilagodbe kako bi osigurali uspjeh poslovanja.</w:t>
      </w:r>
    </w:p>
    <w:p w14:paraId="61F73532"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Inovacije</w:t>
      </w:r>
      <w:r w:rsidRPr="00BE5472">
        <w:rPr>
          <w:rFonts w:ascii="Times New Roman" w:hAnsi="Times New Roman" w:cs="Times New Roman"/>
          <w:kern w:val="2"/>
          <w:sz w:val="24"/>
          <w:szCs w:val="24"/>
          <w14:ligatures w14:val="standardContextual"/>
        </w:rPr>
        <w:t>: Potiču inovacije u proizvodima, uslugama i poslovnim procesima kako bi zadržali konkurentsku prednost na tržištu.</w:t>
      </w:r>
    </w:p>
    <w:p w14:paraId="63C0A5E4" w14:textId="13A62778"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Suradnja s drugim odjelima i drugim hijerarhijskim razinama u hotelskom poduzeću</w:t>
      </w:r>
      <w:r w:rsidRPr="00BE5472">
        <w:rPr>
          <w:rFonts w:ascii="Times New Roman" w:hAnsi="Times New Roman" w:cs="Times New Roman"/>
          <w:kern w:val="2"/>
          <w:sz w:val="24"/>
          <w:szCs w:val="24"/>
          <w14:ligatures w14:val="standardContextual"/>
        </w:rPr>
        <w:t>: Surađuju s drugim odjelima poput operacija, marketinga, prodaje i financija kako bi osigural</w:t>
      </w:r>
      <w:r w:rsidR="007D5145"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usklađenost dostizanja ciljeva definiranih glavnom strategijom. </w:t>
      </w:r>
    </w:p>
    <w:p w14:paraId="70A8F6CA" w14:textId="77777777" w:rsidR="006E052A" w:rsidRPr="00BE5472" w:rsidRDefault="006E052A" w:rsidP="00120B4F">
      <w:pPr>
        <w:numPr>
          <w:ilvl w:val="0"/>
          <w:numId w:val="7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Krizni menadžment</w:t>
      </w:r>
      <w:r w:rsidRPr="00BE5472">
        <w:rPr>
          <w:rFonts w:ascii="Times New Roman" w:hAnsi="Times New Roman" w:cs="Times New Roman"/>
          <w:kern w:val="2"/>
          <w:sz w:val="24"/>
          <w:szCs w:val="24"/>
          <w14:ligatures w14:val="standardContextual"/>
        </w:rPr>
        <w:t>: Djeluju kao vođe u vrijeme kriznih situacija, pružajući smjernice i donoseći odluke koje će osigurati stabilnost i sigurnost poslovanja.</w:t>
      </w:r>
    </w:p>
    <w:p w14:paraId="42EA09D9" w14:textId="77777777" w:rsidR="00C55629" w:rsidRDefault="00C55629" w:rsidP="006E052A">
      <w:pPr>
        <w:spacing w:line="360" w:lineRule="auto"/>
        <w:jc w:val="both"/>
        <w:rPr>
          <w:rFonts w:ascii="Times New Roman" w:hAnsi="Times New Roman" w:cs="Times New Roman"/>
          <w:kern w:val="2"/>
          <w:sz w:val="24"/>
          <w:szCs w:val="24"/>
          <w14:ligatures w14:val="standardContextual"/>
        </w:rPr>
      </w:pPr>
    </w:p>
    <w:p w14:paraId="41CD7A35" w14:textId="77777777" w:rsidR="00C55629" w:rsidRDefault="00C55629" w:rsidP="006E052A">
      <w:pPr>
        <w:spacing w:line="360" w:lineRule="auto"/>
        <w:jc w:val="both"/>
        <w:rPr>
          <w:rFonts w:ascii="Times New Roman" w:hAnsi="Times New Roman" w:cs="Times New Roman"/>
          <w:kern w:val="2"/>
          <w:sz w:val="24"/>
          <w:szCs w:val="24"/>
          <w14:ligatures w14:val="standardContextual"/>
        </w:rPr>
      </w:pPr>
    </w:p>
    <w:p w14:paraId="1D1090DB" w14:textId="2788AFD0"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Strateški pristup planiranju preduvjet je uspješnog poslovanja hotelskih poduzeća jer im omogućuje: </w:t>
      </w:r>
    </w:p>
    <w:p w14:paraId="1F91E393" w14:textId="77777777" w:rsidR="006E052A" w:rsidRPr="00BE5472" w:rsidRDefault="006E052A" w:rsidP="00120B4F">
      <w:pPr>
        <w:numPr>
          <w:ilvl w:val="0"/>
          <w:numId w:val="7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Kontinuirano prilagođavanje</w:t>
      </w:r>
      <w:r w:rsidRPr="00BE5472">
        <w:rPr>
          <w:rFonts w:ascii="Times New Roman" w:hAnsi="Times New Roman" w:cs="Times New Roman"/>
          <w:kern w:val="2"/>
          <w:sz w:val="24"/>
          <w:szCs w:val="24"/>
          <w14:ligatures w14:val="standardContextual"/>
        </w:rPr>
        <w:t>: omogućuje hotelskim poduzećima da kontinuirano prilagođavaju svoje strategije i djelovanja u skladu s promjenama na tržištu, potrebama gostiju i konkurencijom.</w:t>
      </w:r>
    </w:p>
    <w:p w14:paraId="3AD432DA" w14:textId="44D00377" w:rsidR="006E052A" w:rsidRPr="00BE5472" w:rsidRDefault="006E052A" w:rsidP="00120B4F">
      <w:pPr>
        <w:numPr>
          <w:ilvl w:val="0"/>
          <w:numId w:val="7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Fleksibilnost</w:t>
      </w:r>
      <w:r w:rsidRPr="00BE5472">
        <w:rPr>
          <w:rFonts w:ascii="Times New Roman" w:hAnsi="Times New Roman" w:cs="Times New Roman"/>
          <w:kern w:val="2"/>
          <w:sz w:val="24"/>
          <w:szCs w:val="24"/>
          <w14:ligatures w14:val="standardContextual"/>
        </w:rPr>
        <w:t>: omogućuje hotelskim poduzećima da budu fleksibilna i agilna u reakciji na neočekivane događaje ili promjene u okruženju poslovanja.</w:t>
      </w:r>
    </w:p>
    <w:p w14:paraId="79AFB4BA" w14:textId="77777777" w:rsidR="006E052A" w:rsidRPr="00BE5472" w:rsidRDefault="006E052A" w:rsidP="00120B4F">
      <w:pPr>
        <w:numPr>
          <w:ilvl w:val="0"/>
          <w:numId w:val="7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Kontinuirano učenje</w:t>
      </w:r>
      <w:r w:rsidRPr="00BE5472">
        <w:rPr>
          <w:rFonts w:ascii="Times New Roman" w:hAnsi="Times New Roman" w:cs="Times New Roman"/>
          <w:kern w:val="2"/>
          <w:sz w:val="24"/>
          <w:szCs w:val="24"/>
          <w14:ligatures w14:val="standardContextual"/>
        </w:rPr>
        <w:t>: hotelska poduzeća neprestano uče iz svojih iskustava, grešaka i uspjeha te primjenjuju stečeno znanje kako bi poboljšala rezultate svojeg poslovanja.</w:t>
      </w:r>
    </w:p>
    <w:p w14:paraId="64B5341C" w14:textId="77777777" w:rsidR="006E052A" w:rsidRPr="00BE5472" w:rsidRDefault="006E052A" w:rsidP="00120B4F">
      <w:pPr>
        <w:numPr>
          <w:ilvl w:val="0"/>
          <w:numId w:val="7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Održavanje konkurentskih prednosti</w:t>
      </w:r>
      <w:r w:rsidRPr="00BE5472">
        <w:rPr>
          <w:rFonts w:ascii="Times New Roman" w:hAnsi="Times New Roman" w:cs="Times New Roman"/>
          <w:kern w:val="2"/>
          <w:sz w:val="24"/>
          <w:szCs w:val="24"/>
          <w14:ligatures w14:val="standardContextual"/>
        </w:rPr>
        <w:t>: omogućuje hotelskim poduzećima da održe svoju konkurentsku prednost na tržištu identificirajući nove prilike i izbjegavajući, gdje god je to moguće potencijalne prijetnje.</w:t>
      </w:r>
    </w:p>
    <w:p w14:paraId="169D0FC9" w14:textId="77777777" w:rsidR="006E052A" w:rsidRPr="00BE5472" w:rsidRDefault="006E052A" w:rsidP="00120B4F">
      <w:pPr>
        <w:numPr>
          <w:ilvl w:val="0"/>
          <w:numId w:val="7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Usklađenost s ciljevima</w:t>
      </w:r>
      <w:r w:rsidRPr="00BE5472">
        <w:rPr>
          <w:rFonts w:ascii="Times New Roman" w:hAnsi="Times New Roman" w:cs="Times New Roman"/>
          <w:kern w:val="2"/>
          <w:sz w:val="24"/>
          <w:szCs w:val="24"/>
          <w14:ligatures w14:val="standardContextual"/>
        </w:rPr>
        <w:t>: pomaže hotelskim poduzećima da usklade svoje aktivnosti s postavljenim ciljevima i vizijom poslovanja, osiguravajući usklađenost u djelovanju cijelog poduzeća.</w:t>
      </w:r>
    </w:p>
    <w:p w14:paraId="22733DE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Na taj način hotelska poduzeća mogu biti agilna, prilagodljiva i ostati konkurentna na tržištu i ostvarivati dugoročan održiv rast.</w:t>
      </w:r>
    </w:p>
    <w:p w14:paraId="3A1B97DF" w14:textId="2AA46E03" w:rsidR="006E052A" w:rsidRPr="00BE5472" w:rsidRDefault="006E052A" w:rsidP="003D13C0">
      <w:pPr>
        <w:pStyle w:val="Heading3"/>
        <w:rPr>
          <w:rFonts w:ascii="Times New Roman" w:hAnsi="Times New Roman" w:cs="Times New Roman"/>
        </w:rPr>
      </w:pPr>
      <w:bookmarkStart w:id="85" w:name="_Toc210381418"/>
      <w:bookmarkStart w:id="86" w:name="_Toc241865142"/>
      <w:r w:rsidRPr="00BE5472">
        <w:rPr>
          <w:rFonts w:ascii="Times New Roman" w:hAnsi="Times New Roman" w:cs="Times New Roman"/>
        </w:rPr>
        <w:t>3.2.2. Strategije i pravci razvoja</w:t>
      </w:r>
      <w:bookmarkEnd w:id="85"/>
      <w:bookmarkEnd w:id="86"/>
      <w:r w:rsidRPr="00BE5472">
        <w:rPr>
          <w:rFonts w:ascii="Times New Roman" w:hAnsi="Times New Roman" w:cs="Times New Roman"/>
        </w:rPr>
        <w:t xml:space="preserve"> </w:t>
      </w:r>
    </w:p>
    <w:p w14:paraId="011D3EAA" w14:textId="77777777" w:rsidR="00BC3443" w:rsidRPr="00BE5472" w:rsidRDefault="00BC3443" w:rsidP="00BC3443">
      <w:pPr>
        <w:rPr>
          <w:rFonts w:ascii="Times New Roman" w:hAnsi="Times New Roman" w:cs="Times New Roman"/>
        </w:rPr>
      </w:pPr>
    </w:p>
    <w:p w14:paraId="4F9E19A2" w14:textId="2FEFA8C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suvremenom i dinamičnom visokokonkurentnom okruženju razvojne strategije poduzeća predstavljaju ključni aspekt poslovnog planiranja i vođenja poduzeća pomoću kojih će poduzeća nastojati rasti i razvijati se. Obuhvaćaju sveobuhvatne planove i akcije koje poduzeća provode kako bi </w:t>
      </w:r>
      <w:r w:rsidR="00843A0D" w:rsidRPr="00BE5472">
        <w:rPr>
          <w:rFonts w:ascii="Times New Roman" w:hAnsi="Times New Roman" w:cs="Times New Roman"/>
          <w:kern w:val="2"/>
          <w:sz w:val="24"/>
          <w:szCs w:val="24"/>
          <w14:ligatures w14:val="standardContextual"/>
        </w:rPr>
        <w:t>ostvarila</w:t>
      </w:r>
      <w:r w:rsidRPr="00BE5472">
        <w:rPr>
          <w:rFonts w:ascii="Times New Roman" w:hAnsi="Times New Roman" w:cs="Times New Roman"/>
          <w:kern w:val="2"/>
          <w:sz w:val="24"/>
          <w:szCs w:val="24"/>
          <w14:ligatures w14:val="standardContextual"/>
        </w:rPr>
        <w:t xml:space="preserve"> svoje dugoročne ciljeve, unaprijedila konkurentnost i ostvarila održivi rast. Proces razvoja strategija poduzeća nije samo puko definiranje ciljeva, već uključuje i temeljitu analizu unutarnjih i vanjskih čimbenika koji utječu na poslovanje, kao i odabir najprikladnijih strategija za ostvarenje postavljenih  ciljeva. </w:t>
      </w:r>
    </w:p>
    <w:p w14:paraId="0168DF88" w14:textId="77777777" w:rsidR="00310733" w:rsidRPr="00BE5472" w:rsidRDefault="00310733" w:rsidP="006E052A">
      <w:pPr>
        <w:spacing w:line="360" w:lineRule="auto"/>
        <w:jc w:val="both"/>
        <w:rPr>
          <w:rFonts w:ascii="Times New Roman" w:hAnsi="Times New Roman" w:cs="Times New Roman"/>
          <w:kern w:val="2"/>
          <w:sz w:val="24"/>
          <w:szCs w:val="24"/>
          <w14:ligatures w14:val="standardContextual"/>
        </w:rPr>
      </w:pPr>
    </w:p>
    <w:p w14:paraId="494FFD53" w14:textId="77777777" w:rsidR="00310733" w:rsidRPr="00BE5472" w:rsidRDefault="00310733" w:rsidP="006E052A">
      <w:pPr>
        <w:spacing w:line="360" w:lineRule="auto"/>
        <w:jc w:val="both"/>
        <w:rPr>
          <w:rFonts w:ascii="Times New Roman" w:hAnsi="Times New Roman" w:cs="Times New Roman"/>
          <w:kern w:val="2"/>
          <w:sz w:val="24"/>
          <w:szCs w:val="24"/>
          <w14:ligatures w14:val="standardContextual"/>
        </w:rPr>
      </w:pPr>
    </w:p>
    <w:p w14:paraId="7F4A2A99"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Primjena razvojnih strategija ključna je za dugoročni uspjeh poduzeća iz više razloga:</w:t>
      </w:r>
    </w:p>
    <w:p w14:paraId="5B512C1D" w14:textId="77777777" w:rsidR="006E052A" w:rsidRPr="00BE5472" w:rsidRDefault="006E052A" w:rsidP="00120B4F">
      <w:pPr>
        <w:numPr>
          <w:ilvl w:val="0"/>
          <w:numId w:val="2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Omogućuje poduzeću da se prilagodi promjenjivim tržišnim uvjetima i konkurenciji. U dinamičnom okruženju, poduzeća koje ne prate trendove i ne prilagođavaju se novim zahtjevima tržišta riskiraju gubitak konkurentnosti i tržišnog udjela.</w:t>
      </w:r>
    </w:p>
    <w:p w14:paraId="54162A2D" w14:textId="77777777" w:rsidR="006E052A" w:rsidRPr="00BE5472" w:rsidRDefault="006E052A" w:rsidP="00120B4F">
      <w:pPr>
        <w:numPr>
          <w:ilvl w:val="0"/>
          <w:numId w:val="2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Adekvatnom razvojnom strategijom poduzeće će identificirati i iskoristi svoje snage, istovremeno adresirajući svoje slabosti. Kroz temeljitu analizu unutarnjih resursa i sposobnosti, poduzeće može bolje razumjeti svoju poziciju na tržištu te razviti strategiju koje će maksimizirati njihov potencijal za uspjeh.</w:t>
      </w:r>
    </w:p>
    <w:p w14:paraId="715CF1C9" w14:textId="77777777" w:rsidR="006E052A" w:rsidRPr="00BE5472" w:rsidRDefault="006E052A" w:rsidP="00120B4F">
      <w:pPr>
        <w:numPr>
          <w:ilvl w:val="0"/>
          <w:numId w:val="2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Omogućuje poduzeću da ostvari održivi rast i dugoročnu stabilnost. Planiranje dugoročnih strategija osigurava kontinuiranu fokusiranost na ciljeve i prilagodbu promjenama kako bi se osiguralo dugoročno poslovanje.</w:t>
      </w:r>
    </w:p>
    <w:p w14:paraId="15B4AC60" w14:textId="4B4E953A" w:rsidR="006E052A" w:rsidRDefault="006E052A" w:rsidP="00120B4F">
      <w:pPr>
        <w:numPr>
          <w:ilvl w:val="0"/>
          <w:numId w:val="2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Primjena razvojnih strategija potiče inovacije i poboljšava procese unutar poduzeća. Stalna potraga za novim idejama i pristupima potiče kreativnost i poboljšava učinkovitost, što dovodi do veće konkurentnosti i zadovoljstva klijenata</w:t>
      </w:r>
      <w:r w:rsidR="00CB3A7C">
        <w:rPr>
          <w:rFonts w:ascii="Times New Roman" w:hAnsi="Times New Roman" w:cs="Times New Roman"/>
          <w:kern w:val="2"/>
          <w:sz w:val="24"/>
          <w:szCs w:val="24"/>
          <w14:ligatures w14:val="standardContextual"/>
        </w:rPr>
        <w:t>.</w:t>
      </w:r>
    </w:p>
    <w:p w14:paraId="75273052"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4F45983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Odabirom odgovarajuće strategije rasta hotelski lanci ostvaruju niz koristi (Martorell-Cunill i sur. 2014):</w:t>
      </w:r>
    </w:p>
    <w:p w14:paraId="3BEC8E48"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kontrolu novih tržišta,</w:t>
      </w:r>
    </w:p>
    <w:p w14:paraId="7D1B2B02"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ekonomiju obujma,</w:t>
      </w:r>
    </w:p>
    <w:p w14:paraId="164DD72D"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investicijsko restrukturiranje,</w:t>
      </w:r>
    </w:p>
    <w:p w14:paraId="43449F1B"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jačanje međunarodne konkurentnosti,</w:t>
      </w:r>
    </w:p>
    <w:p w14:paraId="6C06C751" w14:textId="77777777" w:rsidR="00310733"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ekonomsk</w:t>
      </w:r>
      <w:r w:rsidR="00310733"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liberalizacij</w:t>
      </w:r>
      <w:r w:rsidR="00310733"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w:t>
      </w:r>
    </w:p>
    <w:p w14:paraId="0E28D2DE" w14:textId="25980B28"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najbolje od kulturnih i jezičnih prepreka,</w:t>
      </w:r>
    </w:p>
    <w:p w14:paraId="4F2E4532" w14:textId="31D47F1D"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edukacij</w:t>
      </w:r>
      <w:r w:rsidR="00E90D84"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ljudskih resursa,</w:t>
      </w:r>
    </w:p>
    <w:p w14:paraId="3D2171FF"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povećanje veličinu hotelskog lanca,</w:t>
      </w:r>
    </w:p>
    <w:p w14:paraId="471F0D84"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tehnološki napredak i</w:t>
      </w:r>
    </w:p>
    <w:p w14:paraId="0D565E8B" w14:textId="77777777" w:rsidR="006E052A" w:rsidRPr="00BE5472" w:rsidRDefault="006E052A" w:rsidP="00120B4F">
      <w:pPr>
        <w:numPr>
          <w:ilvl w:val="0"/>
          <w:numId w:val="2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bolju prepoznatljivost marke.</w:t>
      </w:r>
    </w:p>
    <w:p w14:paraId="4575A8F4" w14:textId="0AF66F50"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Polazište u promišljanju i analiziranju izbora pogodne strategije rasta i razvojnih pravaca poslovne organizacije može biti Ansoffova matrica rasta (Ansoff 1957).</w:t>
      </w:r>
    </w:p>
    <w:p w14:paraId="4DDF63C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Ansoffova matrica je alat koji se koristi u poslovnom menadžmentu i strategiji kako bi se analizirali mogući načini rasta poduzeća. Razvio ju je ekonomist Igor Ansoff, koji ju je prvi put opisao 1957. godine. Glavni cilj Ansoffove matrice je pomoći menadžerima da razmišljaju o strategijama rasta na temelju kombinacija postojećih i novih proizvoda i tržišta. </w:t>
      </w:r>
    </w:p>
    <w:p w14:paraId="0E0443B5" w14:textId="36DB0004" w:rsidR="006E052A" w:rsidRPr="004756DA" w:rsidRDefault="004756DA" w:rsidP="004756DA">
      <w:pPr>
        <w:pStyle w:val="Caption"/>
        <w:rPr>
          <w:rFonts w:ascii="Times New Roman" w:hAnsi="Times New Roman" w:cs="Times New Roman"/>
          <w:kern w:val="2"/>
          <w:sz w:val="24"/>
          <w:szCs w:val="24"/>
          <w14:ligatures w14:val="standardContextual"/>
        </w:rPr>
      </w:pPr>
      <w:bookmarkStart w:id="87" w:name="_Toc241865283"/>
      <w:r w:rsidRPr="004756DA">
        <w:rPr>
          <w:rFonts w:ascii="Times New Roman" w:hAnsi="Times New Roman" w:cs="Times New Roman"/>
          <w:sz w:val="24"/>
          <w:szCs w:val="24"/>
        </w:rPr>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15</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Ansoffova matrica rasta</w:t>
      </w:r>
      <w:bookmarkEnd w:id="87"/>
    </w:p>
    <w:p w14:paraId="54A62BE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noProof/>
          <w:kern w:val="2"/>
          <w:sz w:val="24"/>
          <w:szCs w:val="24"/>
          <w:lang w:eastAsia="hr-HR"/>
          <w14:ligatures w14:val="standardContextual"/>
        </w:rPr>
        <w:drawing>
          <wp:inline distT="0" distB="0" distL="0" distR="0" wp14:anchorId="22782473" wp14:editId="761B1708">
            <wp:extent cx="4867835" cy="4731543"/>
            <wp:effectExtent l="0" t="0" r="9525" b="0"/>
            <wp:docPr id="76175468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54687" name="Slika 761754687"/>
                    <pic:cNvPicPr/>
                  </pic:nvPicPr>
                  <pic:blipFill>
                    <a:blip r:embed="rId50">
                      <a:extLst>
                        <a:ext uri="{28A0092B-C50C-407E-A947-70E740481C1C}">
                          <a14:useLocalDpi xmlns:a14="http://schemas.microsoft.com/office/drawing/2010/main" val="0"/>
                        </a:ext>
                      </a:extLst>
                    </a:blip>
                    <a:stretch>
                      <a:fillRect/>
                    </a:stretch>
                  </pic:blipFill>
                  <pic:spPr>
                    <a:xfrm>
                      <a:off x="0" y="0"/>
                      <a:ext cx="4911166" cy="4773661"/>
                    </a:xfrm>
                    <a:prstGeom prst="rect">
                      <a:avLst/>
                    </a:prstGeom>
                  </pic:spPr>
                </pic:pic>
              </a:graphicData>
            </a:graphic>
          </wp:inline>
        </w:drawing>
      </w:r>
      <w:r w:rsidRPr="00BE5472">
        <w:rPr>
          <w:rFonts w:ascii="Times New Roman" w:hAnsi="Times New Roman" w:cs="Times New Roman"/>
          <w:kern w:val="2"/>
          <w:sz w:val="24"/>
          <w:szCs w:val="24"/>
          <w14:ligatures w14:val="standardContextual"/>
        </w:rPr>
        <w:t xml:space="preserve">   </w:t>
      </w:r>
    </w:p>
    <w:p w14:paraId="05EE284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Prilagođeno prema: Ansoff, H. (1957). Strategies for Diversification. </w:t>
      </w:r>
      <w:r w:rsidRPr="00BE5472">
        <w:rPr>
          <w:rFonts w:ascii="Times New Roman" w:hAnsi="Times New Roman" w:cs="Times New Roman"/>
          <w:i/>
          <w:iCs/>
          <w:kern w:val="2"/>
          <w:sz w:val="24"/>
          <w:szCs w:val="24"/>
          <w14:ligatures w14:val="standardContextual"/>
        </w:rPr>
        <w:t>Harvard Business Review</w:t>
      </w:r>
      <w:r w:rsidRPr="00BE5472">
        <w:rPr>
          <w:rFonts w:ascii="Times New Roman" w:hAnsi="Times New Roman" w:cs="Times New Roman"/>
          <w:kern w:val="2"/>
          <w:sz w:val="24"/>
          <w:szCs w:val="24"/>
          <w14:ligatures w14:val="standardContextual"/>
        </w:rPr>
        <w:t xml:space="preserve">, 35(5), 113 – 124. Dostupno na: </w:t>
      </w:r>
      <w:hyperlink r:id="rId51" w:history="1">
        <w:r w:rsidRPr="00BE5472">
          <w:rPr>
            <w:rFonts w:ascii="Times New Roman" w:hAnsi="Times New Roman" w:cs="Times New Roman"/>
            <w:color w:val="0563C1" w:themeColor="hyperlink"/>
            <w:kern w:val="2"/>
            <w:sz w:val="24"/>
            <w:szCs w:val="24"/>
            <w:u w:val="single"/>
            <w14:ligatures w14:val="standardContextual"/>
          </w:rPr>
          <w:t>https://archive.org/details/strategiesfordiversificationansoff1957hbr/page/n11/mode/2up</w:t>
        </w:r>
      </w:hyperlink>
      <w:r w:rsidRPr="00BE5472">
        <w:rPr>
          <w:rFonts w:ascii="Times New Roman" w:hAnsi="Times New Roman" w:cs="Times New Roman"/>
          <w:kern w:val="2"/>
          <w:sz w:val="24"/>
          <w:szCs w:val="24"/>
          <w14:ligatures w14:val="standardContextual"/>
        </w:rPr>
        <w:t xml:space="preserve"> Pristupljeno: 18. ožujka 2024. </w:t>
      </w:r>
    </w:p>
    <w:p w14:paraId="6ABEC666" w14:textId="77777777" w:rsidR="00507328" w:rsidRPr="00BE5472" w:rsidRDefault="00507328" w:rsidP="006E052A">
      <w:pPr>
        <w:spacing w:line="360" w:lineRule="auto"/>
        <w:jc w:val="both"/>
        <w:rPr>
          <w:rFonts w:ascii="Times New Roman" w:hAnsi="Times New Roman" w:cs="Times New Roman"/>
          <w:kern w:val="2"/>
          <w:sz w:val="24"/>
          <w:szCs w:val="24"/>
          <w14:ligatures w14:val="standardContextual"/>
        </w:rPr>
      </w:pPr>
    </w:p>
    <w:p w14:paraId="047EE674" w14:textId="77777777" w:rsidR="00507328" w:rsidRPr="00BE5472" w:rsidRDefault="00507328" w:rsidP="006E052A">
      <w:pPr>
        <w:spacing w:line="360" w:lineRule="auto"/>
        <w:jc w:val="both"/>
        <w:rPr>
          <w:rFonts w:ascii="Times New Roman" w:hAnsi="Times New Roman" w:cs="Times New Roman"/>
          <w:kern w:val="2"/>
          <w:sz w:val="24"/>
          <w:szCs w:val="24"/>
          <w14:ligatures w14:val="standardContextual"/>
        </w:rPr>
      </w:pPr>
    </w:p>
    <w:p w14:paraId="1C8B5DCC"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Ansoffova matrica prikazuje četiri strategije rasta za koje se poduzeće može odlučiti. To su: </w:t>
      </w:r>
    </w:p>
    <w:p w14:paraId="299A0B37" w14:textId="77777777" w:rsidR="006E052A" w:rsidRPr="00BE5472" w:rsidRDefault="006E052A" w:rsidP="00120B4F">
      <w:pPr>
        <w:numPr>
          <w:ilvl w:val="0"/>
          <w:numId w:val="2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strategija tržišnog prodora, </w:t>
      </w:r>
    </w:p>
    <w:p w14:paraId="15AD07FD" w14:textId="77777777" w:rsidR="006E052A" w:rsidRPr="00BE5472" w:rsidRDefault="006E052A" w:rsidP="00120B4F">
      <w:pPr>
        <w:numPr>
          <w:ilvl w:val="0"/>
          <w:numId w:val="2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strategija razvoja novih proizvoda, </w:t>
      </w:r>
    </w:p>
    <w:p w14:paraId="2A182192" w14:textId="77777777" w:rsidR="006E052A" w:rsidRPr="00BE5472" w:rsidRDefault="006E052A" w:rsidP="00120B4F">
      <w:pPr>
        <w:numPr>
          <w:ilvl w:val="0"/>
          <w:numId w:val="2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strategija razvoja tržišta i </w:t>
      </w:r>
    </w:p>
    <w:p w14:paraId="7ACC9B67" w14:textId="77777777" w:rsidR="006E052A" w:rsidRPr="00BE5472" w:rsidRDefault="006E052A" w:rsidP="00120B4F">
      <w:pPr>
        <w:numPr>
          <w:ilvl w:val="0"/>
          <w:numId w:val="2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strategija diverzifikacije.</w:t>
      </w:r>
    </w:p>
    <w:p w14:paraId="33284800" w14:textId="77777777" w:rsidR="003D46C7" w:rsidRDefault="003D46C7" w:rsidP="006E052A">
      <w:pPr>
        <w:spacing w:line="360" w:lineRule="auto"/>
        <w:jc w:val="both"/>
        <w:rPr>
          <w:rFonts w:ascii="Times New Roman" w:hAnsi="Times New Roman" w:cs="Times New Roman"/>
          <w:kern w:val="2"/>
          <w:sz w:val="24"/>
          <w:szCs w:val="24"/>
          <w14:ligatures w14:val="standardContextual"/>
        </w:rPr>
      </w:pPr>
    </w:p>
    <w:p w14:paraId="1672B58F" w14:textId="1F76FF2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Korištenje Ansoffove matrice pomaže poduzećima da razmotre različite strategije rasta i izaberu najprikladniju za njihovu situaciju i ciljeve.</w:t>
      </w:r>
    </w:p>
    <w:p w14:paraId="49ABDB3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Isaković (2015) navodi da su temeljne razvojne strategije: koncentracija, ekspanzija i diversifikacija (temeljene na dvije dimenzije, proizvodno-tehnološkoj i tržišnoj), dok Buble i sur. (2005) dodaju još i okomitu integraciju temeljenu na dimenziji razvoja u okviru lanca vrijednosti.  Tipurić (2014), s druge strane, koncentraciju i ekspanziju svrstava u strategije razvojne koncentracije.</w:t>
      </w:r>
    </w:p>
    <w:p w14:paraId="61064DAF" w14:textId="73D862C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Kotler (2000: 41) razlikuje tri osnovne strategije rasta, s ukupno </w:t>
      </w:r>
      <w:r w:rsidR="002B1713" w:rsidRPr="00BE5472">
        <w:rPr>
          <w:rFonts w:ascii="Times New Roman" w:hAnsi="Times New Roman" w:cs="Times New Roman"/>
          <w:kern w:val="2"/>
          <w:sz w:val="24"/>
          <w:szCs w:val="24"/>
          <w14:ligatures w14:val="standardContextual"/>
        </w:rPr>
        <w:t>devet</w:t>
      </w:r>
      <w:r w:rsidRPr="00BE5472">
        <w:rPr>
          <w:rFonts w:ascii="Times New Roman" w:hAnsi="Times New Roman" w:cs="Times New Roman"/>
          <w:kern w:val="2"/>
          <w:sz w:val="24"/>
          <w:szCs w:val="24"/>
          <w14:ligatures w14:val="standardContextual"/>
        </w:rPr>
        <w:t xml:space="preserve"> varijacija:</w:t>
      </w:r>
    </w:p>
    <w:p w14:paraId="49DF17F4" w14:textId="4F5355AC" w:rsidR="006E052A" w:rsidRPr="00BE5472" w:rsidRDefault="006E052A" w:rsidP="00120B4F">
      <w:pPr>
        <w:numPr>
          <w:ilvl w:val="0"/>
          <w:numId w:val="2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strategije intenzivnog rasta</w:t>
      </w:r>
      <w:r w:rsidRPr="00BE5472">
        <w:rPr>
          <w:rFonts w:ascii="Times New Roman" w:hAnsi="Times New Roman" w:cs="Times New Roman"/>
          <w:kern w:val="2"/>
          <w:sz w:val="24"/>
          <w:szCs w:val="24"/>
          <w14:ligatures w14:val="standardContextual"/>
        </w:rPr>
        <w:t xml:space="preserve"> koje uključuju strategiju prodora na tržište, strategija razvoja tržišta, strategija razvoja proizvoda</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odnosno strategije razvojne koncentracije;</w:t>
      </w:r>
    </w:p>
    <w:p w14:paraId="0EA6BC44" w14:textId="77777777" w:rsidR="006E052A" w:rsidRPr="00BE5472" w:rsidRDefault="006E052A" w:rsidP="00120B4F">
      <w:pPr>
        <w:numPr>
          <w:ilvl w:val="0"/>
          <w:numId w:val="2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strategije rasta temeljene na vertikalnoj integraciji</w:t>
      </w:r>
      <w:r w:rsidRPr="00BE5472">
        <w:rPr>
          <w:rFonts w:ascii="Times New Roman" w:hAnsi="Times New Roman" w:cs="Times New Roman"/>
          <w:kern w:val="2"/>
          <w:sz w:val="24"/>
          <w:szCs w:val="24"/>
          <w14:ligatures w14:val="standardContextual"/>
        </w:rPr>
        <w:t xml:space="preserve"> (silazna i uzlazna);</w:t>
      </w:r>
    </w:p>
    <w:p w14:paraId="2D914144" w14:textId="77777777" w:rsidR="006E052A" w:rsidRPr="00BE5472" w:rsidRDefault="006E052A" w:rsidP="00120B4F">
      <w:pPr>
        <w:numPr>
          <w:ilvl w:val="0"/>
          <w:numId w:val="2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strategije rasta putem diverzifikacije</w:t>
      </w:r>
      <w:r w:rsidRPr="00BE5472">
        <w:rPr>
          <w:rFonts w:ascii="Times New Roman" w:hAnsi="Times New Roman" w:cs="Times New Roman"/>
          <w:kern w:val="2"/>
          <w:sz w:val="24"/>
          <w:szCs w:val="24"/>
          <w14:ligatures w14:val="standardContextual"/>
        </w:rPr>
        <w:t xml:space="preserve"> (koncentrična diverzifikacija, horizontalna diverzifikacija, konglomeratska diverzifikacija).</w:t>
      </w:r>
    </w:p>
    <w:p w14:paraId="388188E6" w14:textId="135B972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Tri su strateška razvojna pravca koja poduzeće može slijediti (Buble i sur. 2005): </w:t>
      </w:r>
    </w:p>
    <w:p w14:paraId="5C6DA610" w14:textId="77777777" w:rsidR="006E052A" w:rsidRPr="00BE5472" w:rsidRDefault="006E052A" w:rsidP="00120B4F">
      <w:pPr>
        <w:numPr>
          <w:ilvl w:val="0"/>
          <w:numId w:val="3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horizontalni, </w:t>
      </w:r>
    </w:p>
    <w:p w14:paraId="75888ABA" w14:textId="77777777" w:rsidR="006E052A" w:rsidRPr="00BE5472" w:rsidRDefault="006E052A" w:rsidP="00120B4F">
      <w:pPr>
        <w:numPr>
          <w:ilvl w:val="0"/>
          <w:numId w:val="3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vertikalni i </w:t>
      </w:r>
    </w:p>
    <w:p w14:paraId="123EF663" w14:textId="77777777" w:rsidR="006E052A" w:rsidRPr="00BE5472" w:rsidRDefault="006E052A" w:rsidP="00120B4F">
      <w:pPr>
        <w:numPr>
          <w:ilvl w:val="0"/>
          <w:numId w:val="3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dijagonalni.</w:t>
      </w:r>
    </w:p>
    <w:p w14:paraId="147EEE56"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Ovisno o nizu različitih čimbenika poduzeće odabire razvojni pravac koji je za njega najbolji. </w:t>
      </w:r>
    </w:p>
    <w:p w14:paraId="648A1FD3" w14:textId="225933D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Strateški razvojni pravci prikazani su na Prikazu </w:t>
      </w:r>
      <w:r w:rsidR="009D3D59" w:rsidRPr="00BE5472">
        <w:rPr>
          <w:rFonts w:ascii="Times New Roman" w:hAnsi="Times New Roman" w:cs="Times New Roman"/>
          <w:kern w:val="2"/>
          <w:sz w:val="24"/>
          <w:szCs w:val="24"/>
          <w14:ligatures w14:val="standardContextual"/>
        </w:rPr>
        <w:t>1</w:t>
      </w:r>
      <w:r w:rsidR="00B11EB4">
        <w:rPr>
          <w:rFonts w:ascii="Times New Roman" w:hAnsi="Times New Roman" w:cs="Times New Roman"/>
          <w:kern w:val="2"/>
          <w:sz w:val="24"/>
          <w:szCs w:val="24"/>
          <w14:ligatures w14:val="standardContextual"/>
        </w:rPr>
        <w:t>6</w:t>
      </w:r>
      <w:r w:rsidRPr="00BE5472">
        <w:rPr>
          <w:rFonts w:ascii="Times New Roman" w:hAnsi="Times New Roman" w:cs="Times New Roman"/>
          <w:kern w:val="2"/>
          <w:sz w:val="24"/>
          <w:szCs w:val="24"/>
          <w14:ligatures w14:val="standardContextual"/>
        </w:rPr>
        <w:t>.</w:t>
      </w:r>
    </w:p>
    <w:p w14:paraId="1C546352"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109BCBAE"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3A543FDC"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21F3BF8A" w14:textId="27761A7B" w:rsidR="006E052A" w:rsidRPr="004756DA" w:rsidRDefault="004756DA" w:rsidP="004756DA">
      <w:pPr>
        <w:pStyle w:val="Caption"/>
        <w:rPr>
          <w:rFonts w:ascii="Times New Roman" w:hAnsi="Times New Roman" w:cs="Times New Roman"/>
          <w:kern w:val="2"/>
          <w:sz w:val="24"/>
          <w:szCs w:val="24"/>
          <w14:ligatures w14:val="standardContextual"/>
        </w:rPr>
      </w:pPr>
      <w:bookmarkStart w:id="88" w:name="_Toc241865284"/>
      <w:r w:rsidRPr="004756DA">
        <w:rPr>
          <w:rFonts w:ascii="Times New Roman" w:hAnsi="Times New Roman" w:cs="Times New Roman"/>
          <w:sz w:val="24"/>
          <w:szCs w:val="24"/>
        </w:rPr>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16</w:t>
      </w:r>
      <w:r w:rsidRPr="004756DA">
        <w:rPr>
          <w:rFonts w:ascii="Times New Roman" w:hAnsi="Times New Roman" w:cs="Times New Roman"/>
          <w:sz w:val="24"/>
          <w:szCs w:val="24"/>
        </w:rPr>
        <w:fldChar w:fldCharType="end"/>
      </w:r>
      <w:r w:rsidR="002341DB" w:rsidRPr="004756DA">
        <w:rPr>
          <w:rFonts w:ascii="Times New Roman" w:hAnsi="Times New Roman" w:cs="Times New Roman"/>
          <w:kern w:val="2"/>
          <w:sz w:val="24"/>
          <w:szCs w:val="24"/>
          <w14:ligatures w14:val="standardContextual"/>
        </w:rPr>
        <w:t>:</w:t>
      </w:r>
      <w:r w:rsidR="006E052A" w:rsidRPr="004756DA">
        <w:rPr>
          <w:rFonts w:ascii="Times New Roman" w:hAnsi="Times New Roman" w:cs="Times New Roman"/>
          <w:kern w:val="2"/>
          <w:sz w:val="24"/>
          <w:szCs w:val="24"/>
          <w14:ligatures w14:val="standardContextual"/>
        </w:rPr>
        <w:t xml:space="preserve"> Strateški razvojni pravci poduzeća</w:t>
      </w:r>
      <w:bookmarkEnd w:id="88"/>
    </w:p>
    <w:p w14:paraId="1F07DB7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noProof/>
          <w:kern w:val="2"/>
          <w:sz w:val="24"/>
          <w:szCs w:val="24"/>
          <w:lang w:eastAsia="hr-HR"/>
          <w14:ligatures w14:val="standardContextual"/>
        </w:rPr>
        <w:drawing>
          <wp:inline distT="0" distB="0" distL="0" distR="0" wp14:anchorId="084F8426" wp14:editId="6D8D4B31">
            <wp:extent cx="6010835" cy="2685950"/>
            <wp:effectExtent l="0" t="0" r="0" b="0"/>
            <wp:docPr id="1957845953"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8522" cy="2702790"/>
                    </a:xfrm>
                    <a:prstGeom prst="rect">
                      <a:avLst/>
                    </a:prstGeom>
                    <a:noFill/>
                  </pic:spPr>
                </pic:pic>
              </a:graphicData>
            </a:graphic>
          </wp:inline>
        </w:drawing>
      </w:r>
    </w:p>
    <w:p w14:paraId="0B7B1EE7" w14:textId="5FB4671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Izvor: Prilagođeno prema: Buble i sur. (2005)</w:t>
      </w:r>
      <w:r w:rsidR="00BB472F" w:rsidRPr="00BE5472">
        <w:rPr>
          <w:rFonts w:ascii="Times New Roman" w:hAnsi="Times New Roman" w:cs="Times New Roman"/>
          <w:kern w:val="2"/>
          <w:sz w:val="24"/>
          <w:szCs w:val="24"/>
          <w14:ligatures w14:val="standardContextual"/>
        </w:rPr>
        <w:t>.</w:t>
      </w:r>
    </w:p>
    <w:p w14:paraId="0D5D400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Horizontalni razvoj</w:t>
      </w:r>
      <w:r w:rsidRPr="00BE5472">
        <w:rPr>
          <w:rFonts w:ascii="Times New Roman" w:hAnsi="Times New Roman" w:cs="Times New Roman"/>
          <w:kern w:val="2"/>
          <w:sz w:val="24"/>
          <w:szCs w:val="24"/>
          <w14:ligatures w14:val="standardContextual"/>
        </w:rPr>
        <w:t>, koji obuhvaća koncentraciju i ekspanziju, determiniran je istom fazom lanca stvaranja vrijednosti. Ovaj oblik razvoja temelji se na poboljšanju postojećih aktivnosti i asortimana proizvoda ili usluga, korištenjem postojećih organizacijskih znanja.</w:t>
      </w:r>
    </w:p>
    <w:p w14:paraId="4D6D807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Nasuprot tome, </w:t>
      </w:r>
      <w:r w:rsidRPr="00BE5472">
        <w:rPr>
          <w:rFonts w:ascii="Times New Roman" w:hAnsi="Times New Roman" w:cs="Times New Roman"/>
          <w:i/>
          <w:kern w:val="2"/>
          <w:sz w:val="24"/>
          <w:szCs w:val="24"/>
          <w14:ligatures w14:val="standardContextual"/>
        </w:rPr>
        <w:t>vertikalni razvoj</w:t>
      </w:r>
      <w:r w:rsidRPr="00BE5472">
        <w:rPr>
          <w:rFonts w:ascii="Times New Roman" w:hAnsi="Times New Roman" w:cs="Times New Roman"/>
          <w:kern w:val="2"/>
          <w:sz w:val="24"/>
          <w:szCs w:val="24"/>
          <w14:ligatures w14:val="standardContextual"/>
        </w:rPr>
        <w:t xml:space="preserve"> (koji uključuje silaznu i uzlaznu integraciju) usmjerava poduzeće prema različitim fazama postojećeg lanca vrijednosti. Poduzeće se širi na područja koja obuhvaćaju djelatnosti njegovih kupaca i dobavljača, time pokušavajući poboljšati svoju konkurentsku prednost. </w:t>
      </w:r>
    </w:p>
    <w:p w14:paraId="7CE72D99" w14:textId="4B0A836C"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Dijagonalni razvoj</w:t>
      </w:r>
      <w:r w:rsidRPr="00BE5472">
        <w:rPr>
          <w:rFonts w:ascii="Times New Roman" w:hAnsi="Times New Roman" w:cs="Times New Roman"/>
          <w:kern w:val="2"/>
          <w:sz w:val="24"/>
          <w:szCs w:val="24"/>
          <w14:ligatures w14:val="standardContextual"/>
        </w:rPr>
        <w:t xml:space="preserve"> poduzeća podrazumijeva proširenje u djelatnosti koje su različite od njegove osnovne djelatnosti. Ovdje se primjenjuju strategije koje nisu usmjerene na postojeći lanac stvaranja vrijednosti, što može uključivati povezanu i nepovezanu diverzifikaciju. Razvoj u potpuno nove djelatnosti može biti motiviran različitim strateškim ciljevima, kao što su stjecanje novih kompetencija, stvaranje potpuno novih industrija ili tržišta te iskorištavanje financijskih, upravljačkih i tržišnih sinergija.</w:t>
      </w:r>
    </w:p>
    <w:p w14:paraId="4BCD3FE4" w14:textId="01452FF3"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Autor odabire pristup koj</w:t>
      </w:r>
      <w:r w:rsidR="002B1713" w:rsidRPr="00BE5472">
        <w:rPr>
          <w:rFonts w:ascii="Times New Roman" w:hAnsi="Times New Roman" w:cs="Times New Roman"/>
          <w:kern w:val="2"/>
          <w:sz w:val="24"/>
          <w:szCs w:val="24"/>
          <w14:ligatures w14:val="standardContextual"/>
        </w:rPr>
        <w:t>i</w:t>
      </w:r>
      <w:r w:rsidRPr="00BE5472">
        <w:rPr>
          <w:rFonts w:ascii="Times New Roman" w:hAnsi="Times New Roman" w:cs="Times New Roman"/>
          <w:kern w:val="2"/>
          <w:sz w:val="24"/>
          <w:szCs w:val="24"/>
          <w14:ligatures w14:val="standardContextual"/>
        </w:rPr>
        <w:t xml:space="preserve"> argumentira Tipurić (2015) i </w:t>
      </w:r>
      <w:r w:rsidR="002B1713" w:rsidRPr="00BE5472">
        <w:rPr>
          <w:rFonts w:ascii="Times New Roman" w:hAnsi="Times New Roman" w:cs="Times New Roman"/>
          <w:kern w:val="2"/>
          <w:sz w:val="24"/>
          <w:szCs w:val="24"/>
          <w14:ligatures w14:val="standardContextual"/>
        </w:rPr>
        <w:t xml:space="preserve">na </w:t>
      </w:r>
      <w:r w:rsidRPr="00BE5472">
        <w:rPr>
          <w:rFonts w:ascii="Times New Roman" w:hAnsi="Times New Roman" w:cs="Times New Roman"/>
          <w:kern w:val="2"/>
          <w:sz w:val="24"/>
          <w:szCs w:val="24"/>
          <w14:ligatures w14:val="standardContextual"/>
        </w:rPr>
        <w:t>temelj</w:t>
      </w:r>
      <w:r w:rsidR="002B1713"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toga u nastavku opisuje razvojne strategije poduzeća uvažavajući tri razvojna usmjerenja: horizontalni, vertikalni i dijagonalni razvoj.</w:t>
      </w:r>
    </w:p>
    <w:p w14:paraId="1C18EAAB" w14:textId="139595AC" w:rsidR="006E052A" w:rsidRPr="00BE5472" w:rsidRDefault="006E052A" w:rsidP="00C8506B">
      <w:pPr>
        <w:rPr>
          <w:rFonts w:ascii="Times New Roman" w:hAnsi="Times New Roman" w:cs="Times New Roman"/>
          <w:kern w:val="2"/>
          <w:sz w:val="24"/>
          <w:szCs w:val="24"/>
          <w14:ligatures w14:val="standardContextual"/>
        </w:rPr>
      </w:pPr>
      <w:bookmarkStart w:id="89" w:name="_Hlk161823798"/>
      <w:r w:rsidRPr="00BE5472">
        <w:rPr>
          <w:rFonts w:ascii="Times New Roman" w:hAnsi="Times New Roman" w:cs="Times New Roman"/>
          <w:kern w:val="2"/>
          <w:sz w:val="24"/>
          <w:szCs w:val="24"/>
          <w14:ligatures w14:val="standardContextual"/>
        </w:rPr>
        <w:t>Strategija koncentracije</w:t>
      </w:r>
    </w:p>
    <w:p w14:paraId="4777AEC5" w14:textId="77777777" w:rsidR="00BC3443" w:rsidRPr="00BE5472" w:rsidRDefault="00BC3443" w:rsidP="00BC3443">
      <w:pPr>
        <w:rPr>
          <w:rFonts w:ascii="Times New Roman" w:hAnsi="Times New Roman" w:cs="Times New Roman"/>
        </w:rPr>
      </w:pPr>
    </w:p>
    <w:bookmarkEnd w:id="89"/>
    <w:p w14:paraId="02EF57A0" w14:textId="6B7D26E0"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Strategija koncentracije u užem smislu (tržišni prodor) podrazumijeva fokusiranje poduzeća na povećanje tržišnog udjela i unaprjeđenje konkurentskog položaja putem ponude postojećih proizvoda na postojećim tržištima. Ovdje je riječ o horizontalnom razvoju poduzeća (ista faza u lancu stvaranja vrijednosti postojeće djelatnosti). Cilj je što više povećati udio na tržištu intenziviranjem marketinških aktivnosti hotelskih poduzeća kao što su agresivno oglašavanje i promocija, viralne marketinške kampanje, preporučeni programi (besplatno noćenje, besplatan doručak s pogledom na more…) te sniženje cijena zadržavanjem postojećih i privlačenjem novih kupaca (Horvat, Perkov i Trojak 2012: 62). Glavni cilj ove strategije je</w:t>
      </w:r>
      <w:r w:rsidR="002B1713" w:rsidRPr="00BE5472">
        <w:rPr>
          <w:rFonts w:ascii="Times New Roman" w:hAnsi="Times New Roman" w:cs="Times New Roman"/>
          <w:kern w:val="2"/>
          <w:sz w:val="24"/>
          <w:szCs w:val="24"/>
          <w14:ligatures w14:val="standardContextual"/>
        </w:rPr>
        <w:t>st</w:t>
      </w:r>
      <w:r w:rsidRPr="00BE5472">
        <w:rPr>
          <w:rFonts w:ascii="Times New Roman" w:hAnsi="Times New Roman" w:cs="Times New Roman"/>
          <w:kern w:val="2"/>
          <w:sz w:val="24"/>
          <w:szCs w:val="24"/>
          <w14:ligatures w14:val="standardContextual"/>
        </w:rPr>
        <w:t xml:space="preserve"> potaknuti što veći broj potrošača iz postojeće baze da kupe proizvod ili uslugu i privlačenje novih kupaca na istom tržištu. U suprotnom, izvjesno je da će poduzeće primijeniti mjere za smanjenje troškova (Ecobici 2007.) Najmanje je rizična strategija jer se oslanja na vlastite resurse.  Implementiranjem ove strategije poduzeća mogu ostvariti poboljšane rezultate zahvaljujući dvama ključnim procesima (Pintarić 2019): (1) krivulj</w:t>
      </w:r>
      <w:r w:rsidR="00564AA5" w:rsidRPr="00BE5472">
        <w:rPr>
          <w:rFonts w:ascii="Times New Roman" w:hAnsi="Times New Roman" w:cs="Times New Roman"/>
          <w:kern w:val="2"/>
          <w:sz w:val="24"/>
          <w:szCs w:val="24"/>
          <w14:ligatures w14:val="standardContextual"/>
        </w:rPr>
        <w:t>i</w:t>
      </w:r>
      <w:r w:rsidRPr="00BE5472">
        <w:rPr>
          <w:rFonts w:ascii="Times New Roman" w:hAnsi="Times New Roman" w:cs="Times New Roman"/>
          <w:kern w:val="2"/>
          <w:sz w:val="24"/>
          <w:szCs w:val="24"/>
          <w14:ligatures w14:val="standardContextual"/>
        </w:rPr>
        <w:t xml:space="preserve"> iskustva (povećanje proizvodnje homogenih proizvoda ili prožanje istih usluga rezultira efikasnijim izvršenjem operacija te smanjenjem prosječnih ukupnih troškova kroz vrijeme) i (2) ekonomij</w:t>
      </w:r>
      <w:r w:rsidR="00564AA5" w:rsidRPr="00BE5472">
        <w:rPr>
          <w:rFonts w:ascii="Times New Roman" w:hAnsi="Times New Roman" w:cs="Times New Roman"/>
          <w:kern w:val="2"/>
          <w:sz w:val="24"/>
          <w:szCs w:val="24"/>
          <w14:ligatures w14:val="standardContextual"/>
        </w:rPr>
        <w:t>i</w:t>
      </w:r>
      <w:r w:rsidRPr="00BE5472">
        <w:rPr>
          <w:rFonts w:ascii="Times New Roman" w:hAnsi="Times New Roman" w:cs="Times New Roman"/>
          <w:kern w:val="2"/>
          <w:sz w:val="24"/>
          <w:szCs w:val="24"/>
          <w14:ligatures w14:val="standardContextual"/>
        </w:rPr>
        <w:t xml:space="preserve"> obujma (uslijed optimizacije proizvodnih procesa i distribucijskih kanala, povećava se proizvodnja i smanjuju troškovi po jedinici proizvoda). Primjena strategije koncentracije omogućuje poduzećima da stvore održivu konkurentsku prednost fokusiranjem na optimizaciju postojećih resursa i tržišnih prilika, što ih čini sposobnima da bolje odgovore na zahtjeve tržišta i ostvare rast u dinamičnom poslovnom okruženju.</w:t>
      </w:r>
    </w:p>
    <w:p w14:paraId="0F337B02" w14:textId="5A571EE7" w:rsidR="00BC3443" w:rsidRPr="00BE5472" w:rsidRDefault="006E052A" w:rsidP="00BC3443">
      <w:pPr>
        <w:rPr>
          <w:rFonts w:ascii="Times New Roman" w:hAnsi="Times New Roman" w:cs="Times New Roman"/>
          <w:kern w:val="2"/>
          <w:sz w:val="24"/>
          <w:szCs w:val="24"/>
          <w14:ligatures w14:val="standardContextual"/>
        </w:rPr>
      </w:pPr>
      <w:bookmarkStart w:id="90" w:name="_Hlk161823807"/>
      <w:r w:rsidRPr="00BE5472">
        <w:rPr>
          <w:rFonts w:ascii="Times New Roman" w:hAnsi="Times New Roman" w:cs="Times New Roman"/>
          <w:kern w:val="2"/>
          <w:sz w:val="24"/>
          <w:szCs w:val="24"/>
          <w14:ligatures w14:val="standardContextual"/>
        </w:rPr>
        <w:t>Strategija ekspanzije</w:t>
      </w:r>
    </w:p>
    <w:p w14:paraId="2602FD16" w14:textId="77777777" w:rsidR="00564AA5" w:rsidRPr="00BE5472" w:rsidRDefault="00564AA5" w:rsidP="00BC3443">
      <w:pPr>
        <w:rPr>
          <w:rFonts w:ascii="Times New Roman" w:hAnsi="Times New Roman" w:cs="Times New Roman"/>
          <w:kern w:val="2"/>
          <w:sz w:val="24"/>
          <w:szCs w:val="24"/>
          <w14:ligatures w14:val="standardContextual"/>
        </w:rPr>
      </w:pPr>
    </w:p>
    <w:bookmarkEnd w:id="90"/>
    <w:p w14:paraId="5184E20D"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Strategijom ekspanzije poduzeće nastoji dodatno učvrstiti svoj položaj na tržištu unutar postojeće industrije. Ova strategija može se ostvariti na tri načina (Buble i sur. 2005): </w:t>
      </w:r>
    </w:p>
    <w:p w14:paraId="71E0FC10" w14:textId="0D193ACC" w:rsidR="006E052A" w:rsidRPr="00BE5472" w:rsidRDefault="006E052A" w:rsidP="00120B4F">
      <w:pPr>
        <w:numPr>
          <w:ilvl w:val="0"/>
          <w:numId w:val="2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tržišnom ekspanzijom</w:t>
      </w:r>
      <w:r w:rsidRPr="00BE5472">
        <w:rPr>
          <w:rFonts w:ascii="Times New Roman" w:hAnsi="Times New Roman" w:cs="Times New Roman"/>
          <w:kern w:val="2"/>
          <w:sz w:val="24"/>
          <w:szCs w:val="24"/>
          <w14:ligatures w14:val="standardContextual"/>
        </w:rPr>
        <w:t xml:space="preserve"> kada poduzeće s istim asortimanom proizvoda nastoji osvojiti nova tržišta</w:t>
      </w:r>
      <w:r w:rsidR="002B1713" w:rsidRPr="00BE5472">
        <w:rPr>
          <w:rFonts w:ascii="Times New Roman" w:hAnsi="Times New Roman" w:cs="Times New Roman"/>
          <w:kern w:val="2"/>
          <w:sz w:val="24"/>
          <w:szCs w:val="24"/>
          <w14:ligatures w14:val="standardContextual"/>
        </w:rPr>
        <w:t>,</w:t>
      </w:r>
    </w:p>
    <w:p w14:paraId="5F32EEDE" w14:textId="35508090" w:rsidR="006E052A" w:rsidRPr="00BE5472" w:rsidRDefault="006E052A" w:rsidP="00120B4F">
      <w:pPr>
        <w:numPr>
          <w:ilvl w:val="0"/>
          <w:numId w:val="2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proizvodnom ekspanzijom</w:t>
      </w:r>
      <w:r w:rsidRPr="00BE5472">
        <w:rPr>
          <w:rFonts w:ascii="Times New Roman" w:hAnsi="Times New Roman" w:cs="Times New Roman"/>
          <w:kern w:val="2"/>
          <w:sz w:val="24"/>
          <w:szCs w:val="24"/>
          <w14:ligatures w14:val="standardContextual"/>
        </w:rPr>
        <w:t xml:space="preserve"> odnosno širenje asortimana proizvoda na istom tržišt</w:t>
      </w:r>
      <w:r w:rsidR="00462395" w:rsidRPr="00BE5472">
        <w:rPr>
          <w:rFonts w:ascii="Times New Roman" w:hAnsi="Times New Roman" w:cs="Times New Roman"/>
          <w:kern w:val="2"/>
          <w:sz w:val="24"/>
          <w:szCs w:val="24"/>
          <w14:ligatures w14:val="standardContextual"/>
        </w:rPr>
        <w:t>u</w:t>
      </w:r>
      <w:r w:rsidR="002B1713" w:rsidRPr="00BE5472">
        <w:rPr>
          <w:rFonts w:ascii="Times New Roman" w:hAnsi="Times New Roman" w:cs="Times New Roman"/>
          <w:kern w:val="2"/>
          <w:sz w:val="24"/>
          <w:szCs w:val="24"/>
          <w14:ligatures w14:val="standardContextual"/>
        </w:rPr>
        <w:t>,</w:t>
      </w:r>
    </w:p>
    <w:p w14:paraId="40029AA2" w14:textId="6C60EE73" w:rsidR="006E052A" w:rsidRDefault="006E052A" w:rsidP="00120B4F">
      <w:pPr>
        <w:numPr>
          <w:ilvl w:val="0"/>
          <w:numId w:val="2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kombiniranom ekspanzijom</w:t>
      </w:r>
      <w:r w:rsidRPr="00BE5472">
        <w:rPr>
          <w:rFonts w:ascii="Times New Roman" w:hAnsi="Times New Roman" w:cs="Times New Roman"/>
          <w:kern w:val="2"/>
          <w:sz w:val="24"/>
          <w:szCs w:val="24"/>
          <w14:ligatures w14:val="standardContextual"/>
        </w:rPr>
        <w:t xml:space="preserve"> koja predstavlja kombinaciju tržišne i proizvodne ekspanzije</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kada poduzeće nastoji osvojiti nova tržišta širim asortimanom proizvoda s ciljem povećanja udjela na tržištu i osiguranja stabilne pozicije u industriji.</w:t>
      </w:r>
    </w:p>
    <w:p w14:paraId="3D66D761" w14:textId="77777777" w:rsidR="00AC223C" w:rsidRPr="00BE5472" w:rsidRDefault="00AC223C" w:rsidP="00AC223C">
      <w:pPr>
        <w:spacing w:line="360" w:lineRule="auto"/>
        <w:ind w:left="360"/>
        <w:contextualSpacing/>
        <w:jc w:val="both"/>
        <w:rPr>
          <w:rFonts w:ascii="Times New Roman" w:hAnsi="Times New Roman" w:cs="Times New Roman"/>
          <w:kern w:val="2"/>
          <w:sz w:val="24"/>
          <w:szCs w:val="24"/>
          <w14:ligatures w14:val="standardContextual"/>
        </w:rPr>
      </w:pPr>
    </w:p>
    <w:p w14:paraId="3EF3067A"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Tržišna ekspanzija</w:t>
      </w:r>
      <w:r w:rsidRPr="00BE5472">
        <w:rPr>
          <w:rFonts w:ascii="Times New Roman" w:hAnsi="Times New Roman" w:cs="Times New Roman"/>
          <w:kern w:val="2"/>
          <w:sz w:val="24"/>
          <w:szCs w:val="24"/>
          <w14:ligatures w14:val="standardContextual"/>
        </w:rPr>
        <w:t xml:space="preserve"> podrazumijeva da su aktivnosti poduzeća usmjerene na pronalaženje novih tržišta za postojeće proizvode. To može uključivati geografsku ekspanziju u nove regije ili ciljanje na nove segmente potrošača.</w:t>
      </w:r>
      <w:r w:rsidRPr="00BE5472">
        <w:rPr>
          <w:rFonts w:ascii="Times New Roman" w:hAnsi="Times New Roman" w:cs="Times New Roman"/>
          <w:kern w:val="2"/>
          <w14:ligatures w14:val="standardContextual"/>
        </w:rPr>
        <w:t xml:space="preserve"> </w:t>
      </w:r>
    </w:p>
    <w:p w14:paraId="0C4C570E" w14:textId="04A8D35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Proizvodna ekspanzija</w:t>
      </w:r>
      <w:r w:rsidRPr="00BE5472">
        <w:rPr>
          <w:rFonts w:ascii="Times New Roman" w:hAnsi="Times New Roman" w:cs="Times New Roman"/>
          <w:kern w:val="2"/>
          <w:sz w:val="24"/>
          <w:szCs w:val="24"/>
          <w14:ligatures w14:val="standardContextual"/>
        </w:rPr>
        <w:t xml:space="preserve"> podrazumijeva plasiranje novih ili postojećih proizvoda s novim značajkama ili funkcijama na postojeća tržišta kako bi se zadovoljile potrebe postojećih tržišta. Kako bi poduzeće ponudilo odgovarajuća rješenja od iznimne je važnosti prepoznavanje potreba, zahtjeva i želja kupaca. Stoga su, osim ulaganja u razvoj proizvoda, izvjesna i ulaganja u istraživanje i razvoj. Dakle, nije ovdje riječ samo o uvođenju proizvoda na novo tržište ili proširivanju linije proizvoda. Nužno je duboko razumijevanje trendova na tržištu, ponašanja potrošača, konkurentske situacije i pozicioniranja proizvoda. Efikasna primjena ove strategije, osim ulaganja u istraživanje i razvoj, zahtijeva duboko razumijevanje tržišta i potražnje te posjedovanje odgovarajućih znanja i vještina od strane menadžera i timova koji su angažirani u razvoju novih proizvoda/usluga ili inoviranju postojeće ponude (Golja 2024). Poduzeća koja uspiju brzo reagirati na promjene na tržištu i ponuditi proizvode koji odgovaraju trenut</w:t>
      </w:r>
      <w:r w:rsidR="009F3C04" w:rsidRPr="00BE5472">
        <w:rPr>
          <w:rFonts w:ascii="Times New Roman" w:hAnsi="Times New Roman" w:cs="Times New Roman"/>
          <w:kern w:val="2"/>
          <w:sz w:val="24"/>
          <w:szCs w:val="24"/>
          <w14:ligatures w14:val="standardContextual"/>
        </w:rPr>
        <w:t>ač</w:t>
      </w:r>
      <w:r w:rsidRPr="00BE5472">
        <w:rPr>
          <w:rFonts w:ascii="Times New Roman" w:hAnsi="Times New Roman" w:cs="Times New Roman"/>
          <w:kern w:val="2"/>
          <w:sz w:val="24"/>
          <w:szCs w:val="24"/>
          <w14:ligatures w14:val="standardContextual"/>
        </w:rPr>
        <w:t>nim potrebama potrošača imaju veće šanse za rast. Prema Mishina, Porac i Pollock (2004), postoji značajna veza između razvoja novih proizvoda i rasta poduzeća. Razvoj novih proizvoda omogućuje poduzećima da ostanu konkurentna ili čak preuzmu prednost u odnosu na konkurenciju</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nudeći inovativne proizvode ili usluge koje zadovoljavaju potrebe potrošača na novi ili bolji način.</w:t>
      </w:r>
    </w:p>
    <w:p w14:paraId="67B47AAB" w14:textId="5552ADB2" w:rsidR="006E052A" w:rsidRPr="00BE5472" w:rsidRDefault="006E052A" w:rsidP="00462395">
      <w:pPr>
        <w:rPr>
          <w:rFonts w:ascii="Times New Roman" w:hAnsi="Times New Roman" w:cs="Times New Roman"/>
          <w:kern w:val="2"/>
          <w:sz w:val="24"/>
          <w:szCs w:val="24"/>
          <w14:ligatures w14:val="standardContextual"/>
        </w:rPr>
      </w:pPr>
      <w:bookmarkStart w:id="91" w:name="_Hlk161823814"/>
      <w:r w:rsidRPr="00BE5472">
        <w:rPr>
          <w:rFonts w:ascii="Times New Roman" w:hAnsi="Times New Roman" w:cs="Times New Roman"/>
          <w:kern w:val="2"/>
          <w:sz w:val="24"/>
          <w:szCs w:val="24"/>
          <w14:ligatures w14:val="standardContextual"/>
        </w:rPr>
        <w:t>Strategija diverzifikacija</w:t>
      </w:r>
    </w:p>
    <w:p w14:paraId="11F9FBB9" w14:textId="77777777" w:rsidR="00BC3443" w:rsidRPr="00BE5472" w:rsidRDefault="00BC3443" w:rsidP="00BC3443">
      <w:pPr>
        <w:rPr>
          <w:rFonts w:ascii="Times New Roman" w:hAnsi="Times New Roman" w:cs="Times New Roman"/>
        </w:rPr>
      </w:pPr>
    </w:p>
    <w:bookmarkEnd w:id="91"/>
    <w:p w14:paraId="11D2D002" w14:textId="28F4FC36"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Za razliku od strategija koncentracije, ekspanzije i vertikalne (okomite) integracije, koj</w:t>
      </w:r>
      <w:r w:rsidR="00023CD9" w:rsidRPr="00BE5472">
        <w:rPr>
          <w:rFonts w:ascii="Times New Roman" w:hAnsi="Times New Roman" w:cs="Times New Roman"/>
          <w:kern w:val="2"/>
          <w:sz w:val="24"/>
          <w:szCs w:val="24"/>
          <w14:ligatures w14:val="standardContextual"/>
        </w:rPr>
        <w:t>e</w:t>
      </w:r>
      <w:r w:rsidRPr="00BE5472">
        <w:rPr>
          <w:rFonts w:ascii="Times New Roman" w:hAnsi="Times New Roman" w:cs="Times New Roman"/>
          <w:kern w:val="2"/>
          <w:sz w:val="24"/>
          <w:szCs w:val="24"/>
          <w14:ligatures w14:val="standardContextual"/>
        </w:rPr>
        <w:t xml:space="preserve"> se fokusiraju na unapređenje postojećeg lanca vrijednosti ili širenje unutar iste industrije, diverzifikacija implicira širenje na potpuno nove poslovne vertikale ili industrije te otvara put k novim lancima vrijednosti (Tipurić 2014).</w:t>
      </w:r>
    </w:p>
    <w:p w14:paraId="5F82A70E" w14:textId="597C5AEA"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Strategijom diverzifikacije poduzeće uvodi novi proizvod na potpuno novo tržište</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odnosno širi poslovanje ulaskom u nove djelatnosti, proizvodnju drugačijih proizvoda ili pružanje različitih usluga u odnosu na postojeći asortiman. Podrazumijeva diverzifikaciju poslovnih aktivnosti kroz osvajanje novih tržišta, razvoj novih proizvoda ili usluga te integraciju u nove segmente lanca vrijednosti, što obuhvaća sve faze od proizvodnje do marketinga. Diverzifikacija može biti koncentrirana (povezana) kada poduzeće ostaje unutar iste industrije ili konglomeratska (nepovezana) kada poduzeće ulazi u potpuno različite industrije.</w:t>
      </w:r>
    </w:p>
    <w:p w14:paraId="324FA51F" w14:textId="5C8D446B"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Koncentrirana (povezana) diverzifikacija</w:t>
      </w:r>
      <w:r w:rsidRPr="00BE5472">
        <w:rPr>
          <w:rFonts w:ascii="Times New Roman" w:hAnsi="Times New Roman" w:cs="Times New Roman"/>
          <w:kern w:val="2"/>
          <w:sz w:val="24"/>
          <w:szCs w:val="24"/>
          <w14:ligatures w14:val="standardContextual"/>
        </w:rPr>
        <w:t xml:space="preserve"> je razvojna strategija koja podrazumijeva ulazak poduzeća u poslovne aktivnosti koje dijele određenu povezanost u tehnologiji, znanju, potrebama zaposlenika, distribucijskim kanalima, dobavljačima, proizvodnim metodama te tržištima (Buble i sur. 2005). Dakle, strategija koncentrirane</w:t>
      </w:r>
      <w:r w:rsidR="002628C0">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diverzifikacije u hotelijerstvu predstavlja poslovni pristup koji obuhvaća proširenje poslovnih aktivnosti poduzeća na nove segmente koji su povezani s njenim trenut</w:t>
      </w:r>
      <w:r w:rsidR="009F3C04" w:rsidRPr="00BE5472">
        <w:rPr>
          <w:rFonts w:ascii="Times New Roman" w:hAnsi="Times New Roman" w:cs="Times New Roman"/>
          <w:kern w:val="2"/>
          <w:sz w:val="24"/>
          <w:szCs w:val="24"/>
          <w14:ligatures w14:val="standardContextual"/>
        </w:rPr>
        <w:t>ač</w:t>
      </w:r>
      <w:r w:rsidRPr="00BE5472">
        <w:rPr>
          <w:rFonts w:ascii="Times New Roman" w:hAnsi="Times New Roman" w:cs="Times New Roman"/>
          <w:kern w:val="2"/>
          <w:sz w:val="24"/>
          <w:szCs w:val="24"/>
          <w14:ligatures w14:val="standardContextual"/>
        </w:rPr>
        <w:t>nim poslovanjem. Umjesto da ulazi u potpuno nova područja, ova strategija naglašava ulazak na srodna ili povezana tržišta ili ponude kako bi se iskoristile postojeće kompetencije, resursi i tržišta. Primjerice,  hotelski lanac može proširiti svoje poslovanje na usluge restorana ili iznajmljivanje prostora za događaje, koristeći svoju infrastrukturu, ugostiteljske vještine i već izgrađenu bazu klijenata. Drugi primjer može biti</w:t>
      </w:r>
      <w:r w:rsidR="00532E4C" w:rsidRPr="00BE5472">
        <w:rPr>
          <w:rFonts w:ascii="Times New Roman" w:hAnsi="Times New Roman" w:cs="Times New Roman"/>
          <w:kern w:val="2"/>
          <w:sz w:val="24"/>
          <w:szCs w:val="24"/>
          <w14:ligatures w14:val="standardContextual"/>
        </w:rPr>
        <w:t xml:space="preserve"> prelazak</w:t>
      </w:r>
      <w:r w:rsidRPr="00BE5472">
        <w:rPr>
          <w:rFonts w:ascii="Times New Roman" w:hAnsi="Times New Roman" w:cs="Times New Roman"/>
          <w:kern w:val="2"/>
          <w:sz w:val="24"/>
          <w:szCs w:val="24"/>
          <w14:ligatures w14:val="standardContextual"/>
        </w:rPr>
        <w:t xml:space="preserve"> nek</w:t>
      </w:r>
      <w:r w:rsidR="00532E4C" w:rsidRPr="00BE5472">
        <w:rPr>
          <w:rFonts w:ascii="Times New Roman" w:hAnsi="Times New Roman" w:cs="Times New Roman"/>
          <w:kern w:val="2"/>
          <w:sz w:val="24"/>
          <w:szCs w:val="24"/>
          <w14:ligatures w14:val="standardContextual"/>
        </w:rPr>
        <w:t>og</w:t>
      </w:r>
      <w:r w:rsidRPr="00BE5472">
        <w:rPr>
          <w:rFonts w:ascii="Times New Roman" w:hAnsi="Times New Roman" w:cs="Times New Roman"/>
          <w:kern w:val="2"/>
          <w:sz w:val="24"/>
          <w:szCs w:val="24"/>
          <w14:ligatures w14:val="standardContextual"/>
        </w:rPr>
        <w:t xml:space="preserve"> hotelsk</w:t>
      </w:r>
      <w:r w:rsidR="00532E4C" w:rsidRPr="00BE5472">
        <w:rPr>
          <w:rFonts w:ascii="Times New Roman" w:hAnsi="Times New Roman" w:cs="Times New Roman"/>
          <w:kern w:val="2"/>
          <w:sz w:val="24"/>
          <w:szCs w:val="24"/>
          <w14:ligatures w14:val="standardContextual"/>
        </w:rPr>
        <w:t>og</w:t>
      </w:r>
      <w:r w:rsidRPr="00BE5472">
        <w:rPr>
          <w:rFonts w:ascii="Times New Roman" w:hAnsi="Times New Roman" w:cs="Times New Roman"/>
          <w:kern w:val="2"/>
          <w:sz w:val="24"/>
          <w:szCs w:val="24"/>
          <w14:ligatures w14:val="standardContextual"/>
        </w:rPr>
        <w:t xml:space="preserve"> lanc</w:t>
      </w:r>
      <w:r w:rsidR="00532E4C"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koji je primarno djelovao u destinacijama sunca i mora</w:t>
      </w:r>
      <w:r w:rsidR="00736545"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na ponudu urbanih turističkih doživljaja.</w:t>
      </w:r>
    </w:p>
    <w:p w14:paraId="347E525B" w14:textId="4A1B269C"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 xml:space="preserve">Konglomeratska (nepovezana </w:t>
      </w:r>
      <w:r w:rsidR="009F3C04" w:rsidRPr="00BE5472">
        <w:rPr>
          <w:rFonts w:ascii="Times New Roman" w:hAnsi="Times New Roman" w:cs="Times New Roman"/>
          <w:i/>
          <w:kern w:val="2"/>
          <w:sz w:val="24"/>
          <w:szCs w:val="24"/>
          <w14:ligatures w14:val="standardContextual"/>
        </w:rPr>
        <w:t>diverzifikacija</w:t>
      </w:r>
      <w:r w:rsidRPr="00BE5472">
        <w:rPr>
          <w:rFonts w:ascii="Times New Roman" w:hAnsi="Times New Roman" w:cs="Times New Roman"/>
          <w:i/>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predstavlja razvojnu strategiju kojom poduzeće širi svoje poslovanje na različite industrije ili tržišta koja su u potpunosti različita ili su tek minimalno povezana s nje</w:t>
      </w:r>
      <w:r w:rsidR="00736545" w:rsidRPr="00BE5472">
        <w:rPr>
          <w:rFonts w:ascii="Times New Roman" w:hAnsi="Times New Roman" w:cs="Times New Roman"/>
          <w:kern w:val="2"/>
          <w:sz w:val="24"/>
          <w:szCs w:val="24"/>
          <w14:ligatures w14:val="standardContextual"/>
        </w:rPr>
        <w:t>govom</w:t>
      </w:r>
      <w:r w:rsidRPr="00BE5472">
        <w:rPr>
          <w:rFonts w:ascii="Times New Roman" w:hAnsi="Times New Roman" w:cs="Times New Roman"/>
          <w:kern w:val="2"/>
          <w:sz w:val="24"/>
          <w:szCs w:val="24"/>
          <w14:ligatures w14:val="standardContextual"/>
        </w:rPr>
        <w:t xml:space="preserve"> osnovnom djelatnošću</w:t>
      </w:r>
      <w:r w:rsidR="00484651">
        <w:rPr>
          <w:rFonts w:ascii="Times New Roman" w:hAnsi="Times New Roman" w:cs="Times New Roman"/>
          <w:kern w:val="2"/>
          <w:sz w:val="24"/>
          <w:szCs w:val="24"/>
          <w14:ligatures w14:val="standardContextual"/>
        </w:rPr>
        <w:t xml:space="preserve"> (Tipurić, 2014).</w:t>
      </w:r>
      <w:r w:rsidRPr="00BE5472">
        <w:rPr>
          <w:rFonts w:ascii="Times New Roman" w:hAnsi="Times New Roman" w:cs="Times New Roman"/>
          <w:kern w:val="2"/>
          <w:sz w:val="24"/>
          <w:szCs w:val="24"/>
          <w14:ligatures w14:val="standardContextual"/>
        </w:rPr>
        <w:t xml:space="preserve"> Uključuje diverzifikaciju u potpuno nova poslovna područja koje nemaju direktnu vezu postojećim djelatnostima poduzeća. Temeljna ideja konglomeratske diverzifikacije je diverzifikacija rizika širenjem </w:t>
      </w:r>
      <w:r w:rsidR="00974EBD" w:rsidRPr="00BE5472">
        <w:rPr>
          <w:rFonts w:ascii="Times New Roman" w:hAnsi="Times New Roman" w:cs="Times New Roman"/>
          <w:kern w:val="2"/>
          <w:sz w:val="24"/>
          <w:szCs w:val="24"/>
          <w14:ligatures w14:val="standardContextual"/>
        </w:rPr>
        <w:t>vlastitog</w:t>
      </w:r>
      <w:r w:rsidRPr="00BE5472">
        <w:rPr>
          <w:rFonts w:ascii="Times New Roman" w:hAnsi="Times New Roman" w:cs="Times New Roman"/>
          <w:kern w:val="2"/>
          <w:sz w:val="24"/>
          <w:szCs w:val="24"/>
          <w14:ligatures w14:val="standardContextual"/>
        </w:rPr>
        <w:t xml:space="preserve"> poslovanja na različite industrije i sektore. Na taj način, negativni utjecaji koji mogu pogoditi jednu industriju ili sektor možda neće imati isti efekt na druge dijelove poslovanja poduzeća. Hotelsko poduzeće primjerice može ulaga</w:t>
      </w:r>
      <w:r w:rsidR="00FA2144" w:rsidRPr="00BE5472">
        <w:rPr>
          <w:rFonts w:ascii="Times New Roman" w:hAnsi="Times New Roman" w:cs="Times New Roman"/>
          <w:kern w:val="2"/>
          <w:sz w:val="24"/>
          <w:szCs w:val="24"/>
          <w14:ligatures w14:val="standardContextual"/>
        </w:rPr>
        <w:t>ti</w:t>
      </w:r>
      <w:r w:rsidRPr="00BE5472">
        <w:rPr>
          <w:rFonts w:ascii="Times New Roman" w:hAnsi="Times New Roman" w:cs="Times New Roman"/>
          <w:kern w:val="2"/>
          <w:sz w:val="24"/>
          <w:szCs w:val="24"/>
          <w14:ligatures w14:val="standardContextual"/>
        </w:rPr>
        <w:t xml:space="preserve"> u tehnološke inovacije ili </w:t>
      </w:r>
      <w:r w:rsidRPr="00BE5472">
        <w:rPr>
          <w:rFonts w:ascii="Times New Roman" w:hAnsi="Times New Roman" w:cs="Times New Roman"/>
          <w:i/>
          <w:kern w:val="2"/>
          <w:sz w:val="24"/>
          <w:szCs w:val="24"/>
          <w14:ligatures w14:val="standardContextual"/>
        </w:rPr>
        <w:t>start-upove</w:t>
      </w:r>
      <w:r w:rsidRPr="00BE5472">
        <w:rPr>
          <w:rFonts w:ascii="Times New Roman" w:hAnsi="Times New Roman" w:cs="Times New Roman"/>
          <w:kern w:val="2"/>
          <w:sz w:val="24"/>
          <w:szCs w:val="24"/>
          <w14:ligatures w14:val="standardContextual"/>
        </w:rPr>
        <w:t xml:space="preserve">. Ulaganjem u tehnološke inovacije ili </w:t>
      </w:r>
      <w:r w:rsidRPr="00BE5472">
        <w:rPr>
          <w:rFonts w:ascii="Times New Roman" w:hAnsi="Times New Roman" w:cs="Times New Roman"/>
          <w:i/>
          <w:iCs/>
          <w:kern w:val="2"/>
          <w:sz w:val="24"/>
          <w:szCs w:val="24"/>
          <w14:ligatures w14:val="standardContextual"/>
        </w:rPr>
        <w:t>start</w:t>
      </w:r>
      <w:r w:rsidRPr="00BE5472">
        <w:rPr>
          <w:rFonts w:ascii="Times New Roman" w:hAnsi="Times New Roman" w:cs="Times New Roman"/>
          <w:kern w:val="2"/>
          <w:sz w:val="24"/>
          <w:szCs w:val="24"/>
          <w14:ligatures w14:val="standardContextual"/>
        </w:rPr>
        <w:t>-</w:t>
      </w:r>
      <w:r w:rsidRPr="00BE5472">
        <w:rPr>
          <w:rFonts w:ascii="Times New Roman" w:hAnsi="Times New Roman" w:cs="Times New Roman"/>
          <w:i/>
          <w:iCs/>
          <w:kern w:val="2"/>
          <w:sz w:val="24"/>
          <w:szCs w:val="24"/>
          <w14:ligatures w14:val="standardContextual"/>
        </w:rPr>
        <w:t>upove</w:t>
      </w:r>
      <w:r w:rsidRPr="00BE5472">
        <w:rPr>
          <w:rFonts w:ascii="Times New Roman" w:hAnsi="Times New Roman" w:cs="Times New Roman"/>
          <w:kern w:val="2"/>
          <w:sz w:val="24"/>
          <w:szCs w:val="24"/>
          <w14:ligatures w14:val="standardContextual"/>
        </w:rPr>
        <w:t xml:space="preserve"> koji razvijaju inovativna rješenja hotelsko poduzeće može imati koristi primjerice u poboljšanj</w:t>
      </w:r>
      <w:r w:rsidR="0098683C"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iskustva gostiju razvojem raznih personaliziranih aplikacija. Konglomeratska diverzifikacija može biti korisna strategija za poduzeća koje žele smanjiti rizik i širiti svoje </w:t>
      </w:r>
      <w:r w:rsidRPr="00BE5472">
        <w:rPr>
          <w:rFonts w:ascii="Times New Roman" w:hAnsi="Times New Roman" w:cs="Times New Roman"/>
          <w:kern w:val="2"/>
          <w:sz w:val="24"/>
          <w:szCs w:val="24"/>
          <w14:ligatures w14:val="standardContextual"/>
        </w:rPr>
        <w:lastRenderedPageBreak/>
        <w:t>poslovanje na različita područja, ali zaht</w:t>
      </w:r>
      <w:r w:rsidR="002B1713" w:rsidRPr="00BE5472">
        <w:rPr>
          <w:rFonts w:ascii="Times New Roman" w:hAnsi="Times New Roman" w:cs="Times New Roman"/>
          <w:kern w:val="2"/>
          <w:sz w:val="24"/>
          <w:szCs w:val="24"/>
          <w14:ligatures w14:val="standardContextual"/>
        </w:rPr>
        <w:t>i</w:t>
      </w:r>
      <w:r w:rsidRPr="00BE5472">
        <w:rPr>
          <w:rFonts w:ascii="Times New Roman" w:hAnsi="Times New Roman" w:cs="Times New Roman"/>
          <w:kern w:val="2"/>
          <w:sz w:val="24"/>
          <w:szCs w:val="24"/>
          <w14:ligatures w14:val="standardContextual"/>
        </w:rPr>
        <w:t>jeva pažljivo planiranje, upravljanje i resurse kako bi se postigao usp</w:t>
      </w:r>
      <w:r w:rsidR="002B1713" w:rsidRPr="00BE5472">
        <w:rPr>
          <w:rFonts w:ascii="Times New Roman" w:hAnsi="Times New Roman" w:cs="Times New Roman"/>
          <w:kern w:val="2"/>
          <w:sz w:val="24"/>
          <w:szCs w:val="24"/>
          <w14:ligatures w14:val="standardContextual"/>
        </w:rPr>
        <w:t>j</w:t>
      </w:r>
      <w:r w:rsidRPr="00BE5472">
        <w:rPr>
          <w:rFonts w:ascii="Times New Roman" w:hAnsi="Times New Roman" w:cs="Times New Roman"/>
          <w:kern w:val="2"/>
          <w:sz w:val="24"/>
          <w:szCs w:val="24"/>
          <w14:ligatures w14:val="standardContextual"/>
        </w:rPr>
        <w:t>eh.</w:t>
      </w:r>
    </w:p>
    <w:p w14:paraId="3D1E80A2" w14:textId="77777777" w:rsidR="00A06228" w:rsidRDefault="00A06228" w:rsidP="0000228A">
      <w:pPr>
        <w:rPr>
          <w:rFonts w:ascii="Times New Roman" w:hAnsi="Times New Roman" w:cs="Times New Roman"/>
          <w:kern w:val="2"/>
          <w:sz w:val="24"/>
          <w:szCs w:val="24"/>
          <w14:ligatures w14:val="standardContextual"/>
        </w:rPr>
      </w:pPr>
      <w:bookmarkStart w:id="92" w:name="_Hlk161823824"/>
    </w:p>
    <w:p w14:paraId="08118CB3" w14:textId="37A12BEA" w:rsidR="006E052A" w:rsidRPr="00BE5472" w:rsidRDefault="006E052A" w:rsidP="0000228A">
      <w:pPr>
        <w:rPr>
          <w:rFonts w:ascii="Times New Roman" w:hAnsi="Times New Roman" w:cs="Times New Roman"/>
        </w:rPr>
      </w:pPr>
      <w:r w:rsidRPr="00BE5472">
        <w:rPr>
          <w:rFonts w:ascii="Times New Roman" w:hAnsi="Times New Roman" w:cs="Times New Roman"/>
          <w:kern w:val="2"/>
          <w:sz w:val="24"/>
          <w:szCs w:val="24"/>
          <w14:ligatures w14:val="standardContextual"/>
        </w:rPr>
        <w:t xml:space="preserve">Strategija okomite </w:t>
      </w:r>
      <w:r w:rsidR="0000228A" w:rsidRPr="00BE5472">
        <w:rPr>
          <w:rFonts w:ascii="Times New Roman" w:hAnsi="Times New Roman" w:cs="Times New Roman"/>
          <w:kern w:val="2"/>
          <w:sz w:val="24"/>
          <w:szCs w:val="24"/>
          <w14:ligatures w14:val="standardContextual"/>
        </w:rPr>
        <w:t xml:space="preserve">(vertikalne) </w:t>
      </w:r>
      <w:r w:rsidRPr="00BE5472">
        <w:rPr>
          <w:rFonts w:ascii="Times New Roman" w:hAnsi="Times New Roman" w:cs="Times New Roman"/>
          <w:kern w:val="2"/>
          <w:sz w:val="24"/>
          <w:szCs w:val="24"/>
          <w14:ligatures w14:val="standardContextual"/>
        </w:rPr>
        <w:t>integracije</w:t>
      </w:r>
    </w:p>
    <w:p w14:paraId="69F1D48E" w14:textId="77777777" w:rsidR="00BC3443" w:rsidRPr="00BE5472" w:rsidRDefault="00BC3443" w:rsidP="00BC3443">
      <w:pPr>
        <w:rPr>
          <w:rFonts w:ascii="Times New Roman" w:hAnsi="Times New Roman" w:cs="Times New Roman"/>
        </w:rPr>
      </w:pPr>
    </w:p>
    <w:bookmarkEnd w:id="92"/>
    <w:p w14:paraId="244F5B9D"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Okomita ili vertikalna integracija je poslovna strategija koja uključuje dublje povezivanje različitih segmenata poslovnog procesa ili lanca opskrbe. Umjesto da se oslanja na eksterne dobavljače za proizvode ili usluge, poduzeće se odlučuje za proizvodnju ili stvaranje tih proizvoda/usluga unutar vlastitih operacija. </w:t>
      </w:r>
    </w:p>
    <w:p w14:paraId="137A4C70"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Prednosti izbora ove strategije su:</w:t>
      </w:r>
    </w:p>
    <w:p w14:paraId="55D31338" w14:textId="6A6BBBE4" w:rsidR="006E052A" w:rsidRPr="00BE5472" w:rsidRDefault="006E052A" w:rsidP="00120B4F">
      <w:pPr>
        <w:numPr>
          <w:ilvl w:val="0"/>
          <w:numId w:val="3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optimizacija troškova </w:t>
      </w:r>
      <w:r w:rsidR="00751ECB"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integracija</w:t>
      </w:r>
      <w:r w:rsidR="00751ECB"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može rezultirati smanjenjem troškova</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budući da poduzeće preuzima kontrolu nad više dijelova proizvodnog procesa, eliminirajući tako marže eksternih dobavljača</w:t>
      </w:r>
      <w:r w:rsidR="002B1713" w:rsidRPr="00BE5472">
        <w:rPr>
          <w:rFonts w:ascii="Times New Roman" w:hAnsi="Times New Roman" w:cs="Times New Roman"/>
          <w:kern w:val="2"/>
          <w:sz w:val="24"/>
          <w:szCs w:val="24"/>
          <w14:ligatures w14:val="standardContextual"/>
        </w:rPr>
        <w:t>,</w:t>
      </w:r>
    </w:p>
    <w:p w14:paraId="1D951D78" w14:textId="16B0882B" w:rsidR="006E052A" w:rsidRPr="00BE5472" w:rsidRDefault="006E052A" w:rsidP="00120B4F">
      <w:pPr>
        <w:numPr>
          <w:ilvl w:val="0"/>
          <w:numId w:val="3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učinkovitija kontrol</w:t>
      </w:r>
      <w:r w:rsidR="00751ECB"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kvalitete</w:t>
      </w:r>
      <w:r w:rsidR="002B1713" w:rsidRPr="00BE5472">
        <w:rPr>
          <w:rFonts w:ascii="Times New Roman" w:hAnsi="Times New Roman" w:cs="Times New Roman"/>
          <w:kern w:val="2"/>
          <w:sz w:val="24"/>
          <w:szCs w:val="24"/>
          <w14:ligatures w14:val="standardContextual"/>
        </w:rPr>
        <w:t xml:space="preserve"> – </w:t>
      </w:r>
      <w:r w:rsidRPr="00BE5472">
        <w:rPr>
          <w:rFonts w:ascii="Times New Roman" w:hAnsi="Times New Roman" w:cs="Times New Roman"/>
          <w:kern w:val="2"/>
          <w:sz w:val="24"/>
          <w:szCs w:val="24"/>
          <w14:ligatures w14:val="standardContextual"/>
        </w:rPr>
        <w:t>kroz integraciju, poduzeće može bolje nadzirati kvalitetu svojih proizvoda/usluga jer ima neposredan nadzor nad svakim korakom proizvodnje</w:t>
      </w:r>
      <w:r w:rsidR="002B1713" w:rsidRPr="00BE5472">
        <w:rPr>
          <w:rFonts w:ascii="Times New Roman" w:hAnsi="Times New Roman" w:cs="Times New Roman"/>
          <w:kern w:val="2"/>
          <w:sz w:val="24"/>
          <w:szCs w:val="24"/>
          <w14:ligatures w14:val="standardContextual"/>
        </w:rPr>
        <w:t>,</w:t>
      </w:r>
    </w:p>
    <w:p w14:paraId="7C983B10" w14:textId="68F5622E" w:rsidR="006E052A" w:rsidRPr="00BE5472" w:rsidRDefault="006E052A" w:rsidP="00120B4F">
      <w:pPr>
        <w:numPr>
          <w:ilvl w:val="0"/>
          <w:numId w:val="3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osiguranje stabilnosti u opskrbnom lanca </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integracija može pomoći u održavanju stabilnosti opskrbnog lanca, smanjujući rizik od problema s dobavljačima ili nestašic</w:t>
      </w:r>
      <w:r w:rsidR="00024768"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materijala</w:t>
      </w:r>
      <w:r w:rsidR="002B1713" w:rsidRPr="00BE5472">
        <w:rPr>
          <w:rFonts w:ascii="Times New Roman" w:hAnsi="Times New Roman" w:cs="Times New Roman"/>
          <w:kern w:val="2"/>
          <w:sz w:val="24"/>
          <w:szCs w:val="24"/>
          <w14:ligatures w14:val="standardContextual"/>
        </w:rPr>
        <w:t>,</w:t>
      </w:r>
    </w:p>
    <w:p w14:paraId="771ED709" w14:textId="10326323" w:rsidR="006E052A" w:rsidRPr="00BE5472" w:rsidRDefault="006E052A" w:rsidP="00120B4F">
      <w:pPr>
        <w:numPr>
          <w:ilvl w:val="0"/>
          <w:numId w:val="3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poticanje inovacija –</w:t>
      </w:r>
      <w:r w:rsidR="00751ECB"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integracija potiče inovacije unutar poduzeća</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omogućujući razmjenu znanja i resursa između različitih dijelova organizacije</w:t>
      </w:r>
      <w:r w:rsidR="002B1713" w:rsidRPr="00BE5472">
        <w:rPr>
          <w:rFonts w:ascii="Times New Roman" w:hAnsi="Times New Roman" w:cs="Times New Roman"/>
          <w:kern w:val="2"/>
          <w:sz w:val="24"/>
          <w:szCs w:val="24"/>
          <w14:ligatures w14:val="standardContextual"/>
        </w:rPr>
        <w:t>,</w:t>
      </w:r>
    </w:p>
    <w:p w14:paraId="752C68C8" w14:textId="654AEA85" w:rsidR="006E052A" w:rsidRDefault="006E052A" w:rsidP="00120B4F">
      <w:pPr>
        <w:numPr>
          <w:ilvl w:val="0"/>
          <w:numId w:val="3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stvaranje konkurentske prednosti </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integracija omogućuje poduzeću bržu prilagodbu promjenama na tržištu, što može rezultirati stvaranjem konkurentske prednosti.</w:t>
      </w:r>
    </w:p>
    <w:p w14:paraId="78A61CB3" w14:textId="77777777" w:rsidR="00A06228" w:rsidRPr="00BE5472" w:rsidRDefault="00A06228" w:rsidP="00A06228">
      <w:pPr>
        <w:spacing w:line="360" w:lineRule="auto"/>
        <w:ind w:left="720"/>
        <w:contextualSpacing/>
        <w:jc w:val="both"/>
        <w:rPr>
          <w:rFonts w:ascii="Times New Roman" w:hAnsi="Times New Roman" w:cs="Times New Roman"/>
          <w:kern w:val="2"/>
          <w:sz w:val="24"/>
          <w:szCs w:val="24"/>
          <w14:ligatures w14:val="standardContextual"/>
        </w:rPr>
      </w:pPr>
    </w:p>
    <w:p w14:paraId="43BCABE1" w14:textId="5BB5C43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Razlikuju se </w:t>
      </w:r>
      <w:r w:rsidRPr="00BE5472">
        <w:rPr>
          <w:rFonts w:ascii="Times New Roman" w:hAnsi="Times New Roman" w:cs="Times New Roman"/>
          <w:i/>
          <w:iCs/>
          <w:kern w:val="2"/>
          <w:sz w:val="24"/>
          <w:szCs w:val="24"/>
          <w14:ligatures w14:val="standardContextual"/>
        </w:rPr>
        <w:t>uzlazna okomita integracija</w:t>
      </w:r>
      <w:r w:rsidRPr="00BE5472">
        <w:rPr>
          <w:rFonts w:ascii="Times New Roman" w:hAnsi="Times New Roman" w:cs="Times New Roman"/>
          <w:kern w:val="2"/>
          <w:sz w:val="24"/>
          <w:szCs w:val="24"/>
          <w14:ligatures w14:val="standardContextual"/>
        </w:rPr>
        <w:t xml:space="preserve">, koja podrazumijeva širenje prema djelatnostima dobavljača, i </w:t>
      </w:r>
      <w:r w:rsidRPr="00BE5472">
        <w:rPr>
          <w:rFonts w:ascii="Times New Roman" w:hAnsi="Times New Roman" w:cs="Times New Roman"/>
          <w:i/>
          <w:iCs/>
          <w:kern w:val="2"/>
          <w:sz w:val="24"/>
          <w:szCs w:val="24"/>
          <w14:ligatures w14:val="standardContextual"/>
        </w:rPr>
        <w:t>silazna okomita integracija</w:t>
      </w:r>
      <w:r w:rsidRPr="00BE5472">
        <w:rPr>
          <w:rFonts w:ascii="Times New Roman" w:hAnsi="Times New Roman" w:cs="Times New Roman"/>
          <w:kern w:val="2"/>
          <w:sz w:val="24"/>
          <w:szCs w:val="24"/>
          <w14:ligatures w14:val="standardContextual"/>
        </w:rPr>
        <w:t xml:space="preserve"> usmjerena na širenje poduzeća prema djelatnostima kupaca (Buble i sur. 2005). </w:t>
      </w:r>
      <w:r w:rsidRPr="00BE5472">
        <w:rPr>
          <w:rFonts w:ascii="Times New Roman" w:hAnsi="Times New Roman" w:cs="Times New Roman"/>
          <w:i/>
          <w:iCs/>
          <w:kern w:val="2"/>
          <w:sz w:val="24"/>
          <w:szCs w:val="24"/>
          <w14:ligatures w14:val="standardContextual"/>
        </w:rPr>
        <w:t>Silazna okomita integracija</w:t>
      </w:r>
      <w:r w:rsidRPr="00BE5472">
        <w:rPr>
          <w:rFonts w:ascii="Times New Roman" w:hAnsi="Times New Roman" w:cs="Times New Roman"/>
          <w:kern w:val="2"/>
          <w:sz w:val="24"/>
          <w:szCs w:val="24"/>
          <w14:ligatures w14:val="standardContextual"/>
        </w:rPr>
        <w:t xml:space="preserve"> može se opisati slučajem kada hotelsko poduzeće ulazi u aktivnosti koje obavljaju maloprodajne turističke agencije ili turoperatori. Jedan od primjera hotelskog lanca koji </w:t>
      </w:r>
      <w:r w:rsidR="002B1713" w:rsidRPr="00BE5472">
        <w:rPr>
          <w:rFonts w:ascii="Times New Roman" w:hAnsi="Times New Roman" w:cs="Times New Roman"/>
          <w:kern w:val="2"/>
          <w:sz w:val="24"/>
          <w:szCs w:val="24"/>
          <w14:ligatures w14:val="standardContextual"/>
        </w:rPr>
        <w:t>se</w:t>
      </w:r>
      <w:r w:rsidRPr="00BE5472">
        <w:rPr>
          <w:rFonts w:ascii="Times New Roman" w:hAnsi="Times New Roman" w:cs="Times New Roman"/>
          <w:kern w:val="2"/>
          <w:sz w:val="24"/>
          <w:szCs w:val="24"/>
          <w14:ligatures w14:val="standardContextual"/>
        </w:rPr>
        <w:t xml:space="preserve"> koristio uzlazn</w:t>
      </w:r>
      <w:r w:rsidR="002B1713"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okomit</w:t>
      </w:r>
      <w:r w:rsidR="002B1713"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integracij</w:t>
      </w:r>
      <w:r w:rsidR="002B1713"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je </w:t>
      </w:r>
      <w:r w:rsidRPr="00BE5472">
        <w:rPr>
          <w:rFonts w:ascii="Times New Roman" w:hAnsi="Times New Roman" w:cs="Times New Roman"/>
          <w:i/>
          <w:iCs/>
          <w:kern w:val="2"/>
          <w:sz w:val="24"/>
          <w:szCs w:val="24"/>
          <w:u w:val="single"/>
          <w14:ligatures w14:val="standardContextual"/>
        </w:rPr>
        <w:t>Hilton Worldwide Holdings Inc. Hilton</w:t>
      </w:r>
      <w:r w:rsidRPr="00BE5472">
        <w:rPr>
          <w:rFonts w:ascii="Times New Roman" w:hAnsi="Times New Roman" w:cs="Times New Roman"/>
          <w:kern w:val="2"/>
          <w:sz w:val="24"/>
          <w:szCs w:val="24"/>
          <w14:ligatures w14:val="standardContextual"/>
        </w:rPr>
        <w:t xml:space="preserve"> </w:t>
      </w:r>
      <w:r w:rsidR="002B1713" w:rsidRPr="00BE5472">
        <w:rPr>
          <w:rFonts w:ascii="Times New Roman" w:hAnsi="Times New Roman" w:cs="Times New Roman"/>
          <w:kern w:val="2"/>
          <w:sz w:val="24"/>
          <w:szCs w:val="24"/>
          <w14:ligatures w14:val="standardContextual"/>
        </w:rPr>
        <w:t>s</w:t>
      </w:r>
      <w:r w:rsidRPr="00BE5472">
        <w:rPr>
          <w:rFonts w:ascii="Times New Roman" w:hAnsi="Times New Roman" w:cs="Times New Roman"/>
          <w:kern w:val="2"/>
          <w:sz w:val="24"/>
          <w:szCs w:val="24"/>
          <w14:ligatures w14:val="standardContextual"/>
        </w:rPr>
        <w:t>e koristio ov</w:t>
      </w:r>
      <w:r w:rsidR="002B1713"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strategij</w:t>
      </w:r>
      <w:r w:rsidR="002B1713"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stvarajući vlastite lance opskrbe ili preuzimajući dobavljače kako bi imao kontrolu nad kritičnim resursima ili uslugama koje su potrebne za </w:t>
      </w:r>
      <w:r w:rsidRPr="00BE5472">
        <w:rPr>
          <w:rFonts w:ascii="Times New Roman" w:hAnsi="Times New Roman" w:cs="Times New Roman"/>
          <w:kern w:val="2"/>
          <w:sz w:val="24"/>
          <w:szCs w:val="24"/>
          <w14:ligatures w14:val="standardContextual"/>
        </w:rPr>
        <w:lastRenderedPageBreak/>
        <w:t xml:space="preserve">poslovanje hotela.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je 2016. godine uspostavio okomitu integraciju kroz stvaranje vlastite hotelske opskrbe i logistike pod nazivom </w:t>
      </w:r>
      <w:r w:rsidRPr="00BE5472">
        <w:rPr>
          <w:rFonts w:ascii="Times New Roman" w:hAnsi="Times New Roman" w:cs="Times New Roman"/>
          <w:i/>
          <w:kern w:val="2"/>
          <w:sz w:val="24"/>
          <w:szCs w:val="24"/>
          <w14:ligatures w14:val="standardContextual"/>
        </w:rPr>
        <w:t>Hilton Supply Management</w:t>
      </w:r>
      <w:r w:rsidRPr="00BE5472">
        <w:rPr>
          <w:rFonts w:ascii="Times New Roman" w:hAnsi="Times New Roman" w:cs="Times New Roman"/>
          <w:kern w:val="2"/>
          <w:sz w:val="24"/>
          <w:szCs w:val="24"/>
          <w14:ligatures w14:val="standardContextual"/>
        </w:rPr>
        <w:t xml:space="preserve"> (HSM). HSM je zamišljen kao centralizirana operacija za opskrbu koja bi </w:t>
      </w:r>
      <w:r w:rsidRPr="00BE5472">
        <w:rPr>
          <w:rFonts w:ascii="Times New Roman" w:hAnsi="Times New Roman" w:cs="Times New Roman"/>
          <w:i/>
          <w:iCs/>
          <w:kern w:val="2"/>
          <w:sz w:val="24"/>
          <w:szCs w:val="24"/>
          <w14:ligatures w14:val="standardContextual"/>
        </w:rPr>
        <w:t>Hiltonu</w:t>
      </w:r>
      <w:r w:rsidRPr="00BE5472">
        <w:rPr>
          <w:rFonts w:ascii="Times New Roman" w:hAnsi="Times New Roman" w:cs="Times New Roman"/>
          <w:kern w:val="2"/>
          <w:sz w:val="24"/>
          <w:szCs w:val="24"/>
          <w14:ligatures w14:val="standardContextual"/>
        </w:rPr>
        <w:t xml:space="preserve"> omogućila da kontrolira nabavu i distribuciju kritičnih materijala poput posteljine, ručnika, kozmetičkih proizvoda i drugih potrepština za svoje hotele diljem svijeta.  Ova u</w:t>
      </w:r>
      <w:r w:rsidR="00722C4D" w:rsidRPr="00BE5472">
        <w:rPr>
          <w:rFonts w:ascii="Times New Roman" w:hAnsi="Times New Roman" w:cs="Times New Roman"/>
          <w:kern w:val="2"/>
          <w:sz w:val="24"/>
          <w:szCs w:val="24"/>
          <w14:ligatures w14:val="standardContextual"/>
        </w:rPr>
        <w:t>z</w:t>
      </w:r>
      <w:r w:rsidRPr="00BE5472">
        <w:rPr>
          <w:rFonts w:ascii="Times New Roman" w:hAnsi="Times New Roman" w:cs="Times New Roman"/>
          <w:kern w:val="2"/>
          <w:sz w:val="24"/>
          <w:szCs w:val="24"/>
          <w14:ligatures w14:val="standardContextual"/>
        </w:rPr>
        <w:t xml:space="preserve">lazna vertikalna integracija omogućila je </w:t>
      </w:r>
      <w:r w:rsidRPr="00BE5472">
        <w:rPr>
          <w:rFonts w:ascii="Times New Roman" w:hAnsi="Times New Roman" w:cs="Times New Roman"/>
          <w:i/>
          <w:iCs/>
          <w:kern w:val="2"/>
          <w:sz w:val="24"/>
          <w:szCs w:val="24"/>
          <w14:ligatures w14:val="standardContextual"/>
        </w:rPr>
        <w:t>Hiltonu</w:t>
      </w:r>
      <w:r w:rsidRPr="00BE5472">
        <w:rPr>
          <w:rFonts w:ascii="Times New Roman" w:hAnsi="Times New Roman" w:cs="Times New Roman"/>
          <w:kern w:val="2"/>
          <w:sz w:val="24"/>
          <w:szCs w:val="24"/>
          <w14:ligatures w14:val="standardContextual"/>
        </w:rPr>
        <w:t xml:space="preserve"> veći nadzor nad kvalitetom i dostupnošću potrebnih materijala te smanjenje troškova i poboljšanje operativne učinkovitosti kroz centraliziranu opskrbu. Također je pružila </w:t>
      </w:r>
      <w:r w:rsidRPr="00BE5472">
        <w:rPr>
          <w:rFonts w:ascii="Times New Roman" w:hAnsi="Times New Roman" w:cs="Times New Roman"/>
          <w:i/>
          <w:iCs/>
          <w:kern w:val="2"/>
          <w:sz w:val="24"/>
          <w:szCs w:val="24"/>
          <w14:ligatures w14:val="standardContextual"/>
        </w:rPr>
        <w:t>Hiltonu</w:t>
      </w:r>
      <w:r w:rsidRPr="00BE5472">
        <w:rPr>
          <w:rFonts w:ascii="Times New Roman" w:hAnsi="Times New Roman" w:cs="Times New Roman"/>
          <w:kern w:val="2"/>
          <w:sz w:val="24"/>
          <w:szCs w:val="24"/>
          <w14:ligatures w14:val="standardContextual"/>
        </w:rPr>
        <w:t xml:space="preserve"> veću fleksibilnost u prilagodbi i optimizaciji lanaca opskrbe specifičnim zahtjevima i standardima hotelskog lanca (</w:t>
      </w:r>
      <w:r w:rsidRPr="00BE5472">
        <w:rPr>
          <w:rFonts w:ascii="Times New Roman" w:hAnsi="Times New Roman" w:cs="Times New Roman"/>
          <w:i/>
          <w:iCs/>
          <w:kern w:val="2"/>
          <w:sz w:val="24"/>
          <w:szCs w:val="24"/>
          <w14:ligatures w14:val="standardContextual"/>
        </w:rPr>
        <w:t>Supply Chain World</w:t>
      </w:r>
      <w:r w:rsidRPr="00BE5472">
        <w:rPr>
          <w:rFonts w:ascii="Times New Roman" w:hAnsi="Times New Roman" w:cs="Times New Roman"/>
          <w:kern w:val="2"/>
          <w:sz w:val="24"/>
          <w:szCs w:val="24"/>
          <w14:ligatures w14:val="standardContextual"/>
        </w:rPr>
        <w:t xml:space="preserve"> bez dat.).</w:t>
      </w:r>
    </w:p>
    <w:p w14:paraId="381AADE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Sve navedene strategije mogu se provesti unutarnjim (organskim) ili vanjski (eksternim) rastom o čemu će biti više riječi i narednom poglavlju.</w:t>
      </w:r>
    </w:p>
    <w:p w14:paraId="728D7417" w14:textId="7D742F76" w:rsidR="006E052A" w:rsidRPr="00BE5472" w:rsidRDefault="006E052A" w:rsidP="003D13C0">
      <w:pPr>
        <w:pStyle w:val="Heading2"/>
        <w:rPr>
          <w:rFonts w:ascii="Times New Roman" w:hAnsi="Times New Roman" w:cs="Times New Roman"/>
        </w:rPr>
      </w:pPr>
      <w:bookmarkStart w:id="93" w:name="_Toc210381419"/>
      <w:bookmarkStart w:id="94" w:name="_Toc241865143"/>
      <w:bookmarkStart w:id="95" w:name="_Hlk161823831"/>
      <w:r w:rsidRPr="00BE5472">
        <w:rPr>
          <w:rFonts w:ascii="Times New Roman" w:hAnsi="Times New Roman" w:cs="Times New Roman"/>
        </w:rPr>
        <w:t>3.3. Načini implementacije razvojnih strategija</w:t>
      </w:r>
      <w:bookmarkEnd w:id="93"/>
      <w:bookmarkEnd w:id="94"/>
    </w:p>
    <w:p w14:paraId="6D4DC6F0" w14:textId="77777777" w:rsidR="00BC3443" w:rsidRPr="00BE5472" w:rsidRDefault="00BC3443" w:rsidP="00BC3443">
      <w:pPr>
        <w:rPr>
          <w:rFonts w:ascii="Times New Roman" w:hAnsi="Times New Roman" w:cs="Times New Roman"/>
        </w:rPr>
      </w:pPr>
    </w:p>
    <w:bookmarkEnd w:id="95"/>
    <w:p w14:paraId="37AB9104" w14:textId="287587C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suvremenom poslovnom okruženju provedba razvojnih strategija predstavlja ključni korak k ostvarenju dugoročnih ciljeva poduzeća bez obzira</w:t>
      </w:r>
      <w:r w:rsidR="002B1713" w:rsidRPr="00BE5472">
        <w:rPr>
          <w:rFonts w:ascii="Times New Roman" w:hAnsi="Times New Roman" w:cs="Times New Roman"/>
          <w:kern w:val="2"/>
          <w:sz w:val="24"/>
          <w:szCs w:val="24"/>
          <w14:ligatures w14:val="standardContextual"/>
        </w:rPr>
        <w:t xml:space="preserve"> na to</w:t>
      </w:r>
      <w:r w:rsidRPr="00BE5472">
        <w:rPr>
          <w:rFonts w:ascii="Times New Roman" w:hAnsi="Times New Roman" w:cs="Times New Roman"/>
          <w:kern w:val="2"/>
          <w:sz w:val="24"/>
          <w:szCs w:val="24"/>
          <w14:ligatures w14:val="standardContextual"/>
        </w:rPr>
        <w:t xml:space="preserve"> radi li se o korporacijama, malim i srednjim poduzećima ili specifičnim sektorima</w:t>
      </w:r>
      <w:r w:rsidR="002B1713"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što je hotelijerstvo. Thompson, Strickland III i Gamble (2008) definiraju provedbu strategije kao proces koji omogućuje vođenje poduzeća u smjeru ciljeva i vizije postavljenih strategijom. Kako bi poduzeća ostvarila konkurentsku prednost i prilagodil</w:t>
      </w:r>
      <w:r w:rsidR="008A7400"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se dinamičnim tržišnim uvjetima, nužno je razvijati i implementirati strategije koje će omogućiti održivi rast, poboljšanje kvalitete usluga i zadovoljstva klijenata te optimizaciju poslovnih procesa. Köseoğlu et.al. (2020) su identificirali ključne čimbenike uspješne implementacije strategije u hotelijerstvu. Ti čimbenici obuhvaćaju: </w:t>
      </w:r>
    </w:p>
    <w:p w14:paraId="4BE70744"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učinkovitu komunikaciju, </w:t>
      </w:r>
    </w:p>
    <w:p w14:paraId="790E9A1C"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aktivno uključivanje zaposlenika, </w:t>
      </w:r>
    </w:p>
    <w:p w14:paraId="403B1F48"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adekvatnu alokaciju resursa, </w:t>
      </w:r>
    </w:p>
    <w:p w14:paraId="372BD16B"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jasno definiranu strategiju, </w:t>
      </w:r>
    </w:p>
    <w:p w14:paraId="270DBB8E"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sustavnu kontrolu, </w:t>
      </w:r>
    </w:p>
    <w:p w14:paraId="54E10D94"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precizno definiran vremenski okvir, </w:t>
      </w:r>
    </w:p>
    <w:p w14:paraId="58D2BC2F"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prisustvo talentiranih zaposlenika, </w:t>
      </w:r>
    </w:p>
    <w:p w14:paraId="278A339D"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otpornost zaposlenika na promjene, </w:t>
      </w:r>
    </w:p>
    <w:p w14:paraId="7BEACE05"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adekvatno financijsko ulaganje, </w:t>
      </w:r>
    </w:p>
    <w:p w14:paraId="79EE9AA9"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vremenski aspekt, </w:t>
      </w:r>
    </w:p>
    <w:p w14:paraId="51B0478B"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dosljednost u izvršavanju planova,</w:t>
      </w:r>
    </w:p>
    <w:p w14:paraId="72B58CF7"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jasan akcijski plan, </w:t>
      </w:r>
    </w:p>
    <w:p w14:paraId="39EDC808"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odgovarajući trening,</w:t>
      </w:r>
    </w:p>
    <w:p w14:paraId="721FAEC0" w14:textId="77777777"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poticanje timskog rada te </w:t>
      </w:r>
    </w:p>
    <w:p w14:paraId="447FDF68" w14:textId="5BD5D5CE" w:rsidR="006E052A" w:rsidRPr="00BE5472" w:rsidRDefault="006E052A" w:rsidP="00120B4F">
      <w:pPr>
        <w:numPr>
          <w:ilvl w:val="0"/>
          <w:numId w:val="3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pravovremenu i prilagodljivu reakciju na poteze konkurencije.</w:t>
      </w:r>
    </w:p>
    <w:p w14:paraId="357819FA" w14:textId="77777777" w:rsidR="00BC3443" w:rsidRPr="00BE5472" w:rsidRDefault="00BC3443" w:rsidP="00BC3443">
      <w:pPr>
        <w:spacing w:line="360" w:lineRule="auto"/>
        <w:ind w:left="720"/>
        <w:contextualSpacing/>
        <w:jc w:val="both"/>
        <w:rPr>
          <w:rFonts w:ascii="Times New Roman" w:hAnsi="Times New Roman" w:cs="Times New Roman"/>
          <w:kern w:val="2"/>
          <w:sz w:val="24"/>
          <w:szCs w:val="24"/>
          <w14:ligatures w14:val="standardContextual"/>
        </w:rPr>
      </w:pPr>
    </w:p>
    <w:p w14:paraId="78AA62BB" w14:textId="385C5F6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ovom kontekstu, razvojne strategije se ne mogu promatrati izolirano, već zahtijevaju sveobuhvatan pristup koji uključuje analizu tržišta, konkurencij</w:t>
      </w:r>
      <w:r w:rsidR="00B94B56" w:rsidRPr="00BE5472">
        <w:rPr>
          <w:rFonts w:ascii="Times New Roman" w:hAnsi="Times New Roman" w:cs="Times New Roman"/>
          <w:kern w:val="2"/>
          <w:sz w:val="24"/>
          <w:szCs w:val="24"/>
          <w14:ligatures w14:val="standardContextual"/>
        </w:rPr>
        <w:t>e</w:t>
      </w:r>
      <w:r w:rsidRPr="00BE5472">
        <w:rPr>
          <w:rFonts w:ascii="Times New Roman" w:hAnsi="Times New Roman" w:cs="Times New Roman"/>
          <w:kern w:val="2"/>
          <w:sz w:val="24"/>
          <w:szCs w:val="24"/>
          <w14:ligatures w14:val="standardContextual"/>
        </w:rPr>
        <w:t>, internih resursa i kompetencija, kao i identifikaciju ključnih ciljeva i prioriteta. Implementacija ovih strategija zahtijeva angažman svih relevantnih dionika unutar organizacije, jasno definirane zadatke i odgovornosti te sustavno praćenje i evaluaciju postignutih rezultata. Uspješna provedba strategije zahtijeva fokus, disciplinu i angažman svih zaposlenika.</w:t>
      </w:r>
    </w:p>
    <w:p w14:paraId="3B9AAADA" w14:textId="7C004580"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Thompson, Strickland III i Gamble (2008) smatraju da se poduzeće, nakon odabira osnovne strategije, treba odlučiti  koje će konkretne strateške akcije poduzeti kako bi </w:t>
      </w:r>
      <w:r w:rsidR="00B94B56" w:rsidRPr="00BE5472">
        <w:rPr>
          <w:rFonts w:ascii="Times New Roman" w:hAnsi="Times New Roman" w:cs="Times New Roman"/>
          <w:kern w:val="2"/>
          <w:sz w:val="24"/>
          <w:szCs w:val="24"/>
          <w14:ligatures w14:val="standardContextual"/>
        </w:rPr>
        <w:t xml:space="preserve">se </w:t>
      </w:r>
      <w:r w:rsidRPr="00BE5472">
        <w:rPr>
          <w:rFonts w:ascii="Times New Roman" w:hAnsi="Times New Roman" w:cs="Times New Roman"/>
          <w:kern w:val="2"/>
          <w:sz w:val="24"/>
          <w:szCs w:val="24"/>
          <w14:ligatures w14:val="standardContextual"/>
        </w:rPr>
        <w:t>nadopunila odabra</w:t>
      </w:r>
      <w:r w:rsidR="00EE645F" w:rsidRPr="00BE5472">
        <w:rPr>
          <w:rFonts w:ascii="Times New Roman" w:hAnsi="Times New Roman" w:cs="Times New Roman"/>
          <w:kern w:val="2"/>
          <w:sz w:val="24"/>
          <w:szCs w:val="24"/>
          <w14:ligatures w14:val="standardContextual"/>
        </w:rPr>
        <w:t>na</w:t>
      </w:r>
      <w:r w:rsidRPr="00BE5472">
        <w:rPr>
          <w:rFonts w:ascii="Times New Roman" w:hAnsi="Times New Roman" w:cs="Times New Roman"/>
          <w:kern w:val="2"/>
          <w:sz w:val="24"/>
          <w:szCs w:val="24"/>
          <w14:ligatures w14:val="standardContextual"/>
        </w:rPr>
        <w:t xml:space="preserve"> strategij</w:t>
      </w:r>
      <w:r w:rsidR="00EE645F"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Ističu da prije donošenja ovih odluka poduzeće treba pažljivo razmotriti nekoliko ključnih pitanja (Thompson, Strickland III i Gamble 2008):</w:t>
      </w:r>
    </w:p>
    <w:p w14:paraId="37993E0B" w14:textId="77777777" w:rsidR="006E052A" w:rsidRPr="00BE5472"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Hoće li i na koji će način koristiti strateške saveze i suradnička partnerstva kako bi ostvarili svoje ciljeve? Ovo pitanje naglašava važnost uspostavljanja suradnje s drugim poduzećima kako bi se ostvarile sinergijske prednosti i poboljšala konkurentska pozicija na tržištu.</w:t>
      </w:r>
    </w:p>
    <w:p w14:paraId="0CEE0577" w14:textId="77777777" w:rsidR="006E052A" w:rsidRPr="00BE5472"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Hoće li jačati svoju tržišnu poziciju preuzimanjem ili spajanjem s drugim poduzećima? Ovo pitanje podrazumijeva potrebu za procjenom potencijalnih prednosti i rizika povezanih s konsolidacijom putem spajanja ili preuzimanja.</w:t>
      </w:r>
    </w:p>
    <w:p w14:paraId="22545510" w14:textId="71F6E45B" w:rsidR="006E052A" w:rsidRPr="00BE5472"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Hoće li se integrirati progresivno ili regresivno u više faza industrijskog vrijednosnog lanca. Ovo pitanje odražava potrebu za analizom optimalnog modela vertikalne integracije u kontekstu specifičnih industrijskih uvjeta i ciljeva organizacije</w:t>
      </w:r>
      <w:r w:rsidR="0016360E" w:rsidRPr="00BE5472">
        <w:rPr>
          <w:rFonts w:ascii="Times New Roman" w:hAnsi="Times New Roman" w:cs="Times New Roman"/>
          <w:kern w:val="2"/>
          <w:sz w:val="24"/>
          <w:szCs w:val="24"/>
          <w14:ligatures w14:val="standardContextual"/>
        </w:rPr>
        <w:t>.</w:t>
      </w:r>
    </w:p>
    <w:p w14:paraId="18500E72" w14:textId="27A363B5" w:rsidR="006E052A" w:rsidRPr="00BE5472"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Hoće li određene aktivnosti vrijednosnog lanca povjeriti vanjskim izvršiteljima ili ih izvršavati interno? Ovdje je naglasak na  razmatranju optimalne strategije </w:t>
      </w:r>
      <w:r w:rsidRPr="00BE5472">
        <w:rPr>
          <w:rFonts w:ascii="Times New Roman" w:hAnsi="Times New Roman" w:cs="Times New Roman"/>
          <w:i/>
          <w:kern w:val="2"/>
          <w:sz w:val="24"/>
          <w:szCs w:val="24"/>
          <w14:ligatures w14:val="standardContextual"/>
        </w:rPr>
        <w:t>outsourcinga</w:t>
      </w:r>
      <w:r w:rsidRPr="00BE5472">
        <w:rPr>
          <w:rFonts w:ascii="Times New Roman" w:hAnsi="Times New Roman" w:cs="Times New Roman"/>
          <w:kern w:val="2"/>
          <w:sz w:val="24"/>
          <w:szCs w:val="24"/>
          <w14:ligatures w14:val="standardContextual"/>
        </w:rPr>
        <w:t xml:space="preserve"> u cilju efikasnijeg i fleksibilnijeg poslovanja</w:t>
      </w:r>
      <w:r w:rsidR="0016360E" w:rsidRPr="00BE5472">
        <w:rPr>
          <w:rFonts w:ascii="Times New Roman" w:hAnsi="Times New Roman" w:cs="Times New Roman"/>
          <w:kern w:val="2"/>
          <w:sz w:val="24"/>
          <w:szCs w:val="24"/>
          <w14:ligatures w14:val="standardContextual"/>
        </w:rPr>
        <w:t>.</w:t>
      </w:r>
    </w:p>
    <w:p w14:paraId="5246F7C4" w14:textId="77777777" w:rsidR="006E052A" w:rsidRPr="00BE5472"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Kada je prikladno koristiti ofenzivne ili defenzivne poteze te razmatra li se potreba za prilagodbom poslovnih strategija u skladu s dinamičnim promjenama na tržištu i konkurentskim pritiscima?</w:t>
      </w:r>
    </w:p>
    <w:p w14:paraId="079BF791" w14:textId="4C862BEC" w:rsidR="006E052A" w:rsidRDefault="006E052A" w:rsidP="00120B4F">
      <w:pPr>
        <w:numPr>
          <w:ilvl w:val="0"/>
          <w:numId w:val="3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Na koji će </w:t>
      </w:r>
      <w:r w:rsidR="00EB61AD" w:rsidRPr="00BE5472">
        <w:rPr>
          <w:rFonts w:ascii="Times New Roman" w:hAnsi="Times New Roman" w:cs="Times New Roman"/>
          <w:kern w:val="2"/>
          <w:sz w:val="24"/>
          <w:szCs w:val="24"/>
          <w14:ligatures w14:val="standardContextual"/>
        </w:rPr>
        <w:t xml:space="preserve">se </w:t>
      </w:r>
      <w:r w:rsidRPr="00BE5472">
        <w:rPr>
          <w:rFonts w:ascii="Times New Roman" w:hAnsi="Times New Roman" w:cs="Times New Roman"/>
          <w:kern w:val="2"/>
          <w:sz w:val="24"/>
          <w:szCs w:val="24"/>
          <w14:ligatures w14:val="standardContextual"/>
        </w:rPr>
        <w:t>način koristiti internet</w:t>
      </w:r>
      <w:r w:rsidR="00EB61AD"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kao distribucijski</w:t>
      </w:r>
      <w:r w:rsidR="00EB61AD" w:rsidRPr="00BE5472">
        <w:rPr>
          <w:rFonts w:ascii="Times New Roman" w:hAnsi="Times New Roman" w:cs="Times New Roman"/>
          <w:kern w:val="2"/>
          <w:sz w:val="24"/>
          <w:szCs w:val="24"/>
          <w14:ligatures w14:val="standardContextual"/>
        </w:rPr>
        <w:t>m</w:t>
      </w:r>
      <w:r w:rsidRPr="00BE5472">
        <w:rPr>
          <w:rFonts w:ascii="Times New Roman" w:hAnsi="Times New Roman" w:cs="Times New Roman"/>
          <w:kern w:val="2"/>
          <w:sz w:val="24"/>
          <w:szCs w:val="24"/>
          <w14:ligatures w14:val="standardContextual"/>
        </w:rPr>
        <w:t xml:space="preserve"> kanal</w:t>
      </w:r>
      <w:r w:rsidR="00EB61AD"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kako bi se pozicionirali na tržištu? Ovo pitanje ističe važnost digitalne strategije u postizanju konkurentske prednosti i zadovoljavanju potreba suvremenih potrošača.</w:t>
      </w:r>
    </w:p>
    <w:p w14:paraId="5EB3A474"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05753598" w14:textId="208196E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Na temelju odgovora na prethodno postavljena pitanja poduzeće odlučuje o komplementarnim strateškim opcijama</w:t>
      </w:r>
      <w:r w:rsidR="00EB61A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kao što su strateški savezi i suradnička partnerstva, preuzimanje ili spajanje s drugim poduzećima, regresivno/progresivno integriranje, </w:t>
      </w:r>
      <w:r w:rsidRPr="00BE5472">
        <w:rPr>
          <w:rFonts w:ascii="Times New Roman" w:hAnsi="Times New Roman" w:cs="Times New Roman"/>
          <w:i/>
          <w:kern w:val="2"/>
          <w:sz w:val="24"/>
          <w:szCs w:val="24"/>
          <w14:ligatures w14:val="standardContextual"/>
        </w:rPr>
        <w:t>outsourcing</w:t>
      </w:r>
      <w:r w:rsidRPr="00BE5472">
        <w:rPr>
          <w:rFonts w:ascii="Times New Roman" w:hAnsi="Times New Roman" w:cs="Times New Roman"/>
          <w:kern w:val="2"/>
          <w:sz w:val="24"/>
          <w:szCs w:val="24"/>
          <w14:ligatures w14:val="standardContextual"/>
        </w:rPr>
        <w:t xml:space="preserve"> aktivnosti vrijednosnog lanca, iniciranje ofenzivnog poteza ili iniciranje def</w:t>
      </w:r>
      <w:r w:rsidR="00F87611" w:rsidRPr="00BE5472">
        <w:rPr>
          <w:rFonts w:ascii="Times New Roman" w:hAnsi="Times New Roman" w:cs="Times New Roman"/>
          <w:kern w:val="2"/>
          <w:sz w:val="24"/>
          <w:szCs w:val="24"/>
          <w14:ligatures w14:val="standardContextual"/>
        </w:rPr>
        <w:t>e</w:t>
      </w:r>
      <w:r w:rsidRPr="00BE5472">
        <w:rPr>
          <w:rFonts w:ascii="Times New Roman" w:hAnsi="Times New Roman" w:cs="Times New Roman"/>
          <w:kern w:val="2"/>
          <w:sz w:val="24"/>
          <w:szCs w:val="24"/>
          <w14:ligatures w14:val="standardContextual"/>
        </w:rPr>
        <w:t>nzivnog poteza (Thompson, Strickland III i Gamble 2008).</w:t>
      </w:r>
    </w:p>
    <w:p w14:paraId="7C95B95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Kada je riječ o hotelijerstvu, sektoru koji je izrazito osjetljiv na promjene u turističkim trendovima, ekonomskim uvjetima i očekivanjima gostiju, provedba razvojnih strategija postaje još kompleksnija. Hotelijerstvo zahtijeva visok stupanj prilagodljivosti, inovativnosti i kontinuiranog ulaganja u poboljšanje infrastrukture, tehnologije i kvalitete usluga kako bi se osiguralo dugoročno zadovoljstvo gostiju i ostvarila profitabilnost poslovanja. </w:t>
      </w:r>
    </w:p>
    <w:p w14:paraId="16F55159" w14:textId="4FBD67A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Poduzeća koja teže širenju, prema mišljenju Gaughana (2010) moraju donijeti odluku </w:t>
      </w:r>
      <w:r w:rsidR="00EB61AD" w:rsidRPr="00BE5472">
        <w:rPr>
          <w:rFonts w:ascii="Times New Roman" w:hAnsi="Times New Roman" w:cs="Times New Roman"/>
          <w:kern w:val="2"/>
          <w:sz w:val="24"/>
          <w:szCs w:val="24"/>
          <w14:ligatures w14:val="standardContextual"/>
        </w:rPr>
        <w:t>hoće</w:t>
      </w:r>
      <w:r w:rsidRPr="00BE5472">
        <w:rPr>
          <w:rFonts w:ascii="Times New Roman" w:hAnsi="Times New Roman" w:cs="Times New Roman"/>
          <w:kern w:val="2"/>
          <w:sz w:val="24"/>
          <w:szCs w:val="24"/>
          <w14:ligatures w14:val="standardContextual"/>
        </w:rPr>
        <w:t xml:space="preserve"> li će to širenje biti utemeljeno na: </w:t>
      </w:r>
    </w:p>
    <w:p w14:paraId="5C3E8318" w14:textId="77777777" w:rsidR="006E052A" w:rsidRPr="00BE5472" w:rsidRDefault="006E052A" w:rsidP="00120B4F">
      <w:pPr>
        <w:numPr>
          <w:ilvl w:val="0"/>
          <w:numId w:val="3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unutarnjem rastu ili</w:t>
      </w:r>
    </w:p>
    <w:p w14:paraId="65381FA9" w14:textId="77777777" w:rsidR="006E052A" w:rsidRPr="00BE5472" w:rsidRDefault="006E052A" w:rsidP="00120B4F">
      <w:pPr>
        <w:numPr>
          <w:ilvl w:val="0"/>
          <w:numId w:val="3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neorganskom (vanjskom) rastu. </w:t>
      </w:r>
    </w:p>
    <w:p w14:paraId="35237E79" w14:textId="68A97DEA"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Agnihotri (2014: 249) smatra da poduzeća provode svoje strategije rasta uglavnom </w:t>
      </w:r>
      <w:r w:rsidR="00EB61AD" w:rsidRPr="00BE5472">
        <w:rPr>
          <w:rFonts w:ascii="Times New Roman" w:hAnsi="Times New Roman" w:cs="Times New Roman"/>
          <w:kern w:val="2"/>
          <w:sz w:val="24"/>
          <w:szCs w:val="24"/>
          <w14:ligatures w14:val="standardContextual"/>
        </w:rPr>
        <w:t>upotrebljavajući</w:t>
      </w:r>
      <w:r w:rsidRPr="00BE5472">
        <w:rPr>
          <w:rFonts w:ascii="Times New Roman" w:hAnsi="Times New Roman" w:cs="Times New Roman"/>
          <w:kern w:val="2"/>
          <w:sz w:val="24"/>
          <w:szCs w:val="24"/>
          <w14:ligatures w14:val="standardContextual"/>
        </w:rPr>
        <w:t xml:space="preserve"> tri pristupa: </w:t>
      </w:r>
    </w:p>
    <w:p w14:paraId="2DB7A6E6" w14:textId="5158769B" w:rsidR="006E052A" w:rsidRPr="00BE5472" w:rsidRDefault="006E052A" w:rsidP="00120B4F">
      <w:pPr>
        <w:numPr>
          <w:ilvl w:val="0"/>
          <w:numId w:val="3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organski pristup</w:t>
      </w:r>
      <w:r w:rsidRPr="00BE5472">
        <w:rPr>
          <w:rFonts w:ascii="Times New Roman" w:hAnsi="Times New Roman" w:cs="Times New Roman"/>
          <w:kern w:val="2"/>
          <w:sz w:val="24"/>
          <w:szCs w:val="24"/>
          <w14:ligatures w14:val="standardContextual"/>
        </w:rPr>
        <w:t xml:space="preserve"> </w:t>
      </w:r>
      <w:r w:rsidR="00EB61A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implicira da poduzeća razvijaju i koriste</w:t>
      </w:r>
      <w:r w:rsidR="00EB61AD" w:rsidRPr="00BE5472">
        <w:rPr>
          <w:rFonts w:ascii="Times New Roman" w:hAnsi="Times New Roman" w:cs="Times New Roman"/>
          <w:kern w:val="2"/>
          <w:sz w:val="24"/>
          <w:szCs w:val="24"/>
          <w14:ligatures w14:val="standardContextual"/>
        </w:rPr>
        <w:t xml:space="preserve"> se</w:t>
      </w:r>
      <w:r w:rsidRPr="00BE5472">
        <w:rPr>
          <w:rFonts w:ascii="Times New Roman" w:hAnsi="Times New Roman" w:cs="Times New Roman"/>
          <w:kern w:val="2"/>
          <w:sz w:val="24"/>
          <w:szCs w:val="24"/>
          <w14:ligatures w14:val="standardContextual"/>
        </w:rPr>
        <w:t xml:space="preserve"> vlastit</w:t>
      </w:r>
      <w:r w:rsidR="00EB61AD" w:rsidRPr="00BE5472">
        <w:rPr>
          <w:rFonts w:ascii="Times New Roman" w:hAnsi="Times New Roman" w:cs="Times New Roman"/>
          <w:kern w:val="2"/>
          <w:sz w:val="24"/>
          <w:szCs w:val="24"/>
          <w14:ligatures w14:val="standardContextual"/>
        </w:rPr>
        <w:t>im</w:t>
      </w:r>
      <w:r w:rsidRPr="00BE5472">
        <w:rPr>
          <w:rFonts w:ascii="Times New Roman" w:hAnsi="Times New Roman" w:cs="Times New Roman"/>
          <w:kern w:val="2"/>
          <w:sz w:val="24"/>
          <w:szCs w:val="24"/>
          <w14:ligatures w14:val="standardContextual"/>
        </w:rPr>
        <w:t xml:space="preserve"> resurs</w:t>
      </w:r>
      <w:r w:rsidR="00EB61AD" w:rsidRPr="00BE5472">
        <w:rPr>
          <w:rFonts w:ascii="Times New Roman" w:hAnsi="Times New Roman" w:cs="Times New Roman"/>
          <w:kern w:val="2"/>
          <w:sz w:val="24"/>
          <w:szCs w:val="24"/>
          <w14:ligatures w14:val="standardContextual"/>
        </w:rPr>
        <w:t>ima</w:t>
      </w:r>
      <w:r w:rsidRPr="00BE5472">
        <w:rPr>
          <w:rFonts w:ascii="Times New Roman" w:hAnsi="Times New Roman" w:cs="Times New Roman"/>
          <w:kern w:val="2"/>
          <w:sz w:val="24"/>
          <w:szCs w:val="24"/>
          <w14:ligatures w14:val="standardContextual"/>
        </w:rPr>
        <w:t xml:space="preserve"> i sposobnosti</w:t>
      </w:r>
      <w:r w:rsidR="00EB61AD" w:rsidRPr="00BE5472">
        <w:rPr>
          <w:rFonts w:ascii="Times New Roman" w:hAnsi="Times New Roman" w:cs="Times New Roman"/>
          <w:kern w:val="2"/>
          <w:sz w:val="24"/>
          <w:szCs w:val="24"/>
          <w14:ligatures w14:val="standardContextual"/>
        </w:rPr>
        <w:t>ma</w:t>
      </w:r>
      <w:r w:rsidRPr="00BE5472">
        <w:rPr>
          <w:rFonts w:ascii="Times New Roman" w:hAnsi="Times New Roman" w:cs="Times New Roman"/>
          <w:kern w:val="2"/>
          <w:sz w:val="24"/>
          <w:szCs w:val="24"/>
          <w14:ligatures w14:val="standardContextual"/>
        </w:rPr>
        <w:t>,</w:t>
      </w:r>
    </w:p>
    <w:p w14:paraId="798A8F35" w14:textId="49CAE81B" w:rsidR="006E052A" w:rsidRPr="00BE5472" w:rsidRDefault="006E052A" w:rsidP="00120B4F">
      <w:pPr>
        <w:numPr>
          <w:ilvl w:val="0"/>
          <w:numId w:val="3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hibridni pristup</w:t>
      </w:r>
      <w:r w:rsidRPr="00BE5472">
        <w:rPr>
          <w:rFonts w:ascii="Times New Roman" w:hAnsi="Times New Roman" w:cs="Times New Roman"/>
          <w:kern w:val="2"/>
          <w:sz w:val="24"/>
          <w:szCs w:val="24"/>
          <w14:ligatures w14:val="standardContextual"/>
        </w:rPr>
        <w:t xml:space="preserve"> </w:t>
      </w:r>
      <w:r w:rsidR="00EB61AD"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poduzeća dijele svoje resurse ili posuđuju potrebne resurse s tržišta te </w:t>
      </w:r>
    </w:p>
    <w:p w14:paraId="53A4D34C" w14:textId="77777777" w:rsidR="006E052A" w:rsidRPr="00BE5472" w:rsidRDefault="006E052A" w:rsidP="00120B4F">
      <w:pPr>
        <w:numPr>
          <w:ilvl w:val="0"/>
          <w:numId w:val="3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neorganski pristup</w:t>
      </w:r>
      <w:r w:rsidRPr="00BE5472">
        <w:rPr>
          <w:rFonts w:ascii="Times New Roman" w:hAnsi="Times New Roman" w:cs="Times New Roman"/>
          <w:kern w:val="2"/>
          <w:sz w:val="24"/>
          <w:szCs w:val="24"/>
          <w14:ligatures w14:val="standardContextual"/>
        </w:rPr>
        <w:t xml:space="preserve"> – poduzeća kupuju druga poduzeća kako bi stekla pristup potrebnim resursima.</w:t>
      </w:r>
    </w:p>
    <w:p w14:paraId="754AEBF0"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Prema Tipuriću (2015: 117) postoje tri načina provedbe razvojnih strategija poduzeća: </w:t>
      </w:r>
    </w:p>
    <w:p w14:paraId="564A5484" w14:textId="77777777" w:rsidR="006E052A" w:rsidRPr="00BE5472" w:rsidRDefault="006E052A" w:rsidP="00120B4F">
      <w:pPr>
        <w:numPr>
          <w:ilvl w:val="0"/>
          <w:numId w:val="3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unutarnji  (organski rast), </w:t>
      </w:r>
    </w:p>
    <w:p w14:paraId="7C992F61" w14:textId="77777777" w:rsidR="006E052A" w:rsidRPr="00BE5472" w:rsidRDefault="006E052A" w:rsidP="00120B4F">
      <w:pPr>
        <w:numPr>
          <w:ilvl w:val="0"/>
          <w:numId w:val="3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vlasnička integracija (spajanja i preuzimanja), i</w:t>
      </w:r>
    </w:p>
    <w:p w14:paraId="1BBB9DDE" w14:textId="77777777" w:rsidR="006E052A" w:rsidRDefault="006E052A" w:rsidP="00120B4F">
      <w:pPr>
        <w:numPr>
          <w:ilvl w:val="0"/>
          <w:numId w:val="3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strateška povezivanja.</w:t>
      </w:r>
    </w:p>
    <w:p w14:paraId="4BA7A3FB"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07A40A6B" w14:textId="233BE994"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Odluka o tome žele li hotelska poduzeća rasti organski ili poticati vanjski rast ključna je za njihov dugoročni uspjeh. Organski rast, poput izgradnje novih objekata ili unapređenja postojećih (npr.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kontinuirano ulaže u obnovu postojećih objekata u vlastitom vlasništvu), može omogućiti poduzećima veću kontrolu nad procesima i održavanje autentičnosti marke. S druge strane, vanjski rast putem preuzimanja ili partnerstava može doprinijeti bržoj ekspanziji na nova tržišta i pristup novim segmentima klijenata. Primjerice, hotelsko poduzeće koja se odluči za organski rast može uložiti u obnovu postojećih hotela ili izgradnju novih objekata kako bi proširilo svoj portfelj. S druge strane, poduzeće koja odabere vanjski rast može preuzeti manje konkurentske hotele kako bi brže povećalo svoj udio na tržištu. Strateška partnerstva također nisu rijetkost. Tako je, primjerice, </w:t>
      </w:r>
      <w:r w:rsidRPr="00BE5472">
        <w:rPr>
          <w:rFonts w:ascii="Times New Roman" w:hAnsi="Times New Roman" w:cs="Times New Roman"/>
          <w:bCs/>
          <w:i/>
          <w:iCs/>
          <w:kern w:val="2"/>
          <w:sz w:val="24"/>
          <w:szCs w:val="24"/>
          <w14:ligatures w14:val="standardContextual"/>
        </w:rPr>
        <w:t>InterContinental Hotels Group</w:t>
      </w:r>
      <w:r w:rsidRPr="00BE5472">
        <w:rPr>
          <w:rFonts w:ascii="Times New Roman" w:hAnsi="Times New Roman" w:cs="Times New Roman"/>
          <w:bCs/>
          <w:kern w:val="2"/>
          <w:sz w:val="24"/>
          <w:szCs w:val="24"/>
          <w14:ligatures w14:val="standardContextual"/>
        </w:rPr>
        <w:t xml:space="preserve"> 2020. godine potpisao sporazum o partnerstvu s poduzećem </w:t>
      </w:r>
      <w:r w:rsidRPr="00BE5472">
        <w:rPr>
          <w:rFonts w:ascii="Times New Roman" w:hAnsi="Times New Roman" w:cs="Times New Roman"/>
          <w:bCs/>
          <w:i/>
          <w:iCs/>
          <w:kern w:val="2"/>
          <w:sz w:val="24"/>
          <w:szCs w:val="24"/>
          <w14:ligatures w14:val="standardContextual"/>
        </w:rPr>
        <w:t>Amadeus</w:t>
      </w:r>
      <w:r w:rsidRPr="00BE5472">
        <w:rPr>
          <w:rFonts w:ascii="Times New Roman" w:hAnsi="Times New Roman" w:cs="Times New Roman"/>
          <w:bCs/>
          <w:kern w:val="2"/>
          <w:sz w:val="24"/>
          <w:szCs w:val="24"/>
          <w14:ligatures w14:val="standardContextual"/>
        </w:rPr>
        <w:t xml:space="preserve"> kako bi razvio rezervacijski sustav sljedeće generacije za svoje goste, time unaprjeđujući svoje tehnološke mogućnosti i ponudu doživljaja za goste. </w:t>
      </w:r>
      <w:r w:rsidRPr="00BE5472">
        <w:rPr>
          <w:rFonts w:ascii="Times New Roman" w:hAnsi="Times New Roman" w:cs="Times New Roman"/>
          <w:kern w:val="2"/>
          <w:sz w:val="24"/>
          <w:szCs w:val="24"/>
          <w14:ligatures w14:val="standardContextual"/>
        </w:rPr>
        <w:t xml:space="preserve">Reputacija i relativna uspješnost poduzeća utječu na izbor između organskih, hibridnih i neorganskih strategija rasta zaključak je istraživanja prije spomenutog autora (Agnihotri 2014). Međutim, važno je da poduzeća pažljivo procijene svoje resurse, tržišne prilike i rizike kako bi donijela najbolju odluku koja će podržati njihove ciljeve i dugoročnu održivost. </w:t>
      </w:r>
    </w:p>
    <w:p w14:paraId="3B306A43"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konačnici, važno je da hotelska poduzeća pažljivo procijene svoje resurse, tržišne prilike i rizike kako bi donijela informiranu odluku o najboljem pristupu rastu. Bez obzira na odabranu strategiju, ključno je da poduzeća nastoje održati visoku razinu usluge i zadovoljstva gostiju te osigurati dugoročnu održivost i konkurentnost na tržištu. Ova ključna odluka može imati značajne posljedice za budućnost poduzeća.</w:t>
      </w:r>
    </w:p>
    <w:p w14:paraId="23991A5F" w14:textId="1295D1CB" w:rsidR="006E052A" w:rsidRPr="00BE5472" w:rsidRDefault="006E052A" w:rsidP="003D13C0">
      <w:pPr>
        <w:pStyle w:val="Heading3"/>
        <w:rPr>
          <w:rFonts w:ascii="Times New Roman" w:hAnsi="Times New Roman" w:cs="Times New Roman"/>
        </w:rPr>
      </w:pPr>
      <w:bookmarkStart w:id="96" w:name="_Toc210381420"/>
      <w:bookmarkStart w:id="97" w:name="_Toc241865144"/>
      <w:bookmarkStart w:id="98" w:name="_Hlk161823863"/>
      <w:r w:rsidRPr="00BE5472">
        <w:rPr>
          <w:rFonts w:ascii="Times New Roman" w:hAnsi="Times New Roman" w:cs="Times New Roman"/>
        </w:rPr>
        <w:t>3.3.1. Unutarnji (organski) rast poduzeća</w:t>
      </w:r>
      <w:bookmarkEnd w:id="96"/>
      <w:bookmarkEnd w:id="97"/>
    </w:p>
    <w:p w14:paraId="189E1AE9" w14:textId="77777777" w:rsidR="00BC3443" w:rsidRPr="00BE5472" w:rsidRDefault="00BC3443" w:rsidP="00BC3443">
      <w:pPr>
        <w:rPr>
          <w:rFonts w:ascii="Times New Roman" w:hAnsi="Times New Roman" w:cs="Times New Roman"/>
        </w:rPr>
      </w:pPr>
    </w:p>
    <w:bookmarkEnd w:id="98"/>
    <w:p w14:paraId="43956B94" w14:textId="115E795A"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Unutarnji ili organski rast je</w:t>
      </w:r>
      <w:r w:rsidR="00EB61AD" w:rsidRPr="00BE5472">
        <w:rPr>
          <w:rFonts w:ascii="Times New Roman" w:hAnsi="Times New Roman" w:cs="Times New Roman"/>
          <w:kern w:val="2"/>
          <w:sz w:val="24"/>
          <w:szCs w:val="24"/>
          <w14:ligatures w14:val="standardContextual"/>
        </w:rPr>
        <w:t>st</w:t>
      </w:r>
      <w:r w:rsidRPr="00BE5472">
        <w:rPr>
          <w:rFonts w:ascii="Times New Roman" w:hAnsi="Times New Roman" w:cs="Times New Roman"/>
          <w:kern w:val="2"/>
          <w:sz w:val="24"/>
          <w:szCs w:val="24"/>
          <w14:ligatures w14:val="standardContextual"/>
        </w:rPr>
        <w:t xml:space="preserve"> strategija kojom poduzeće ostvaruje rast i razvoj kroz unutarnje resurse i aktivnosti, kao što su povećanje prodaje, proširenje proizvodnih kapaciteta, razvoj novih proizvoda ili usluga, poboljšanje operativne učinkovitosti itd., umjesto da se oslanja na spajanja, </w:t>
      </w:r>
      <w:r w:rsidRPr="00BE5472">
        <w:rPr>
          <w:rFonts w:ascii="Times New Roman" w:hAnsi="Times New Roman" w:cs="Times New Roman"/>
          <w:kern w:val="2"/>
          <w:sz w:val="24"/>
          <w:szCs w:val="24"/>
          <w14:ligatures w14:val="standardContextual"/>
        </w:rPr>
        <w:lastRenderedPageBreak/>
        <w:t>preuzimanja ili suradnje s drugim poduzećima.</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kern w:val="2"/>
          <w:sz w:val="24"/>
          <w:szCs w:val="24"/>
          <w14:ligatures w14:val="standardContextual"/>
        </w:rPr>
        <w:t xml:space="preserve">Unutarnji ili organski rast podrazumijeva postizanje ciljanog strateškog položaja poduzeća </w:t>
      </w:r>
      <w:r w:rsidR="00CA7252" w:rsidRPr="00BE5472">
        <w:rPr>
          <w:rFonts w:ascii="Times New Roman" w:hAnsi="Times New Roman" w:cs="Times New Roman"/>
          <w:kern w:val="2"/>
          <w:sz w:val="24"/>
          <w:szCs w:val="24"/>
          <w14:ligatures w14:val="standardContextual"/>
        </w:rPr>
        <w:t xml:space="preserve">isključivo </w:t>
      </w:r>
      <w:r w:rsidRPr="00BE5472">
        <w:rPr>
          <w:rFonts w:ascii="Times New Roman" w:hAnsi="Times New Roman" w:cs="Times New Roman"/>
          <w:kern w:val="2"/>
          <w:sz w:val="24"/>
          <w:szCs w:val="24"/>
          <w14:ligatures w14:val="standardContextual"/>
        </w:rPr>
        <w:t xml:space="preserve">korištenjem vlastitih resursa. Poduzeće samostalno upravlja razvojem svoje konkurentske pozicije bez kupovine drugih poslovnih subjekata ili nekih drugih kooperativnih sporazuma (Buble i sur. 2005: 119).  Prema Bruneru (2004) unutarnji rast označava rast procesom repliciranja sredstava, iskorištavanja tehnologije, poboljšanja odnosa s klijentima, inoviranja tehnologija i proizvoda. Postupak je to postupnog rasta koji se proteže i </w:t>
      </w:r>
      <w:r w:rsidR="00F87611" w:rsidRPr="00BE5472">
        <w:rPr>
          <w:rFonts w:ascii="Times New Roman" w:hAnsi="Times New Roman" w:cs="Times New Roman"/>
          <w:kern w:val="2"/>
          <w:sz w:val="24"/>
          <w:szCs w:val="24"/>
          <w14:ligatures w14:val="standardContextual"/>
        </w:rPr>
        <w:t>tijekom</w:t>
      </w:r>
      <w:r w:rsidRPr="00BE5472">
        <w:rPr>
          <w:rFonts w:ascii="Times New Roman" w:hAnsi="Times New Roman" w:cs="Times New Roman"/>
          <w:kern w:val="2"/>
          <w:sz w:val="24"/>
          <w:szCs w:val="24"/>
          <w14:ligatures w14:val="standardContextual"/>
        </w:rPr>
        <w:t xml:space="preserve"> nekoliko godina. Ova strategija često uključuje reinvestiranje dobiti u poslovanje kako bi se potaknuo daljnji rast. Organski rast u mnogim će slučajevima značiti transformaciju poduzeća koristeći moć i utjecaj te promjene načina razmišljanja i ponašanja ljudi u poduzeću (Karp 2006). Većina poslovnih lidera danas želi transformirati i razviti svoja poduzeća, ali nisu sigurni kako to učiniti.</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kern w:val="2"/>
          <w:sz w:val="24"/>
          <w:szCs w:val="24"/>
          <w14:ligatures w14:val="standardContextual"/>
        </w:rPr>
        <w:t xml:space="preserve">Upravljati promjenama danas pretpostavlja udaljavanje od pristupa </w:t>
      </w:r>
      <w:r w:rsidRPr="00BE5472">
        <w:rPr>
          <w:rFonts w:ascii="Times New Roman" w:hAnsi="Times New Roman" w:cs="Times New Roman"/>
          <w:i/>
          <w:kern w:val="2"/>
          <w:sz w:val="24"/>
          <w:szCs w:val="24"/>
          <w14:ligatures w14:val="standardContextual"/>
        </w:rPr>
        <w:t>popravljanja i dizajniranja sustava</w:t>
      </w:r>
      <w:r w:rsidRPr="00BE5472">
        <w:rPr>
          <w:rFonts w:ascii="Times New Roman" w:hAnsi="Times New Roman" w:cs="Times New Roman"/>
          <w:kern w:val="2"/>
          <w:sz w:val="24"/>
          <w:szCs w:val="24"/>
          <w14:ligatures w14:val="standardContextual"/>
        </w:rPr>
        <w:t xml:space="preserve"> te se učinkovito upravljanje promjena usmjerava ponajprije k</w:t>
      </w:r>
      <w:r w:rsidR="00EB61A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traženju specifičnog DNK-a poduzeća (Karp 2006). </w:t>
      </w:r>
    </w:p>
    <w:p w14:paraId="564CE80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Poslovne organizacije koje se odluče na unutarnji rast najčešće to postižu provedbom različitih strategija</w:t>
      </w:r>
      <w:bookmarkStart w:id="99" w:name="_Hlk160217160"/>
      <w:r w:rsidRPr="00BE5472">
        <w:rPr>
          <w:rFonts w:ascii="Times New Roman" w:hAnsi="Times New Roman" w:cs="Times New Roman"/>
          <w:kern w:val="2"/>
          <w:sz w:val="24"/>
          <w:szCs w:val="24"/>
          <w14:ligatures w14:val="standardContextual"/>
        </w:rPr>
        <w:t xml:space="preserve"> (Brigić i Umihanić 2015:398):</w:t>
      </w:r>
      <w:bookmarkEnd w:id="99"/>
    </w:p>
    <w:p w14:paraId="5F6E3786" w14:textId="77777777" w:rsidR="006E052A" w:rsidRPr="00BE5472" w:rsidRDefault="006E052A" w:rsidP="00120B4F">
      <w:pPr>
        <w:numPr>
          <w:ilvl w:val="0"/>
          <w:numId w:val="3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strategija intenzivnog rasta ili širenja poduzeća – npr. razvoj proizvoda ili razvoj tržišta,</w:t>
      </w:r>
    </w:p>
    <w:p w14:paraId="2254E77F" w14:textId="77777777" w:rsidR="006E052A" w:rsidRPr="00BE5472" w:rsidRDefault="006E052A" w:rsidP="00120B4F">
      <w:pPr>
        <w:numPr>
          <w:ilvl w:val="0"/>
          <w:numId w:val="3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strategija diverzifikacije poduzeća – npr. novi proizvodi na novim tržištima i</w:t>
      </w:r>
    </w:p>
    <w:p w14:paraId="2E41C87B" w14:textId="77777777" w:rsidR="006E052A" w:rsidRPr="00BE5472" w:rsidRDefault="006E052A" w:rsidP="00120B4F">
      <w:pPr>
        <w:numPr>
          <w:ilvl w:val="0"/>
          <w:numId w:val="3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strategija modernizacije poduzeća – osiguravanje suvremenog poslovanja.</w:t>
      </w:r>
    </w:p>
    <w:p w14:paraId="75F630DD" w14:textId="77777777" w:rsidR="003D46C7" w:rsidRDefault="003D46C7" w:rsidP="006E052A">
      <w:pPr>
        <w:spacing w:line="360" w:lineRule="auto"/>
        <w:jc w:val="both"/>
        <w:rPr>
          <w:rFonts w:ascii="Times New Roman" w:hAnsi="Times New Roman" w:cs="Times New Roman"/>
          <w:kern w:val="2"/>
          <w:sz w:val="24"/>
          <w:szCs w:val="24"/>
          <w14:ligatures w14:val="standardContextual"/>
        </w:rPr>
      </w:pPr>
    </w:p>
    <w:p w14:paraId="2CB4EC41" w14:textId="2B5EFBF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Barringer i Ireland (2010) organske strategije rasta dijele na: </w:t>
      </w:r>
    </w:p>
    <w:p w14:paraId="33D83DB9" w14:textId="77777777" w:rsidR="006E052A" w:rsidRPr="00BE5472" w:rsidRDefault="006E052A" w:rsidP="00120B4F">
      <w:pPr>
        <w:numPr>
          <w:ilvl w:val="0"/>
          <w:numId w:val="3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strategije razvoja novog proizvoda odnosno usluge ili doživljaja</w:t>
      </w:r>
      <w:r w:rsidRPr="00BE5472">
        <w:rPr>
          <w:rFonts w:ascii="Times New Roman" w:hAnsi="Times New Roman" w:cs="Times New Roman"/>
          <w:kern w:val="2"/>
          <w:sz w:val="24"/>
          <w:szCs w:val="24"/>
          <w14:ligatures w14:val="standardContextual"/>
        </w:rPr>
        <w:t xml:space="preserve"> u slučaju turizma i hotelijerstva,</w:t>
      </w:r>
    </w:p>
    <w:p w14:paraId="09C4C052" w14:textId="77777777" w:rsidR="006E052A" w:rsidRPr="00BE5472" w:rsidRDefault="006E052A" w:rsidP="00120B4F">
      <w:pPr>
        <w:numPr>
          <w:ilvl w:val="0"/>
          <w:numId w:val="3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ostale strategije vezane uz razvoj proizvoda</w:t>
      </w:r>
      <w:r w:rsidRPr="00BE5472">
        <w:rPr>
          <w:rFonts w:ascii="Times New Roman" w:hAnsi="Times New Roman" w:cs="Times New Roman"/>
          <w:kern w:val="2"/>
          <w:sz w:val="24"/>
          <w:szCs w:val="24"/>
          <w14:ligatures w14:val="standardContextual"/>
        </w:rPr>
        <w:t xml:space="preserve"> poput poboljšanja postojećih proizvoda odnosno usluga i doživljaja, pristup novim tržištima i</w:t>
      </w:r>
    </w:p>
    <w:p w14:paraId="5C12C2A9" w14:textId="77777777" w:rsidR="006E052A" w:rsidRPr="00BE5472" w:rsidRDefault="006E052A" w:rsidP="00120B4F">
      <w:pPr>
        <w:numPr>
          <w:ilvl w:val="0"/>
          <w:numId w:val="3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međunarodno proširenje</w:t>
      </w:r>
      <w:r w:rsidRPr="00BE5472">
        <w:rPr>
          <w:rFonts w:ascii="Times New Roman" w:hAnsi="Times New Roman" w:cs="Times New Roman"/>
          <w:kern w:val="2"/>
          <w:sz w:val="24"/>
          <w:szCs w:val="24"/>
          <w14:ligatures w14:val="standardContextual"/>
        </w:rPr>
        <w:t xml:space="preserve"> poslovanja osvajanjem novih (stranih) tržišta.</w:t>
      </w:r>
    </w:p>
    <w:p w14:paraId="7F6CCD0E" w14:textId="77777777" w:rsidR="003D46C7" w:rsidRDefault="003D46C7" w:rsidP="006E052A">
      <w:pPr>
        <w:spacing w:line="360" w:lineRule="auto"/>
        <w:jc w:val="both"/>
        <w:rPr>
          <w:rFonts w:ascii="Times New Roman" w:hAnsi="Times New Roman" w:cs="Times New Roman"/>
          <w:kern w:val="2"/>
          <w:sz w:val="24"/>
          <w:szCs w:val="24"/>
          <w14:ligatures w14:val="standardContextual"/>
        </w:rPr>
      </w:pPr>
    </w:p>
    <w:p w14:paraId="56C2A210" w14:textId="00BD763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Prednosti unutarnjeg rasta su: </w:t>
      </w:r>
    </w:p>
    <w:p w14:paraId="03D02365" w14:textId="77777777" w:rsidR="006E052A" w:rsidRPr="00BE5472" w:rsidRDefault="006E052A" w:rsidP="00120B4F">
      <w:pPr>
        <w:numPr>
          <w:ilvl w:val="0"/>
          <w:numId w:val="3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Nadzor: Unutarnji rast omogućuje poduzeću veću kontrolu nad vlastitim procesima, operacijama i strategijama, jer se razvoj temelji na vlastitim resursima i kapacitetima (Grzegorzek 2021).</w:t>
      </w:r>
    </w:p>
    <w:p w14:paraId="62EA9C87" w14:textId="77777777" w:rsidR="006E052A" w:rsidRPr="00BE5472" w:rsidRDefault="006E052A" w:rsidP="00120B4F">
      <w:pPr>
        <w:numPr>
          <w:ilvl w:val="0"/>
          <w:numId w:val="3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Očuvanje identiteta: Poduzeće zadržava svoj identitet i organizacijsku kulturu jer se rast temelji na vlastitim resursima i internim procesima, što može biti iznimno važno za održavanje lojalnosti kupaca i zaposlenika (Grzegorzek 2021).</w:t>
      </w:r>
    </w:p>
    <w:p w14:paraId="5D83C1C8" w14:textId="77777777" w:rsidR="006E052A" w:rsidRPr="00BE5472" w:rsidRDefault="006E052A" w:rsidP="00120B4F">
      <w:pPr>
        <w:numPr>
          <w:ilvl w:val="0"/>
          <w:numId w:val="3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Manji rizik: Unutarnji rast obično nosi manji rizik od onih povezanih s integracijom preuzimanja ili spajanja, poput kulturnih neslaganja ili problema s upravljanjem (Grzegorzek 2021).</w:t>
      </w:r>
    </w:p>
    <w:p w14:paraId="22ADEE39" w14:textId="77777777" w:rsidR="006E052A" w:rsidRPr="00BE5472" w:rsidRDefault="006E052A" w:rsidP="00120B4F">
      <w:pPr>
        <w:numPr>
          <w:ilvl w:val="0"/>
          <w:numId w:val="3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Održivost i stabilnost: Unutarnji rast može biti održiviji dugoročno jer poduzeće razvija vlastite kapacitete i resurse, umjesto da se oslanja na vanjske izvore koji mogu biti nepredvidljivi ili ograničeni.</w:t>
      </w:r>
    </w:p>
    <w:p w14:paraId="0598CF03" w14:textId="77777777" w:rsidR="006E052A" w:rsidRDefault="006E052A" w:rsidP="00120B4F">
      <w:pPr>
        <w:numPr>
          <w:ilvl w:val="0"/>
          <w:numId w:val="3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Učenje i prilagodba: Procesom unutarnjeg rasta poduzeće često stječe vrijedno iskustvo i uči iz svojih vlastitih procesa, što može poboljšati njegovu sposobnost prilagodbe promjenama na tržištu (de Bruin 2017). </w:t>
      </w:r>
    </w:p>
    <w:p w14:paraId="4202C257" w14:textId="77777777" w:rsidR="00CB3A7C" w:rsidRPr="00BE5472" w:rsidRDefault="00CB3A7C" w:rsidP="00CB3A7C">
      <w:pPr>
        <w:spacing w:line="360" w:lineRule="auto"/>
        <w:ind w:left="720"/>
        <w:contextualSpacing/>
        <w:jc w:val="both"/>
        <w:rPr>
          <w:rFonts w:ascii="Times New Roman" w:hAnsi="Times New Roman" w:cs="Times New Roman"/>
          <w:kern w:val="2"/>
          <w:sz w:val="24"/>
          <w:szCs w:val="24"/>
          <w14:ligatures w14:val="standardContextual"/>
        </w:rPr>
      </w:pPr>
    </w:p>
    <w:p w14:paraId="524A527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Buble i sur. (2005) smatraju da se prednosti unutarnjeg rasta očituju u osnaživanju unutarnjih kompetencija, sposobnosti, znanja i resursa, prilagodbi rasta mogućnostima poduzeća, nadzoru nad imovinom i ključnom tehnologijom poduzeća. </w:t>
      </w:r>
    </w:p>
    <w:p w14:paraId="0849CDA3"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 druge strane, nedostaci unutarnjeg rasta poduzeća mogu se ogledati u sljedećem (Grzegorzek 2021):</w:t>
      </w:r>
    </w:p>
    <w:p w14:paraId="1262A11D" w14:textId="77777777" w:rsidR="006E052A" w:rsidRPr="00BE5472" w:rsidRDefault="006E052A" w:rsidP="00120B4F">
      <w:pPr>
        <w:numPr>
          <w:ilvl w:val="0"/>
          <w:numId w:val="3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Ograničeni resursi i kapaciteti: Unutarnji rast može biti ograničen postojećim resursima i kapacitetima poduzeća, što može usporiti ili ograničiti brzinu rasta.</w:t>
      </w:r>
    </w:p>
    <w:p w14:paraId="6CCB802B" w14:textId="77777777" w:rsidR="006E052A" w:rsidRPr="00BE5472" w:rsidRDefault="006E052A" w:rsidP="00120B4F">
      <w:pPr>
        <w:numPr>
          <w:ilvl w:val="0"/>
          <w:numId w:val="3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Financijski pritisak: Poduzeće može biti prisiljeno ulagati značajne količine vlastitog kapitala kako bi financiralo svoj rast, što može dovesti do povećanja financijskog pritiska.</w:t>
      </w:r>
    </w:p>
    <w:p w14:paraId="5600D905" w14:textId="77777777" w:rsidR="006E052A" w:rsidRPr="00BE5472" w:rsidRDefault="006E052A" w:rsidP="00120B4F">
      <w:pPr>
        <w:numPr>
          <w:ilvl w:val="0"/>
          <w:numId w:val="3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Sporiji rast u usporedbi s alternativama: Unutarnji rast obično zahtijeva više vremena i truda u usporedbi s bržim strategijama rasta poput preuzimanja ili franšiza.</w:t>
      </w:r>
    </w:p>
    <w:p w14:paraId="79928821" w14:textId="77777777" w:rsidR="006E052A" w:rsidRPr="00BE5472" w:rsidRDefault="006E052A" w:rsidP="00120B4F">
      <w:pPr>
        <w:numPr>
          <w:ilvl w:val="0"/>
          <w:numId w:val="3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Rizik od stagnacije i gubitka konkurentnosti: Ako poduzeće previše ovisi o unutarnjem rastu, postoji rizik da postane zatvorena za vanjske prilike i inovacije, što može dovesti do stagnacije ili gubitka konkurentnosti.</w:t>
      </w:r>
    </w:p>
    <w:p w14:paraId="057D48BC" w14:textId="77777777" w:rsidR="006E052A" w:rsidRPr="00BE5472" w:rsidRDefault="006E052A" w:rsidP="00120B4F">
      <w:pPr>
        <w:numPr>
          <w:ilvl w:val="0"/>
          <w:numId w:val="3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Ograničen pristup vanjskim resursima i stručnjacima: Unutarnji rast može ograničiti pristup vanjskim stručnjacima ili resursima koji bi mogli donijeti svježe perspektive i ideje za rast poduzeća.</w:t>
      </w:r>
    </w:p>
    <w:p w14:paraId="1254E991" w14:textId="047B1F09" w:rsidR="006E052A" w:rsidRPr="00BE5472" w:rsidRDefault="006E052A" w:rsidP="003D13C0">
      <w:pPr>
        <w:pStyle w:val="Heading3"/>
        <w:rPr>
          <w:rFonts w:ascii="Times New Roman" w:hAnsi="Times New Roman" w:cs="Times New Roman"/>
        </w:rPr>
      </w:pPr>
      <w:bookmarkStart w:id="100" w:name="_Toc210381421"/>
      <w:bookmarkStart w:id="101" w:name="_Toc241865145"/>
      <w:bookmarkStart w:id="102" w:name="_Hlk161823884"/>
      <w:r w:rsidRPr="00BE5472">
        <w:rPr>
          <w:rFonts w:ascii="Times New Roman" w:hAnsi="Times New Roman" w:cs="Times New Roman"/>
        </w:rPr>
        <w:t>3.3.2. Vanjski (neorganski rast) poduzeća</w:t>
      </w:r>
      <w:bookmarkEnd w:id="100"/>
      <w:bookmarkEnd w:id="101"/>
    </w:p>
    <w:p w14:paraId="02624D34" w14:textId="77777777" w:rsidR="00BC3443" w:rsidRPr="00BE5472" w:rsidRDefault="00BC3443" w:rsidP="00BC3443">
      <w:pPr>
        <w:rPr>
          <w:rFonts w:ascii="Times New Roman" w:hAnsi="Times New Roman" w:cs="Times New Roman"/>
        </w:rPr>
      </w:pPr>
    </w:p>
    <w:bookmarkEnd w:id="102"/>
    <w:p w14:paraId="5E911B1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Vanjski ili neorganski rast uključuje preuzimanje ili spajanje s drugim poduzećem kako bi se ostvarila brža ekspanzija ili stjecanje resursa, tržišta ili tehnologije koje su već razvili drugi, a sve radi ostvarenja zajedničkih ciljeva.</w:t>
      </w:r>
    </w:p>
    <w:p w14:paraId="7FC94321" w14:textId="6D62FC2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Fenomen spajanja i preuzimanja poduzeća nije nov. Zanimljivo je da se preuzimanja spominju još u Rimskom Carstvu (Carmeli i Markman 2011). U svojim istraživanjima razvoja industrije, Chandler (1962) prepoznaje valove spajanja i preuzimanja već u 19. stoljeću. Također, Penrose (1959) spominj</w:t>
      </w:r>
      <w:r w:rsidR="00A73FEA" w:rsidRPr="00BE5472">
        <w:rPr>
          <w:rFonts w:ascii="Times New Roman" w:hAnsi="Times New Roman" w:cs="Times New Roman"/>
          <w:kern w:val="2"/>
          <w:sz w:val="24"/>
          <w:szCs w:val="24"/>
          <w14:ligatures w14:val="standardContextual"/>
        </w:rPr>
        <w:t>e</w:t>
      </w:r>
      <w:r w:rsidRPr="00BE5472">
        <w:rPr>
          <w:rFonts w:ascii="Times New Roman" w:hAnsi="Times New Roman" w:cs="Times New Roman"/>
          <w:kern w:val="2"/>
          <w:sz w:val="24"/>
          <w:szCs w:val="24"/>
          <w14:ligatures w14:val="standardContextual"/>
        </w:rPr>
        <w:t xml:space="preserve"> spajanje i preuzimanje kao alternativu organskom rastu. Danas se može zaključiti da su se aktivnosti spajanja i preuzimanja intenzivirale tijekom posljednjih desetljeća te su </w:t>
      </w:r>
      <w:r w:rsidR="00E047E8" w:rsidRPr="00BE5472">
        <w:rPr>
          <w:rFonts w:ascii="Times New Roman" w:hAnsi="Times New Roman" w:cs="Times New Roman"/>
          <w:kern w:val="2"/>
          <w:sz w:val="24"/>
          <w:szCs w:val="24"/>
          <w14:ligatures w14:val="standardContextual"/>
        </w:rPr>
        <w:t xml:space="preserve">postale </w:t>
      </w:r>
      <w:r w:rsidRPr="00BE5472">
        <w:rPr>
          <w:rFonts w:ascii="Times New Roman" w:hAnsi="Times New Roman" w:cs="Times New Roman"/>
          <w:kern w:val="2"/>
          <w:sz w:val="24"/>
          <w:szCs w:val="24"/>
          <w14:ligatures w14:val="standardContextual"/>
        </w:rPr>
        <w:t xml:space="preserve">vrlo popularne strategije koje poduzeća odabiru kako bi rasla i razvijala se. Neminovno je da su brojne promjene na globalnoj ekonomskoj sceni, uključujući velike geopolitičke i financijske izazove, tehnološke napretke, globalizaciju i pomak prema ekološkim, društvenim i upravljačkim (eng. </w:t>
      </w:r>
      <w:r w:rsidRPr="00BE5472">
        <w:rPr>
          <w:rFonts w:ascii="Times New Roman" w:hAnsi="Times New Roman" w:cs="Times New Roman"/>
          <w:i/>
          <w:kern w:val="2"/>
          <w:sz w:val="24"/>
          <w:szCs w:val="24"/>
          <w14:ligatures w14:val="standardContextual"/>
        </w:rPr>
        <w:t>Environmental, Social, Governance</w:t>
      </w:r>
      <w:r w:rsidRPr="00BE5472">
        <w:rPr>
          <w:rFonts w:ascii="Times New Roman" w:hAnsi="Times New Roman" w:cs="Times New Roman"/>
          <w:kern w:val="2"/>
          <w:sz w:val="24"/>
          <w:szCs w:val="24"/>
          <w14:ligatures w14:val="standardContextual"/>
        </w:rPr>
        <w:t xml:space="preserve"> ili ESG) promišljanjima i brigama, iz korijena promijenile i oblikovale okruženje spajanja i preuzimanja (Eulerich, Koop i Fligge 2022).</w:t>
      </w:r>
    </w:p>
    <w:p w14:paraId="672139E7" w14:textId="06F449E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Spajanja i preuzimanja su važni događaji u razvoju organizacije (Sarala i sur. 2016; Rouziès i sur. 2019). Jasno je da poduzeća ne kreću u spajanje ili preuzimanje s očekivanjem da će sve ostati isto (King, Bauer i Schriber 2019). Harford (2005) sugerira da se spajanja mogu dogoditi kao reakcija na neočekivane šokove u strukturi industrije. Spajanja i preuzimanja su ključni trenuci u odnosima između poduzeća i njihovih klijenata, tj. proces ne utječe samo na odnos između uključenih </w:t>
      </w:r>
      <w:r w:rsidR="00E047E8" w:rsidRPr="00BE5472">
        <w:rPr>
          <w:rFonts w:ascii="Times New Roman" w:hAnsi="Times New Roman" w:cs="Times New Roman"/>
          <w:kern w:val="2"/>
          <w:sz w:val="24"/>
          <w:szCs w:val="24"/>
          <w14:ligatures w14:val="standardContextual"/>
        </w:rPr>
        <w:t>poduzeća</w:t>
      </w:r>
      <w:r w:rsidRPr="00BE5472">
        <w:rPr>
          <w:rFonts w:ascii="Times New Roman" w:hAnsi="Times New Roman" w:cs="Times New Roman"/>
          <w:kern w:val="2"/>
          <w:sz w:val="24"/>
          <w:szCs w:val="24"/>
          <w14:ligatures w14:val="standardContextual"/>
        </w:rPr>
        <w:t>, već i njihovih dionika (Anderson i sur. 2003). To su procesi koji utječu na zaposlenike, kupce, konzultantska poduzeća ili lokalne zajednice zbog njihovih posljedica na individualnoj, organizacijskoj ili društvenoj razini (Anderson, Havila i Nilsson 2013). Priroda (pozitivna ili negativna) utjecaja spajanja i preuzimanja na odnos između poduzeća i klijenata ovisit će o obimu i opsegu promjena koje se događaju u fazi integracije (Havila i Salmi 2000).</w:t>
      </w:r>
    </w:p>
    <w:p w14:paraId="00B748EF"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Rast poduzeća putem spajanja i preuzimanja predstavlja strategiju kojom poduzeća proširuju svoje poslovanje pripajanjem drugih poduzeća ili spajanjem s njima kako bi postigli različite ciljeve. </w:t>
      </w:r>
      <w:r w:rsidRPr="00BE5472">
        <w:rPr>
          <w:rFonts w:ascii="Times New Roman" w:hAnsi="Times New Roman" w:cs="Times New Roman"/>
          <w:kern w:val="2"/>
          <w:sz w:val="24"/>
          <w:szCs w:val="24"/>
          <w14:ligatures w14:val="standardContextual"/>
        </w:rPr>
        <w:lastRenderedPageBreak/>
        <w:t xml:space="preserve">Ciljevi mogu biti: širenje tržišnog udjela, diversifikacija proizvodnog portfelja, pristup novim tehnologijama ili geografskim tržištima, kao i ostvarivanje operativnih ili financijskih sinergija. </w:t>
      </w:r>
    </w:p>
    <w:p w14:paraId="1275AF86"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No, iako u konačnici imaju istu ciljeve, spajanja i preuzimanja se ipak razlikuju. Razlika između spajanja i preuzimanja možda nije značajna, budući da često dovodi do istog ishoda: dva poduzeća koje su ranije bila odvojena, sada funkcioniraju pod istim okriljem, obično radi ostvarenja određenog strateškog ili financijskog cilja (Sherman 2010: 3). Ipak, različiti izvori podrazumijevaju različite definicije spajanja i preuzimanja. </w:t>
      </w:r>
    </w:p>
    <w:p w14:paraId="47DB7216" w14:textId="0D83C358"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Thompson, Strickland III i Gamble (2008: 147) navode da spajanje podrazumijeva integriranje dva ili više ravnopravnih poduzeća u jedno, najčešće pod drugim, novim imenom dok kod preuzimanja jedno poduzeće kupuje drugo s intencijom apsorpcije njegovih operacija. Spajanje obuhvaća usuglašeno povezivanje dva</w:t>
      </w:r>
      <w:r w:rsidR="00033EB5" w:rsidRPr="00BE5472">
        <w:rPr>
          <w:rFonts w:ascii="Times New Roman" w:hAnsi="Times New Roman" w:cs="Times New Roman"/>
          <w:kern w:val="2"/>
          <w:sz w:val="24"/>
          <w:szCs w:val="24"/>
          <w14:ligatures w14:val="standardContextual"/>
        </w:rPr>
        <w:t>ju</w:t>
      </w:r>
      <w:r w:rsidRPr="00BE5472">
        <w:rPr>
          <w:rFonts w:ascii="Times New Roman" w:hAnsi="Times New Roman" w:cs="Times New Roman"/>
          <w:kern w:val="2"/>
          <w:sz w:val="24"/>
          <w:szCs w:val="24"/>
          <w14:ligatures w14:val="standardContextual"/>
        </w:rPr>
        <w:t xml:space="preserve"> ili više poduzeća kako bi se formirao novi pravni subjekt čime spojena poduzeća </w:t>
      </w:r>
      <w:r w:rsidRPr="00BE5472">
        <w:rPr>
          <w:rFonts w:ascii="Times New Roman" w:hAnsi="Times New Roman" w:cs="Times New Roman"/>
          <w:i/>
          <w:kern w:val="2"/>
          <w:sz w:val="24"/>
          <w:szCs w:val="24"/>
          <w14:ligatures w14:val="standardContextual"/>
        </w:rPr>
        <w:t>gube svoje odvojene identitete i stječu novi</w:t>
      </w:r>
      <w:r w:rsidRPr="00BE5472">
        <w:rPr>
          <w:rFonts w:ascii="Times New Roman" w:hAnsi="Times New Roman" w:cs="Times New Roman"/>
          <w:kern w:val="2"/>
          <w:sz w:val="24"/>
          <w:szCs w:val="24"/>
          <w14:ligatures w14:val="standardContextual"/>
        </w:rPr>
        <w:t xml:space="preserve"> (Buble i sur. 2005: 119). </w:t>
      </w:r>
    </w:p>
    <w:p w14:paraId="48B48321" w14:textId="2D79E3E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Preuzimanje predstavlja kompleksni proces stjecanja kontrole nad drugim poduzećem ili većim dijelom njegovog vlasništva kupovinom imovine ili dionica. Kroz ovaj proces, poduzeće preuzimatelj preuzima upravljački nadzor nad metom. U nekim slučajevima, kupljeno poduzeće može prestati s neovisnim poslovanjem te se u kasnijoj fazi potpuno integrirati s drugim poduzećem. Spajanje se obično odnosi na spoj dva</w:t>
      </w:r>
      <w:r w:rsidR="00033EB5" w:rsidRPr="00BE5472">
        <w:rPr>
          <w:rFonts w:ascii="Times New Roman" w:hAnsi="Times New Roman" w:cs="Times New Roman"/>
          <w:kern w:val="2"/>
          <w:sz w:val="24"/>
          <w:szCs w:val="24"/>
          <w14:ligatures w14:val="standardContextual"/>
        </w:rPr>
        <w:t>ju</w:t>
      </w:r>
      <w:r w:rsidRPr="00BE5472">
        <w:rPr>
          <w:rFonts w:ascii="Times New Roman" w:hAnsi="Times New Roman" w:cs="Times New Roman"/>
          <w:kern w:val="2"/>
          <w:sz w:val="24"/>
          <w:szCs w:val="24"/>
          <w14:ligatures w14:val="standardContextual"/>
        </w:rPr>
        <w:t xml:space="preserve"> poduzeća, kao ravnopravnih partnera kako bi postali jedno i to obično razmjenom dionica. Preuzimanje obično podrazumijeva jedno poduzeće, kupca, koje kupuje imovinu ili dionice drugog poduzeća, prodavatelja, pri čemu se plaćanje obično vrši u gotovini, vrijednosnim papirima kupca ili drugom imovinom vrijednom za prodavatelja (Sherman 2010: 3).</w:t>
      </w:r>
    </w:p>
    <w:p w14:paraId="501775EF" w14:textId="36FE45B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Razlika između konsolidacije i pripajanja ili spajanja često se temelji na veličini poduzeća uključenih u proces. Pojam konsolidacije </w:t>
      </w:r>
      <w:r w:rsidR="00033EB5" w:rsidRPr="00BE5472">
        <w:rPr>
          <w:rFonts w:ascii="Times New Roman" w:hAnsi="Times New Roman" w:cs="Times New Roman"/>
          <w:kern w:val="2"/>
          <w:sz w:val="24"/>
          <w:szCs w:val="24"/>
          <w14:ligatures w14:val="standardContextual"/>
        </w:rPr>
        <w:t xml:space="preserve">često </w:t>
      </w:r>
      <w:r w:rsidRPr="00BE5472">
        <w:rPr>
          <w:rFonts w:ascii="Times New Roman" w:hAnsi="Times New Roman" w:cs="Times New Roman"/>
          <w:kern w:val="2"/>
          <w:sz w:val="24"/>
          <w:szCs w:val="24"/>
          <w14:ligatures w14:val="standardContextual"/>
        </w:rPr>
        <w:t>se koristi kada su poduzeća relativno slične veličine, dok se pojmovi pripajanja ili spajanja preferiraju kada postoji značajan disparitet u veličini između subjekata (Novak 2000).</w:t>
      </w:r>
    </w:p>
    <w:p w14:paraId="2F142FB6" w14:textId="01BA267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Mnogi smatraju da nema razlike između spajanja, preuzimanja i konsolidacije </w:t>
      </w:r>
      <w:r w:rsidR="00033EB5" w:rsidRPr="00BE5472">
        <w:rPr>
          <w:rFonts w:ascii="Times New Roman" w:hAnsi="Times New Roman" w:cs="Times New Roman"/>
          <w:kern w:val="2"/>
          <w:sz w:val="24"/>
          <w:szCs w:val="24"/>
          <w14:ligatures w14:val="standardContextual"/>
        </w:rPr>
        <w:t>jer</w:t>
      </w:r>
      <w:r w:rsidRPr="00BE5472">
        <w:rPr>
          <w:rFonts w:ascii="Times New Roman" w:hAnsi="Times New Roman" w:cs="Times New Roman"/>
          <w:kern w:val="2"/>
          <w:sz w:val="24"/>
          <w:szCs w:val="24"/>
          <w14:ligatures w14:val="standardContextual"/>
        </w:rPr>
        <w:t xml:space="preserve"> nakon određenog vremena, ponekad i nakon desetak godina osoblje, organizacijska kultura, poslovni model i druga obilježja jedne organizacije postaju dominantniji u odnosu na drugu (Moeller i Brady 2011). </w:t>
      </w:r>
    </w:p>
    <w:p w14:paraId="3477237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Provedba preuzimanja može biti:</w:t>
      </w:r>
    </w:p>
    <w:p w14:paraId="5997AD72" w14:textId="77777777" w:rsidR="006E052A" w:rsidRPr="00BE5472" w:rsidRDefault="006E052A" w:rsidP="00120B4F">
      <w:pPr>
        <w:numPr>
          <w:ilvl w:val="0"/>
          <w:numId w:val="4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prijateljska</w:t>
      </w:r>
      <w:r w:rsidRPr="00BE5472">
        <w:rPr>
          <w:rFonts w:ascii="Times New Roman" w:hAnsi="Times New Roman" w:cs="Times New Roman"/>
          <w:kern w:val="2"/>
          <w:sz w:val="24"/>
          <w:szCs w:val="24"/>
          <w14:ligatures w14:val="standardContextual"/>
        </w:rPr>
        <w:t xml:space="preserve"> – kada postoji dogovor između dviju strana i </w:t>
      </w:r>
    </w:p>
    <w:p w14:paraId="2AE5D0DF" w14:textId="764E1F22" w:rsidR="006E052A" w:rsidRPr="00BE5472" w:rsidRDefault="006E052A" w:rsidP="00120B4F">
      <w:pPr>
        <w:numPr>
          <w:ilvl w:val="0"/>
          <w:numId w:val="40"/>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neprijateljska</w:t>
      </w:r>
      <w:r w:rsidRPr="00BE5472">
        <w:rPr>
          <w:rFonts w:ascii="Times New Roman" w:hAnsi="Times New Roman" w:cs="Times New Roman"/>
          <w:kern w:val="2"/>
          <w:sz w:val="24"/>
          <w:szCs w:val="24"/>
          <w14:ligatures w14:val="standardContextual"/>
        </w:rPr>
        <w:t xml:space="preserve"> - kada ne postoji dogovor ni</w:t>
      </w:r>
      <w:r w:rsidR="0007037B"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suglasnost od strane menadžmenta.</w:t>
      </w:r>
    </w:p>
    <w:p w14:paraId="5F0C1C8F"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4D8AC86A" w14:textId="10386875"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Dash (2013: 12) smatra da se kupoprodajni ugovor može nazvati i spajanjem kada se oba glavna izvršna direktora slože da je udruživanje u najboljem interesu njihovih poduzeća. Međutim, ako je dogovor neprijateljski, odnosno ako ciljano poduzeće ne želi biti kupljeno, uvijek se smatra preuzimanjem. Hoće li se kupovina smatrati spajanjem ili preuzimanjem ovisi o tome je li kupovina prijateljska ili neprijateljska te kako je komunicirana. Prava razlika leži u načinu na koji je kupovina predstavljena i prihvaćena od strane uprave, zaposlenika i dioničara ciljanog poduzeća. </w:t>
      </w:r>
    </w:p>
    <w:p w14:paraId="6037565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Reorganizacija poduzeća, sukladno mišljenju DePamphilisa (2018) može biti dvojaka: operativna i financijska. Spajanja i preuzimanja dio su operativne reorganizacije prijateljskog preuzimanja ili preuzimanja bez prisile.</w:t>
      </w:r>
    </w:p>
    <w:p w14:paraId="45F7F430"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Spajanja i preuzimanja mogu biti (Bertoncelj 2006: 5-6):</w:t>
      </w:r>
    </w:p>
    <w:p w14:paraId="545FB233" w14:textId="0BA209E6" w:rsidR="006E052A" w:rsidRPr="00BE5472" w:rsidRDefault="006E052A" w:rsidP="00120B4F">
      <w:pPr>
        <w:numPr>
          <w:ilvl w:val="0"/>
          <w:numId w:val="4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Horizontalna ili vodoravna:</w:t>
      </w:r>
      <w:r w:rsidRPr="00BE5472">
        <w:rPr>
          <w:rFonts w:ascii="Times New Roman" w:hAnsi="Times New Roman" w:cs="Times New Roman"/>
          <w:kern w:val="2"/>
          <w:sz w:val="24"/>
          <w:szCs w:val="24"/>
          <w14:ligatures w14:val="standardContextual"/>
        </w:rPr>
        <w:t xml:space="preserve"> Horizontalna spajanja i preuzimanja uključuju dva ili više poduzeća koja djeluju u istoj industriji i proizvode slične proizvode ili usluge. Cilj je postizanje veće tržišne moći, smanjenje konkurencije te optimizacija operacija i resursa. Horizontalno spajanje ili preuzimanje u hotelskoj industriji odnosi se na proces povezivanja ili preuzimanja hotelskih poduzeća koja djeluju na istoj razini lanca vrijednosti, tj. posluju u istoj industriji i nude slične proizvode ili usluge. Ovaj proces obično ima za cilj stvaranje većih, snažnijih i konkurentnijih entiteta koji mogu ostvariti operativne i financijske sinergije te poboljšati svoju konkurentnost na tržištu. Primjeri horizontalnog spajanja i preuzimanja u hotelskoj industriji uključuju preuzimanja velikih hotelskih lanaca ili grupacija hotela koje djeluju </w:t>
      </w:r>
      <w:r w:rsidR="00280B8B" w:rsidRPr="00BE5472">
        <w:rPr>
          <w:rFonts w:ascii="Times New Roman" w:hAnsi="Times New Roman" w:cs="Times New Roman"/>
          <w:kern w:val="2"/>
          <w:sz w:val="24"/>
          <w:szCs w:val="24"/>
          <w14:ligatures w14:val="standardContextual"/>
        </w:rPr>
        <w:t>na</w:t>
      </w:r>
      <w:r w:rsidRPr="00BE5472">
        <w:rPr>
          <w:rFonts w:ascii="Times New Roman" w:hAnsi="Times New Roman" w:cs="Times New Roman"/>
          <w:kern w:val="2"/>
          <w:sz w:val="24"/>
          <w:szCs w:val="24"/>
          <w14:ligatures w14:val="standardContextual"/>
        </w:rPr>
        <w:t xml:space="preserve"> sličnim segmentima tržišta. Kroz ove transakcije, poduzeća mogu proširiti svoj portfelj hotela, povećati svoju globalnu prisutnost, diversificirati ponudu, iskoristiti ekonomiju obujma te pružiti bolje usluge i iskustva gostima. Cilj takvih spajanja ili preuzimanje je jačanje pozicije na tržištu, širenje ponude ili usluge te smanjenje troškova.</w:t>
      </w:r>
    </w:p>
    <w:p w14:paraId="7644236B" w14:textId="08807964" w:rsidR="006E052A" w:rsidRPr="00BE5472" w:rsidRDefault="006E052A" w:rsidP="00120B4F">
      <w:pPr>
        <w:numPr>
          <w:ilvl w:val="0"/>
          <w:numId w:val="4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Vertikalna ili okomita</w:t>
      </w:r>
      <w:r w:rsidRPr="00BE5472">
        <w:rPr>
          <w:rFonts w:ascii="Times New Roman" w:hAnsi="Times New Roman" w:cs="Times New Roman"/>
          <w:kern w:val="2"/>
          <w:sz w:val="24"/>
          <w:szCs w:val="24"/>
          <w14:ligatures w14:val="standardContextual"/>
        </w:rPr>
        <w:t>: Kod vertikalnog spajanja ili preuzimanja poduzeća koja su pozicionirana u različitim dijelovima proizvodnog ili distribucijskog lanca kombiniraju svoje aktivnosti. Glavni cilj vertikalnog spajanja ili preuzimanja je poboljšanje učinkovitosti i kontrola nad proizvodnim lancem. Takvo spajanje ili preuzimanje može rezultirati uštedama u logistici, poboljšanom kontrolom nad cijelim procesom proizvodnje ili distribucije te osiguravanjem stabilnog opskrbnog lanca. Može uključivati smanjenje troškova, poboljšanje kvalitete, osiguranje opskrbe i povećanje vrijednosti proizvoda ili usluga. Dva su moguća pravca kod vertikalnog spajanja ili preuzimanja: silazni i uzlazni. Silazna vertikalna integracija podrazumijeva širenje poslovanja na raniju fazu u lancu vrijednosti. Širenje na kasniju faza lanca vrijednosti naziva se uzlaznom integracijom (Stengel 2012: 77).  Primjer vertikalnog spajanja ili preuzimanja u hotelskom sektoru može biti kada hotelski lanac preuzme poduzeće koje se bavi distribucijom hrane ili uslugama održavanja (silazna vertikalna integracija), kako bi integrirao te usluge u svoje poslovanje i smanjio troškove. Kada bi poduzeće koja se bavi uslugama održavanja preuzelo hotelsko poduzeće radilo bi se o uzlaznoj vertikalnoj integraciji.</w:t>
      </w:r>
    </w:p>
    <w:p w14:paraId="2F0FB85B" w14:textId="017FB2B9" w:rsidR="006E052A" w:rsidRPr="00BE5472" w:rsidRDefault="006E052A" w:rsidP="00120B4F">
      <w:pPr>
        <w:numPr>
          <w:ilvl w:val="0"/>
          <w:numId w:val="4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Konglomeratska ili mješovita</w:t>
      </w:r>
      <w:r w:rsidRPr="00BE5472">
        <w:rPr>
          <w:rFonts w:ascii="Times New Roman" w:hAnsi="Times New Roman" w:cs="Times New Roman"/>
          <w:kern w:val="2"/>
          <w:sz w:val="24"/>
          <w:szCs w:val="24"/>
          <w14:ligatures w14:val="standardContextual"/>
        </w:rPr>
        <w:t>: Konglomerat</w:t>
      </w:r>
      <w:r w:rsidR="00BE688D" w:rsidRPr="00BE5472">
        <w:rPr>
          <w:rFonts w:ascii="Times New Roman" w:hAnsi="Times New Roman" w:cs="Times New Roman"/>
          <w:kern w:val="2"/>
          <w:sz w:val="24"/>
          <w:szCs w:val="24"/>
          <w14:ligatures w14:val="standardContextual"/>
        </w:rPr>
        <w:t>ska</w:t>
      </w:r>
      <w:r w:rsidRPr="00BE5472">
        <w:rPr>
          <w:rFonts w:ascii="Times New Roman" w:hAnsi="Times New Roman" w:cs="Times New Roman"/>
          <w:kern w:val="2"/>
          <w:sz w:val="24"/>
          <w:szCs w:val="24"/>
          <w14:ligatures w14:val="standardContextual"/>
        </w:rPr>
        <w:t xml:space="preserve"> spajanja ili preuzimanja uključuju poduzeća koja su aktivna u potpuno različitim industrijama i tržištima. Glavni cilj konglomeratskog spajanja je diversifikacija poslovnog portfelja i smanjenje rizika od izloženosti pojedinoj industriji ili tržištu.</w:t>
      </w:r>
    </w:p>
    <w:p w14:paraId="092057E6" w14:textId="77777777" w:rsidR="006E052A" w:rsidRPr="00BE5472" w:rsidRDefault="006E052A" w:rsidP="00120B4F">
      <w:pPr>
        <w:numPr>
          <w:ilvl w:val="0"/>
          <w:numId w:val="41"/>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Kongenerična ili slična</w:t>
      </w:r>
      <w:r w:rsidRPr="00BE5472">
        <w:rPr>
          <w:rFonts w:ascii="Times New Roman" w:hAnsi="Times New Roman" w:cs="Times New Roman"/>
          <w:kern w:val="2"/>
          <w:sz w:val="24"/>
          <w:szCs w:val="24"/>
          <w14:ligatures w14:val="standardContextual"/>
        </w:rPr>
        <w:t>: Kongenerična spajanja ili preuzimanja su oblik korporativnih transakcija u kojima se dva ili više poduzeća koja djeluju u istom segmentu ciljnog tržišta spajaju  ili jedno preuzima drugo. Poduzeća imaju različite proizvode, ali iste kupce i distribucijske kanale te spajanjem ili preuzimanjem nastoje stvoriti dodatnu vrijednost proizvoda ili usluge u sektoru.</w:t>
      </w:r>
    </w:p>
    <w:p w14:paraId="02232063"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38D8C80E" w14:textId="012BB3D0"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Istraživači su</w:t>
      </w:r>
      <w:r w:rsidR="00033EB5" w:rsidRPr="00BE5472">
        <w:rPr>
          <w:rFonts w:ascii="Times New Roman" w:hAnsi="Times New Roman" w:cs="Times New Roman"/>
          <w:kern w:val="2"/>
          <w:sz w:val="24"/>
          <w:szCs w:val="24"/>
          <w14:ligatures w14:val="standardContextual"/>
        </w:rPr>
        <w:t xml:space="preserve"> se</w:t>
      </w:r>
      <w:r w:rsidRPr="00BE5472">
        <w:rPr>
          <w:rFonts w:ascii="Times New Roman" w:hAnsi="Times New Roman" w:cs="Times New Roman"/>
          <w:kern w:val="2"/>
          <w:sz w:val="24"/>
          <w:szCs w:val="24"/>
          <w14:ligatures w14:val="standardContextual"/>
        </w:rPr>
        <w:t xml:space="preserve"> koristili različit</w:t>
      </w:r>
      <w:r w:rsidR="00033EB5" w:rsidRPr="00BE5472">
        <w:rPr>
          <w:rFonts w:ascii="Times New Roman" w:hAnsi="Times New Roman" w:cs="Times New Roman"/>
          <w:kern w:val="2"/>
          <w:sz w:val="24"/>
          <w:szCs w:val="24"/>
          <w14:ligatures w14:val="standardContextual"/>
        </w:rPr>
        <w:t>im</w:t>
      </w:r>
      <w:r w:rsidRPr="00BE5472">
        <w:rPr>
          <w:rFonts w:ascii="Times New Roman" w:hAnsi="Times New Roman" w:cs="Times New Roman"/>
          <w:kern w:val="2"/>
          <w:sz w:val="24"/>
          <w:szCs w:val="24"/>
          <w14:ligatures w14:val="standardContextual"/>
        </w:rPr>
        <w:t xml:space="preserve"> konceptualn</w:t>
      </w:r>
      <w:r w:rsidR="00033EB5" w:rsidRPr="00BE5472">
        <w:rPr>
          <w:rFonts w:ascii="Times New Roman" w:hAnsi="Times New Roman" w:cs="Times New Roman"/>
          <w:kern w:val="2"/>
          <w:sz w:val="24"/>
          <w:szCs w:val="24"/>
          <w14:ligatures w14:val="standardContextual"/>
        </w:rPr>
        <w:t>im</w:t>
      </w:r>
      <w:r w:rsidRPr="00BE5472">
        <w:rPr>
          <w:rFonts w:ascii="Times New Roman" w:hAnsi="Times New Roman" w:cs="Times New Roman"/>
          <w:kern w:val="2"/>
          <w:sz w:val="24"/>
          <w:szCs w:val="24"/>
          <w14:ligatures w14:val="standardContextual"/>
        </w:rPr>
        <w:t xml:space="preserve"> okvir</w:t>
      </w:r>
      <w:r w:rsidR="00033EB5" w:rsidRPr="00BE5472">
        <w:rPr>
          <w:rFonts w:ascii="Times New Roman" w:hAnsi="Times New Roman" w:cs="Times New Roman"/>
          <w:kern w:val="2"/>
          <w:sz w:val="24"/>
          <w:szCs w:val="24"/>
          <w14:ligatures w14:val="standardContextual"/>
        </w:rPr>
        <w:t>ima</w:t>
      </w:r>
      <w:r w:rsidRPr="00BE5472">
        <w:rPr>
          <w:rFonts w:ascii="Times New Roman" w:hAnsi="Times New Roman" w:cs="Times New Roman"/>
          <w:kern w:val="2"/>
          <w:sz w:val="24"/>
          <w:szCs w:val="24"/>
          <w14:ligatures w14:val="standardContextual"/>
        </w:rPr>
        <w:t xml:space="preserve">, uključujući kognitivne, društvene, kulturne i političke kontekste i aspekte, kako bi bolje razumjeli strateške procese donošenja investicijskih odluka, uključujući one koji se odnose na donošenje odluka o spajanjima i preuzimanjima. Tako se može reći da se odlučivanje o poduzimanju spajanja i preuzimanja može povezati s rizikom njihove učinkovitosti primarno, a potom </w:t>
      </w:r>
      <w:r w:rsidR="00794D12" w:rsidRPr="00BE5472">
        <w:rPr>
          <w:rFonts w:ascii="Times New Roman" w:hAnsi="Times New Roman" w:cs="Times New Roman"/>
          <w:kern w:val="2"/>
          <w:sz w:val="24"/>
          <w:szCs w:val="24"/>
          <w14:ligatures w14:val="standardContextual"/>
        </w:rPr>
        <w:t>i s nizom</w:t>
      </w:r>
      <w:r w:rsidRPr="00BE5472">
        <w:rPr>
          <w:rFonts w:ascii="Times New Roman" w:hAnsi="Times New Roman" w:cs="Times New Roman"/>
          <w:kern w:val="2"/>
          <w:sz w:val="24"/>
          <w:szCs w:val="24"/>
          <w14:ligatures w14:val="standardContextual"/>
        </w:rPr>
        <w:t xml:space="preserve"> strateških motivatora poput: strateškog pozicioniranja, popunjavanja praznina u procesima proizvodnje proizvoda/usluga, </w:t>
      </w:r>
      <w:r w:rsidRPr="00BE5472">
        <w:rPr>
          <w:rFonts w:ascii="Times New Roman" w:hAnsi="Times New Roman" w:cs="Times New Roman"/>
          <w:kern w:val="2"/>
          <w:sz w:val="24"/>
          <w:szCs w:val="24"/>
          <w14:ligatures w14:val="standardContextual"/>
        </w:rPr>
        <w:lastRenderedPageBreak/>
        <w:t>organizacijskim kompetencijama i težnjom k širem pristupu tržištu (Alkaraan 2021). Izdvo</w:t>
      </w:r>
      <w:r w:rsidR="006120F0" w:rsidRPr="00BE5472">
        <w:rPr>
          <w:rFonts w:ascii="Times New Roman" w:hAnsi="Times New Roman" w:cs="Times New Roman"/>
          <w:kern w:val="2"/>
          <w:sz w:val="24"/>
          <w:szCs w:val="24"/>
          <w14:ligatures w14:val="standardContextual"/>
        </w:rPr>
        <w:t>j</w:t>
      </w:r>
      <w:r w:rsidRPr="00BE5472">
        <w:rPr>
          <w:rFonts w:ascii="Times New Roman" w:hAnsi="Times New Roman" w:cs="Times New Roman"/>
          <w:kern w:val="2"/>
          <w:sz w:val="24"/>
          <w:szCs w:val="24"/>
          <w14:ligatures w14:val="standardContextual"/>
        </w:rPr>
        <w:t xml:space="preserve">it se može i Q-teorija spajanja, koju su predstavili Jovanović i Rousseau (2002). Prema njihovim zaključcima iste sile koje potiču izravne investicije poduzeća također potiču njihove odluke o spajanju s drugim poduzećima. Sukladno ovoj teoriji spajanja i preuzimanja su, u makroekonomskom smislu, sredstva za rješavanje ekonomskog problema realokacije kapitala na razini cijele ekonomije. Realokacija je potrebna kako bi nove tehnologije mogle temeljito transformirati načine </w:t>
      </w:r>
      <w:r w:rsidR="006120F0" w:rsidRPr="00BE5472">
        <w:rPr>
          <w:rFonts w:ascii="Times New Roman" w:hAnsi="Times New Roman" w:cs="Times New Roman"/>
          <w:kern w:val="2"/>
          <w:sz w:val="24"/>
          <w:szCs w:val="24"/>
          <w14:ligatures w14:val="standardContextual"/>
        </w:rPr>
        <w:t>kako</w:t>
      </w:r>
      <w:r w:rsidRPr="00BE5472">
        <w:rPr>
          <w:rFonts w:ascii="Times New Roman" w:hAnsi="Times New Roman" w:cs="Times New Roman"/>
          <w:kern w:val="2"/>
          <w:sz w:val="24"/>
          <w:szCs w:val="24"/>
          <w14:ligatures w14:val="standardContextual"/>
        </w:rPr>
        <w:t xml:space="preserve"> poduzeća posluju. Rousseau (2009: 15) nadalje, u svojem istraživanju o implikaciji Q  teorije na spajanja dolazi do sljedećih zaključaka: 1) poduzeća preferiraju spajanja i preuzimanja u odnosu na standardne investicije kada vrše veće prilagodbe u vlastitim kapitalnim rezervama; 2) velike prilagodbe putem spajanja i preuzimanja vjerojatnije su kod poduzeća visoke Q-vrijednosti; 3) poduzeća s viškom gotovine </w:t>
      </w:r>
      <w:r w:rsidR="006120F0"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svojim bilancama čine se sklonijima postati preuzimatelji; 4) Q-vrijednosti poduzeća preuzimatelja često premašuju Q vrijednosti poduzeća meta i 5) ovi rezultati ne vrijede samo za  američko tržište, već se mogu primijeniti i izvan američkog tržišta spajanja i preuzimanja</w:t>
      </w:r>
      <w:r w:rsidR="00033EB5"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uključujući prekogranične aktivnosti spajanja američkih poduzeća te se također primjenjuju na domaća i, u manjoj mjeri, prekogranična spajanja za skupinu od sedam europskih zemalja.</w:t>
      </w:r>
    </w:p>
    <w:p w14:paraId="6F7F8F15" w14:textId="7D30CEE4"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Spajanja i preuzimanja predstavljaju način vanjskog rast poduzeća dobrih financijskih sposobnosti i, naravno, sposobnosti lakšeg i bržeg zaduživanja. Na taj način ona dobivaju izravan ili neizravan pristup najnovijem znanju, sustavima i tehnologiji, dobrom i kompetentnom menadžerskom timu te pristup prirodnim resursima (Akram i Shadid 2016). Osim toga, prema DePamphilisu (2018), spajanja i preuzimanja također mogu omogućiti pristup proizvodima i tržištima ni</w:t>
      </w:r>
      <w:r w:rsidR="002E554B" w:rsidRPr="00BE5472">
        <w:rPr>
          <w:rFonts w:ascii="Times New Roman" w:hAnsi="Times New Roman" w:cs="Times New Roman"/>
          <w:kern w:val="2"/>
          <w:sz w:val="24"/>
          <w:szCs w:val="24"/>
          <w14:ligatures w14:val="standardContextual"/>
        </w:rPr>
        <w:t>žih</w:t>
      </w:r>
      <w:r w:rsidRPr="00BE5472">
        <w:rPr>
          <w:rFonts w:ascii="Times New Roman" w:hAnsi="Times New Roman" w:cs="Times New Roman"/>
          <w:kern w:val="2"/>
          <w:sz w:val="24"/>
          <w:szCs w:val="24"/>
          <w14:ligatures w14:val="standardContextual"/>
        </w:rPr>
        <w:t xml:space="preserve"> troškova razvoja nego što bi poduzeću bilo potrebno kada bi sve započinjalo iz početka. Ako se poduzeća odluče na spajanja i preuzimanja, posebno ono koja su financijski moćnija, tada će ta poduzeća moći stvoriti novo, brže i veće ekonomsko, društveno i kulturno okruženje za razliku od svojih konkurenata. Naposljetku, ulagači očekuju svoje povrate na početna ulaganja (Fatih i Cagle 2015).</w:t>
      </w:r>
    </w:p>
    <w:p w14:paraId="0BA11C3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Neke od prednosti spajanja i preuzimanja su (Yunita i sur. 2023):</w:t>
      </w:r>
    </w:p>
    <w:p w14:paraId="3EC3CF3B" w14:textId="77777777" w:rsidR="006E052A" w:rsidRPr="00BE5472" w:rsidRDefault="006E052A" w:rsidP="00120B4F">
      <w:pPr>
        <w:numPr>
          <w:ilvl w:val="0"/>
          <w:numId w:val="4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ekonomičniji izbor u usporedbi s internim razvojem tehnologije te samim ovladavanjem tehnologijom,</w:t>
      </w:r>
    </w:p>
    <w:p w14:paraId="78F1EA30" w14:textId="77777777" w:rsidR="006E052A" w:rsidRPr="00BE5472" w:rsidRDefault="006E052A" w:rsidP="00120B4F">
      <w:pPr>
        <w:numPr>
          <w:ilvl w:val="0"/>
          <w:numId w:val="4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troškovno učinkovitiji ulazak na tržište,</w:t>
      </w:r>
    </w:p>
    <w:p w14:paraId="73B238E2" w14:textId="77777777" w:rsidR="006E052A" w:rsidRPr="00BE5472" w:rsidRDefault="006E052A" w:rsidP="00120B4F">
      <w:pPr>
        <w:numPr>
          <w:ilvl w:val="0"/>
          <w:numId w:val="4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jednostavniji i troškovno učinkovitiji proces spajanja ili preuzimanja i</w:t>
      </w:r>
    </w:p>
    <w:p w14:paraId="173D2346" w14:textId="77777777" w:rsidR="006E052A" w:rsidRPr="00BE5472" w:rsidRDefault="006E052A" w:rsidP="00120B4F">
      <w:pPr>
        <w:numPr>
          <w:ilvl w:val="0"/>
          <w:numId w:val="47"/>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brži ulazak na tržište.</w:t>
      </w:r>
    </w:p>
    <w:p w14:paraId="0635AAE7"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1F7F00EF" w14:textId="3649AD4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Snow (2011) izdvaja nekoliko razloga koji za poduzeće preuzimatelje</w:t>
      </w:r>
      <w:r w:rsidR="002E554B"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imaju važnu ulogu u donošenju odluke o spajanju ili preuzimanju: </w:t>
      </w:r>
    </w:p>
    <w:p w14:paraId="665395C2" w14:textId="77777777" w:rsidR="006E052A" w:rsidRPr="00BE5472" w:rsidRDefault="006E052A" w:rsidP="00120B4F">
      <w:pPr>
        <w:numPr>
          <w:ilvl w:val="0"/>
          <w:numId w:val="4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želja za generiranjem više prihoda širenjem poslovanja,</w:t>
      </w:r>
    </w:p>
    <w:p w14:paraId="2FA51183" w14:textId="77777777" w:rsidR="006E052A" w:rsidRPr="00BE5472" w:rsidRDefault="006E052A" w:rsidP="00120B4F">
      <w:pPr>
        <w:numPr>
          <w:ilvl w:val="0"/>
          <w:numId w:val="4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pristup novim tržištima ili proizvodima,</w:t>
      </w:r>
    </w:p>
    <w:p w14:paraId="6A9DA6DA" w14:textId="77777777" w:rsidR="006E052A" w:rsidRPr="00BE5472" w:rsidRDefault="006E052A" w:rsidP="00120B4F">
      <w:pPr>
        <w:numPr>
          <w:ilvl w:val="0"/>
          <w:numId w:val="4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implementacija vertikalne integracije,</w:t>
      </w:r>
    </w:p>
    <w:p w14:paraId="3D16F859" w14:textId="77777777" w:rsidR="006E052A" w:rsidRPr="00BE5472" w:rsidRDefault="006E052A" w:rsidP="00120B4F">
      <w:pPr>
        <w:numPr>
          <w:ilvl w:val="0"/>
          <w:numId w:val="4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korist od ekonomija razmjera i</w:t>
      </w:r>
    </w:p>
    <w:p w14:paraId="3542518A" w14:textId="25AD8361" w:rsidR="006E052A" w:rsidRPr="00BE5472" w:rsidRDefault="006E052A" w:rsidP="00120B4F">
      <w:pPr>
        <w:numPr>
          <w:ilvl w:val="0"/>
          <w:numId w:val="48"/>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kupnja konkurentskih poduzeća</w:t>
      </w:r>
      <w:r w:rsidR="00033EB5"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čime raste kontrola tržišnog udjela. </w:t>
      </w:r>
    </w:p>
    <w:p w14:paraId="7FEA9FC5" w14:textId="77777777" w:rsidR="003D46C7" w:rsidRDefault="003D46C7" w:rsidP="006E052A">
      <w:pPr>
        <w:spacing w:line="360" w:lineRule="auto"/>
        <w:jc w:val="both"/>
        <w:rPr>
          <w:rFonts w:ascii="Times New Roman" w:hAnsi="Times New Roman" w:cs="Times New Roman"/>
          <w:kern w:val="2"/>
          <w:sz w:val="24"/>
          <w:szCs w:val="24"/>
          <w14:ligatures w14:val="standardContextual"/>
        </w:rPr>
      </w:pPr>
    </w:p>
    <w:p w14:paraId="4C3EE17D" w14:textId="0C039152"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Isti autor navodi razloge za prodaju imovine, poslovnih odjela ili poduzeća drugim poduzećima:</w:t>
      </w:r>
    </w:p>
    <w:p w14:paraId="235D67C1" w14:textId="77777777" w:rsidR="006E052A" w:rsidRPr="00BE5472" w:rsidRDefault="006E052A" w:rsidP="00120B4F">
      <w:pPr>
        <w:numPr>
          <w:ilvl w:val="0"/>
          <w:numId w:val="4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Poduzeće treba kapital za razvoj  pa prodaje jednu ili više svojih dobrih i neproduktivnih imovina.</w:t>
      </w:r>
    </w:p>
    <w:p w14:paraId="51622DCE" w14:textId="77777777" w:rsidR="006E052A" w:rsidRPr="00BE5472" w:rsidRDefault="006E052A" w:rsidP="00120B4F">
      <w:pPr>
        <w:numPr>
          <w:ilvl w:val="0"/>
          <w:numId w:val="4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Poduzeće želi diversificirati poslovanje, oslobađa se nepoželjne imovine, a zarađeni novac investira se u ciljani sektor poslovanja.</w:t>
      </w:r>
    </w:p>
    <w:p w14:paraId="3E8417BF" w14:textId="77777777" w:rsidR="006E052A" w:rsidRPr="00BE5472" w:rsidRDefault="006E052A" w:rsidP="00120B4F">
      <w:pPr>
        <w:numPr>
          <w:ilvl w:val="0"/>
          <w:numId w:val="4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Poduzeće je u potrazi za poslovnim partnerima radi lakšeg i boljeg upravljanja poduzećem. To može biti temeljeno na obogaćivanju kompetencija, dodatnom kapitalu i potrebi za poslovnim mrežama koje partneri posjeduju.</w:t>
      </w:r>
    </w:p>
    <w:p w14:paraId="6C8FC10B" w14:textId="77777777" w:rsidR="006E052A" w:rsidRPr="00BE5472" w:rsidRDefault="006E052A" w:rsidP="00120B4F">
      <w:pPr>
        <w:numPr>
          <w:ilvl w:val="0"/>
          <w:numId w:val="4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Poduzeće „čisti“ financijske knjige od dugova jer dobiva svjež novac.</w:t>
      </w:r>
    </w:p>
    <w:p w14:paraId="61EDA7D9" w14:textId="77777777" w:rsidR="006E052A" w:rsidRPr="00BE5472" w:rsidRDefault="006E052A" w:rsidP="00120B4F">
      <w:pPr>
        <w:numPr>
          <w:ilvl w:val="0"/>
          <w:numId w:val="49"/>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Poduzeću je u interesu prijenos pravnih ili poreznih obveza na nekoga drugoga tko ima sposobnost rješavanja problema.</w:t>
      </w:r>
    </w:p>
    <w:p w14:paraId="130287B9" w14:textId="77777777" w:rsidR="003D46C7" w:rsidRDefault="003D46C7" w:rsidP="006E052A">
      <w:pPr>
        <w:spacing w:line="360" w:lineRule="auto"/>
        <w:jc w:val="both"/>
        <w:rPr>
          <w:rFonts w:ascii="Times New Roman" w:hAnsi="Times New Roman" w:cs="Times New Roman"/>
          <w:kern w:val="2"/>
          <w:sz w:val="24"/>
          <w:szCs w:val="24"/>
          <w14:ligatures w14:val="standardContextual"/>
        </w:rPr>
      </w:pPr>
    </w:p>
    <w:p w14:paraId="754D1C8D" w14:textId="6700567B"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Među najvećim nedostacima vanjskog rasta mogu se izdvojit: </w:t>
      </w:r>
    </w:p>
    <w:p w14:paraId="2A4D3C91" w14:textId="77777777" w:rsidR="006E052A" w:rsidRPr="00BE5472" w:rsidRDefault="006E052A" w:rsidP="00120B4F">
      <w:pPr>
        <w:numPr>
          <w:ilvl w:val="0"/>
          <w:numId w:val="6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Vrlo je skupo odlučiti se na vanjski rast, posebice kada je riječ o preuzimanjima, posebno neprijateljskim. </w:t>
      </w:r>
    </w:p>
    <w:p w14:paraId="70195D84" w14:textId="136BF2C5" w:rsidR="006E052A" w:rsidRPr="00BE5472" w:rsidRDefault="006E052A" w:rsidP="00120B4F">
      <w:pPr>
        <w:numPr>
          <w:ilvl w:val="0"/>
          <w:numId w:val="6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Sukobi kultura </w:t>
      </w:r>
      <w:r w:rsidR="00033EB5"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nerijetko se događa da postojeća organizacijska kultura i stilovi upravljanja postepeno nestaju. Novo poduzeće koje je nastalo imat će novu organizacijsku kulturu, a zaposlenici će se morati tome prilagoditi, što nije uvijek </w:t>
      </w:r>
      <w:r w:rsidR="00033EB5" w:rsidRPr="00BE5472">
        <w:rPr>
          <w:rFonts w:ascii="Times New Roman" w:hAnsi="Times New Roman" w:cs="Times New Roman"/>
          <w:kern w:val="2"/>
          <w:sz w:val="24"/>
          <w:szCs w:val="24"/>
          <w14:ligatures w14:val="standardContextual"/>
        </w:rPr>
        <w:t>jednostavno</w:t>
      </w:r>
      <w:r w:rsidRPr="00BE5472">
        <w:rPr>
          <w:rFonts w:ascii="Times New Roman" w:hAnsi="Times New Roman" w:cs="Times New Roman"/>
          <w:kern w:val="2"/>
          <w:sz w:val="24"/>
          <w:szCs w:val="24"/>
          <w14:ligatures w14:val="standardContextual"/>
        </w:rPr>
        <w:t xml:space="preserve">.  </w:t>
      </w:r>
    </w:p>
    <w:p w14:paraId="18257ECD" w14:textId="77777777" w:rsidR="006E052A" w:rsidRPr="00BE5472" w:rsidRDefault="006E052A" w:rsidP="00120B4F">
      <w:pPr>
        <w:numPr>
          <w:ilvl w:val="0"/>
          <w:numId w:val="6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Vanjski rast znači suočiti se sa sukobima upravljačkih stilova. Oni mogu ponekad biti toliko različiti da se dvije uprave nikako ne mogu zajedno složiti oko temeljnih strateških pitanja. Kada menadžeri imaju različite stilove vođenja, to zasigurno otežava procese donošenja odluka. </w:t>
      </w:r>
    </w:p>
    <w:p w14:paraId="717E3D09" w14:textId="3C7CF7B9" w:rsidR="006E052A" w:rsidRPr="00BE5472" w:rsidRDefault="006E052A" w:rsidP="00120B4F">
      <w:pPr>
        <w:numPr>
          <w:ilvl w:val="0"/>
          <w:numId w:val="62"/>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Velika spajanja i preuzimanja mogu, u </w:t>
      </w:r>
      <w:r w:rsidR="00033EB5" w:rsidRPr="00BE5472">
        <w:rPr>
          <w:rFonts w:ascii="Times New Roman" w:hAnsi="Times New Roman" w:cs="Times New Roman"/>
          <w:kern w:val="2"/>
          <w:sz w:val="24"/>
          <w:szCs w:val="24"/>
          <w14:ligatures w14:val="standardContextual"/>
        </w:rPr>
        <w:t>konačnici</w:t>
      </w:r>
      <w:r w:rsidRPr="00BE5472">
        <w:rPr>
          <w:rFonts w:ascii="Times New Roman" w:hAnsi="Times New Roman" w:cs="Times New Roman"/>
          <w:kern w:val="2"/>
          <w:sz w:val="24"/>
          <w:szCs w:val="24"/>
          <w14:ligatures w14:val="standardContextual"/>
        </w:rPr>
        <w:t xml:space="preserve">, biti zabranjena zbog straha od  zauzimanja monopolističke tržišne pozicije. </w:t>
      </w:r>
    </w:p>
    <w:p w14:paraId="12F875D0" w14:textId="100FF0A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Spajanjima i preuzimanja s naglaskom na hotelijerstvo dodatno se bavi poglavlje 3.4. </w:t>
      </w:r>
    </w:p>
    <w:p w14:paraId="60CC63A2" w14:textId="53EA0EF9" w:rsidR="006E052A" w:rsidRPr="00BE5472" w:rsidRDefault="006E052A" w:rsidP="003D13C0">
      <w:pPr>
        <w:pStyle w:val="Heading3"/>
        <w:rPr>
          <w:rFonts w:ascii="Times New Roman" w:hAnsi="Times New Roman" w:cs="Times New Roman"/>
        </w:rPr>
      </w:pPr>
      <w:bookmarkStart w:id="103" w:name="_Toc210381422"/>
      <w:bookmarkStart w:id="104" w:name="_Toc241865146"/>
      <w:bookmarkStart w:id="105" w:name="_Hlk161823909"/>
      <w:r w:rsidRPr="00BE5472">
        <w:rPr>
          <w:rFonts w:ascii="Times New Roman" w:hAnsi="Times New Roman" w:cs="Times New Roman"/>
        </w:rPr>
        <w:t>3.3.3. Strateška povezivanja poduzeća</w:t>
      </w:r>
      <w:bookmarkEnd w:id="103"/>
      <w:bookmarkEnd w:id="104"/>
    </w:p>
    <w:p w14:paraId="554D42FE" w14:textId="77777777" w:rsidR="00BC3443" w:rsidRPr="00BE5472" w:rsidRDefault="00BC3443" w:rsidP="00BC3443">
      <w:pPr>
        <w:rPr>
          <w:rFonts w:ascii="Times New Roman" w:hAnsi="Times New Roman" w:cs="Times New Roman"/>
        </w:rPr>
      </w:pPr>
    </w:p>
    <w:bookmarkEnd w:id="105"/>
    <w:p w14:paraId="1C172B19" w14:textId="0FC27AD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Strateški </w:t>
      </w:r>
      <w:r w:rsidR="00033EB5" w:rsidRPr="00BE5472">
        <w:rPr>
          <w:rFonts w:ascii="Times New Roman" w:hAnsi="Times New Roman" w:cs="Times New Roman"/>
          <w:kern w:val="2"/>
          <w:sz w:val="24"/>
          <w:szCs w:val="24"/>
          <w14:ligatures w14:val="standardContextual"/>
        </w:rPr>
        <w:t xml:space="preserve">su </w:t>
      </w:r>
      <w:r w:rsidRPr="00BE5472">
        <w:rPr>
          <w:rFonts w:ascii="Times New Roman" w:hAnsi="Times New Roman" w:cs="Times New Roman"/>
          <w:kern w:val="2"/>
          <w:sz w:val="24"/>
          <w:szCs w:val="24"/>
          <w14:ligatures w14:val="standardContextual"/>
        </w:rPr>
        <w:t>savezi ključni elementi u suvremenom poslovanju, politici i međunarodnim odnosima. Mogu predstavljati formalne i neformalne sporazume između dvije ili više strana koji mogu biti kratkoročni ili dugoročni, ovisno o potrebama i dinamici sudionika.</w:t>
      </w:r>
    </w:p>
    <w:p w14:paraId="3FDD317A" w14:textId="76BD813E"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poslovnom kontekstu, strateški savezi nastaju radi postizanja razvojnih ciljeva kao što su poboljšanje konkurentnosti na tržištu, dijeljenja resursa i znanja, pristupa novim tržištima ili novi</w:t>
      </w:r>
      <w:r w:rsidR="00C84A41" w:rsidRPr="00BE5472">
        <w:rPr>
          <w:rFonts w:ascii="Times New Roman" w:hAnsi="Times New Roman" w:cs="Times New Roman"/>
          <w:kern w:val="2"/>
          <w:sz w:val="24"/>
          <w:szCs w:val="24"/>
          <w14:ligatures w14:val="standardContextual"/>
        </w:rPr>
        <w:t>m</w:t>
      </w:r>
      <w:r w:rsidRPr="00BE5472">
        <w:rPr>
          <w:rFonts w:ascii="Times New Roman" w:hAnsi="Times New Roman" w:cs="Times New Roman"/>
          <w:kern w:val="2"/>
          <w:sz w:val="24"/>
          <w:szCs w:val="24"/>
          <w14:ligatures w14:val="standardContextual"/>
        </w:rPr>
        <w:t xml:space="preserve"> tehnologijama, dijeljenje te smanjenja rizika putem suradnje s drugim poduzećima, istovremeno zadržavajući svoju neovisnost i svoje strategije (Buble et al., 2005).  </w:t>
      </w:r>
    </w:p>
    <w:p w14:paraId="23BFF58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svijetu visoke globalizacije, suradnja je neophodna, jer je jedino kroz sklapanje saveza s drugim dionicima na globalnom tržištu moguće postići konkurentsku prednost (Tipurić i Markulin 2002). U takvim uvjetima, izolacija je gotovo nemoguća opcija, dok je udruživanje snaga s partnerima ključan preduvjet uspjeha.</w:t>
      </w:r>
    </w:p>
    <w:p w14:paraId="163B1E9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Suradnja može biti (Tipurić i Markulin 2002):  </w:t>
      </w:r>
    </w:p>
    <w:p w14:paraId="7510C1C5" w14:textId="77777777" w:rsidR="006E052A" w:rsidRPr="00BE5472" w:rsidRDefault="006E052A" w:rsidP="00120B4F">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Vertikalna suradnja</w:t>
      </w:r>
      <w:r w:rsidRPr="00BE5472">
        <w:rPr>
          <w:rFonts w:ascii="Times New Roman" w:hAnsi="Times New Roman" w:cs="Times New Roman"/>
          <w:kern w:val="2"/>
          <w:sz w:val="24"/>
          <w:szCs w:val="24"/>
          <w14:ligatures w14:val="standardContextual"/>
        </w:rPr>
        <w:t xml:space="preserve"> podrazumijeva sklapanje suradnje u lancu proizvodnje te predstavlja kooperativni odnos između poduzeća i njegovog dobavljača ili kupca.</w:t>
      </w:r>
    </w:p>
    <w:p w14:paraId="1EE690A3" w14:textId="77777777" w:rsidR="006E052A" w:rsidRPr="00BE5472" w:rsidRDefault="006E052A" w:rsidP="00120B4F">
      <w:pPr>
        <w:numPr>
          <w:ilvl w:val="0"/>
          <w:numId w:val="43"/>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Horizontalna suradnja</w:t>
      </w:r>
      <w:r w:rsidRPr="00BE5472">
        <w:rPr>
          <w:rFonts w:ascii="Times New Roman" w:hAnsi="Times New Roman" w:cs="Times New Roman"/>
          <w:kern w:val="2"/>
          <w:sz w:val="24"/>
          <w:szCs w:val="24"/>
          <w14:ligatures w14:val="standardContextual"/>
        </w:rPr>
        <w:t xml:space="preserve"> podrazumijeva sklapanje suradnje s konkurentima odnosno suradnje između poduzeća koja se bave istom djelatnošću ili s onima koji proizvode isti ili sličan proizvod. </w:t>
      </w:r>
    </w:p>
    <w:p w14:paraId="31B3523B"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0E47909D" w14:textId="26309AE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Prema Parkhe (1993), strateški savez je dogovor o suradnji koji povezuje najmanje dva poduzeća koja kombiniraju svoje resurse radi postizanja zajedničkih ciljeva. Uključene strane </w:t>
      </w:r>
      <w:r w:rsidRPr="00BE5472">
        <w:rPr>
          <w:rFonts w:ascii="Times New Roman" w:hAnsi="Times New Roman" w:cs="Times New Roman"/>
          <w:kern w:val="2"/>
          <w:sz w:val="24"/>
          <w:szCs w:val="24"/>
          <w14:ligatures w14:val="standardContextual"/>
        </w:rPr>
        <w:lastRenderedPageBreak/>
        <w:t xml:space="preserve">pretpostavljaju suradnju umjesto konkurencije i sukoba te obuhvaćaju zajedničke napore u kontroli rizika i prijetnji te sudjelovanje u profitu i koristima (Azhar 2018). Ključni  motivi ulaska poduzeća u strateški savez je stvaranje dodatne vrijednosti. Pretpostavka je da savez donosi veću dodatnu vrijednost svim uključenim poduzećima od vrijednosti koju bi poduzeća ostvarila samostalnim poslovanjem (Tipurić i Markulin 2002). </w:t>
      </w:r>
    </w:p>
    <w:p w14:paraId="6A8390E1" w14:textId="7EE15E7B"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današnjem globalnom i konkurentnom okruženju, hotelijerstvo je pod stalnim pritiskom da se prilagodi promjenama i inovira kako bi zadovoljilo potrebe i očekivanja sve zahtjevnijih gostiju. U ovom kontekstu, strateški savezi u hotelijerstvu postaju ključni elementi poslovne strategije za postizanje konkurentske prednosti, poboljšanje usluga i ostvarivanje dugoročnog uspjeha. Strateški savezi u hotelijerstvu predstavljaju suradnju između hotela i različitih partnera, uključujući turističke agencije, zračne prijevoznike, </w:t>
      </w:r>
      <w:r w:rsidRPr="00BE5472">
        <w:rPr>
          <w:rFonts w:ascii="Times New Roman" w:hAnsi="Times New Roman" w:cs="Times New Roman"/>
          <w:i/>
          <w:iCs/>
          <w:kern w:val="2"/>
          <w:sz w:val="24"/>
          <w:szCs w:val="24"/>
          <w14:ligatures w14:val="standardContextual"/>
        </w:rPr>
        <w:t>online</w:t>
      </w:r>
      <w:r w:rsidRPr="00BE5472">
        <w:rPr>
          <w:rFonts w:ascii="Times New Roman" w:hAnsi="Times New Roman" w:cs="Times New Roman"/>
          <w:kern w:val="2"/>
          <w:sz w:val="24"/>
          <w:szCs w:val="24"/>
          <w14:ligatures w14:val="standardContextual"/>
        </w:rPr>
        <w:t xml:space="preserve"> platforme za rezervaciju smještaja, lokalne turističke atrakcije i druge hotelske lance ili </w:t>
      </w:r>
      <w:r w:rsidR="0090298A" w:rsidRPr="00BE5472">
        <w:rPr>
          <w:rFonts w:ascii="Times New Roman" w:hAnsi="Times New Roman" w:cs="Times New Roman"/>
          <w:kern w:val="2"/>
          <w:sz w:val="24"/>
          <w:szCs w:val="24"/>
          <w14:ligatures w14:val="standardContextual"/>
        </w:rPr>
        <w:t>marke</w:t>
      </w:r>
      <w:r w:rsidRPr="00BE5472">
        <w:rPr>
          <w:rFonts w:ascii="Times New Roman" w:hAnsi="Times New Roman" w:cs="Times New Roman"/>
          <w:kern w:val="2"/>
          <w:sz w:val="24"/>
          <w:szCs w:val="24"/>
          <w14:ligatures w14:val="standardContextual"/>
        </w:rPr>
        <w:t>. Ovi savezi, ne samo da pružaju hotelskim operaterima priliku za proširenje njihovog poslovanja, već također omogućuju gostima širi spektar usluga, iskustava i pogodnosti tijekom njihova boravka.</w:t>
      </w:r>
    </w:p>
    <w:p w14:paraId="187D2D70" w14:textId="5248E0E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Može se izdvojiti nekoliko razloga formiranja strateških saveza između hotelskih i drugih poduzeća. Jedan od ključnih razloga za uspostavu strateških saveza je povećanje konkurentske prednosti. Kroz suradnju s drugim poduzećima ili organizacijama, hoteli mogu pružiti dodatne usluge, popuste ili pakete koji ih izdvajaju od konkurencije. Na primjer, suradnja s turističkim agencijama omogućuje hotelima da nude atraktivne pakete putovanja koji uključuju smještaj, prijevoz i razne aktivnosti po povoljnim cijenama. </w:t>
      </w:r>
    </w:p>
    <w:p w14:paraId="1544E966"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Također, strateški savezi omogućuju hotelima poboljšanje usluga za goste. Partnerstva s nositeljima sadržaja i lokalnih atrakcija ili drugim turističkim uslugama ili restoranima pružaju gostima širok izbor aktivnosti i doživljaja tijekom njihovog boravka, čineći njihovo iskustvo bogatijim i nezaboravnijim.</w:t>
      </w:r>
    </w:p>
    <w:p w14:paraId="0FBA9B0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Važno je napomenuti i ulogu strateških saveza u optimizaciji troškova i dijeljenju resursa. Kroz suradnju s partnerima, hoteli mogu smanjiti operativne troškove, poboljšati učinkovitost poslovanja i ostvariti veći povrat ulaganja. Primjerice, hotelski lanci mogu dijeliti marketinške resurse ili informacijsku tehnologiju kako bi smanjili troškove i poboljšali operativnu učinkovitost na različitim lokacijama.</w:t>
      </w:r>
    </w:p>
    <w:p w14:paraId="04D99B5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Uz to, strateški savezi omogućuju hotelima prilagodbu različitim tržištima i ciljnim skupinama gostiju. Kroz partnerstva s lokalnim i međunarodnim partnerima, hoteli mogu bolje razumjeti potrebe, preferencije i trendove gostiju na određenim tržištima te prilagoditi svoju ponudu kako bi ih bolje zadovoljili.</w:t>
      </w:r>
    </w:p>
    <w:p w14:paraId="2B28CC2B" w14:textId="74D21FAA"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Strateški se savezi mogu podijeliti u dvije kategorije: dionički (vlasnički) i nevlasnički savezi. Jedan od primjera vlasničkih saveza je zajedničko ulaganje (eng. </w:t>
      </w:r>
      <w:r w:rsidRPr="00BE5472">
        <w:rPr>
          <w:rFonts w:ascii="Times New Roman" w:hAnsi="Times New Roman" w:cs="Times New Roman"/>
          <w:i/>
          <w:kern w:val="2"/>
          <w:sz w:val="24"/>
          <w:szCs w:val="24"/>
          <w14:ligatures w14:val="standardContextual"/>
        </w:rPr>
        <w:t>joint-venture</w:t>
      </w:r>
      <w:r w:rsidRPr="00BE5472">
        <w:rPr>
          <w:rFonts w:ascii="Times New Roman" w:hAnsi="Times New Roman" w:cs="Times New Roman"/>
          <w:kern w:val="2"/>
          <w:sz w:val="24"/>
          <w:szCs w:val="24"/>
          <w14:ligatures w14:val="standardContextual"/>
        </w:rPr>
        <w:t>) dv</w:t>
      </w:r>
      <w:r w:rsidR="00150C76"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ju ili više nezavisnih poduzeća koja udružuju svoje resurse i ekspertize te oblikuju novo poduzeće (Tipurić i Markulin 2002). U hotelijerstvu se zajednička ulaganja uspostavljaju najčešće za izgradnju novih te rekonstrukciju i adaptaciju postojećih kapaciteta </w:t>
      </w:r>
      <w:bookmarkStart w:id="106" w:name="_Hlk160561066"/>
      <w:r w:rsidRPr="00BE5472">
        <w:rPr>
          <w:rFonts w:ascii="Times New Roman" w:hAnsi="Times New Roman" w:cs="Times New Roman"/>
          <w:kern w:val="2"/>
          <w:sz w:val="24"/>
          <w:szCs w:val="24"/>
          <w14:ligatures w14:val="standardContextual"/>
        </w:rPr>
        <w:t>(Vrtiprah i Pavlić 2005).</w:t>
      </w:r>
      <w:bookmarkEnd w:id="106"/>
    </w:p>
    <w:p w14:paraId="572D619D"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Nevlasnički savezi se u hotelijerstvu najčešće odnose na:</w:t>
      </w:r>
    </w:p>
    <w:p w14:paraId="0306B5A1" w14:textId="77777777" w:rsidR="006E052A" w:rsidRPr="00BE5472" w:rsidRDefault="006E052A" w:rsidP="00120B4F">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ugovor o menadžmentu i</w:t>
      </w:r>
    </w:p>
    <w:p w14:paraId="3372A30D" w14:textId="77777777" w:rsidR="006E052A" w:rsidRPr="00BE5472" w:rsidRDefault="006E052A" w:rsidP="00120B4F">
      <w:pPr>
        <w:numPr>
          <w:ilvl w:val="0"/>
          <w:numId w:val="44"/>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ugovor o franšizi.</w:t>
      </w:r>
    </w:p>
    <w:p w14:paraId="4026EE87" w14:textId="77777777" w:rsidR="00BC3443" w:rsidRPr="00BE5472" w:rsidRDefault="00BC3443" w:rsidP="006E052A">
      <w:pPr>
        <w:spacing w:line="360" w:lineRule="auto"/>
        <w:jc w:val="both"/>
        <w:rPr>
          <w:rFonts w:ascii="Times New Roman" w:hAnsi="Times New Roman" w:cs="Times New Roman"/>
          <w:i/>
          <w:kern w:val="2"/>
          <w:sz w:val="24"/>
          <w:szCs w:val="24"/>
          <w14:ligatures w14:val="standardContextual"/>
        </w:rPr>
      </w:pPr>
    </w:p>
    <w:p w14:paraId="4FE60117" w14:textId="4B971F1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Ugovor o menadžmentu</w:t>
      </w:r>
      <w:r w:rsidRPr="00BE5472">
        <w:rPr>
          <w:rFonts w:ascii="Times New Roman" w:hAnsi="Times New Roman" w:cs="Times New Roman"/>
          <w:kern w:val="2"/>
          <w:sz w:val="24"/>
          <w:szCs w:val="24"/>
          <w14:ligatures w14:val="standardContextual"/>
        </w:rPr>
        <w:t xml:space="preserve"> predstavlja formalizirani dogovor između vlasnika hotela i menadžerske kompanije koje za račun vlasnika upravlja hotelom i hotelskim operacijama. Za upravljanje hotelom vlasnik menadžment kompaniji plaća naknadu za upravljanje u fiksnom iznosu ili postotku od ukupnog prometa (Vrtiprah i Pavlić 2005),  obično 3-5</w:t>
      </w:r>
      <w:r w:rsidR="00FE53E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Menadž</w:t>
      </w:r>
      <w:r w:rsidR="00150C76" w:rsidRPr="00BE5472">
        <w:rPr>
          <w:rFonts w:ascii="Times New Roman" w:hAnsi="Times New Roman" w:cs="Times New Roman"/>
          <w:kern w:val="2"/>
          <w:sz w:val="24"/>
          <w:szCs w:val="24"/>
          <w14:ligatures w14:val="standardContextual"/>
        </w:rPr>
        <w:t>ment</w:t>
      </w:r>
      <w:r w:rsidRPr="00BE5472">
        <w:rPr>
          <w:rFonts w:ascii="Times New Roman" w:hAnsi="Times New Roman" w:cs="Times New Roman"/>
          <w:kern w:val="2"/>
          <w:sz w:val="24"/>
          <w:szCs w:val="24"/>
          <w14:ligatures w14:val="standardContextual"/>
        </w:rPr>
        <w:t xml:space="preserve"> kompanija, iako upravlja hotelom i jamči zaštitu kvalitete, ne preuzima poslovni rizik, već cjelokupni rizik i odgovornost za financijski rezultat preuzima vlasnik hotela.</w:t>
      </w:r>
    </w:p>
    <w:p w14:paraId="45C4B841"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Ugovorom o menadžmentu utvrđuju se i preciziraju:</w:t>
      </w:r>
    </w:p>
    <w:p w14:paraId="26DD7AD8" w14:textId="5D0F58CE" w:rsidR="006E052A" w:rsidRPr="00BE5472" w:rsidRDefault="006E052A" w:rsidP="00120B4F">
      <w:pPr>
        <w:numPr>
          <w:ilvl w:val="0"/>
          <w:numId w:val="4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usluge i funkcije koje će menadž</w:t>
      </w:r>
      <w:r w:rsidR="00150C76" w:rsidRPr="00BE5472">
        <w:rPr>
          <w:rFonts w:ascii="Times New Roman" w:hAnsi="Times New Roman" w:cs="Times New Roman"/>
          <w:kern w:val="2"/>
          <w:sz w:val="24"/>
          <w:szCs w:val="24"/>
          <w14:ligatures w14:val="standardContextual"/>
        </w:rPr>
        <w:t>ment</w:t>
      </w:r>
      <w:r w:rsidRPr="00BE5472">
        <w:rPr>
          <w:rFonts w:ascii="Times New Roman" w:hAnsi="Times New Roman" w:cs="Times New Roman"/>
          <w:kern w:val="2"/>
          <w:sz w:val="24"/>
          <w:szCs w:val="24"/>
          <w14:ligatures w14:val="standardContextual"/>
        </w:rPr>
        <w:t xml:space="preserve"> kompanija preuzeti,</w:t>
      </w:r>
    </w:p>
    <w:p w14:paraId="19BE7328" w14:textId="77777777" w:rsidR="006E052A" w:rsidRPr="00BE5472" w:rsidRDefault="006E052A" w:rsidP="00120B4F">
      <w:pPr>
        <w:numPr>
          <w:ilvl w:val="0"/>
          <w:numId w:val="4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financijski aranžmani odnosno naknade koje vlasnik hotela plaća kompaniji,</w:t>
      </w:r>
    </w:p>
    <w:p w14:paraId="3A549255" w14:textId="77777777" w:rsidR="006E052A" w:rsidRPr="00BE5472" w:rsidRDefault="006E052A" w:rsidP="00120B4F">
      <w:pPr>
        <w:numPr>
          <w:ilvl w:val="0"/>
          <w:numId w:val="4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standardi marke te detalji standarda koje hotel mora zadovoljiti kako bi odražavao identitet marke,</w:t>
      </w:r>
    </w:p>
    <w:p w14:paraId="597EA7AF" w14:textId="7F91C94A" w:rsidR="006E052A" w:rsidRPr="00BE5472" w:rsidRDefault="006E052A" w:rsidP="00120B4F">
      <w:pPr>
        <w:numPr>
          <w:ilvl w:val="0"/>
          <w:numId w:val="4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trajanje ugovora (najčešće 3-5 godina) i odredbe koje uključuju obnovu i uvjete raskida ugovora i </w:t>
      </w:r>
    </w:p>
    <w:p w14:paraId="6AF3D87C" w14:textId="77777777" w:rsidR="006E052A" w:rsidRPr="00BE5472" w:rsidRDefault="006E052A" w:rsidP="00120B4F">
      <w:pPr>
        <w:numPr>
          <w:ilvl w:val="0"/>
          <w:numId w:val="45"/>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odredbe o redovitoj reviziji i izvještavanju kako bi se osiguralo transparentno upravljanje i praćenje performansi hotela.</w:t>
      </w:r>
    </w:p>
    <w:p w14:paraId="0B528A38"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27C50D2D" w14:textId="2EAB5D0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S druge stran</w:t>
      </w:r>
      <w:r w:rsidR="00C23CE8" w:rsidRPr="00BE5472">
        <w:rPr>
          <w:rFonts w:ascii="Times New Roman" w:hAnsi="Times New Roman" w:cs="Times New Roman"/>
          <w:kern w:val="2"/>
          <w:sz w:val="24"/>
          <w:szCs w:val="24"/>
          <w14:ligatures w14:val="standardContextual"/>
        </w:rPr>
        <w:t>e</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 xml:space="preserve">ugovor o franšizi </w:t>
      </w:r>
      <w:r w:rsidRPr="00BE5472">
        <w:rPr>
          <w:rFonts w:ascii="Times New Roman" w:hAnsi="Times New Roman" w:cs="Times New Roman"/>
          <w:kern w:val="2"/>
          <w:sz w:val="24"/>
          <w:szCs w:val="24"/>
          <w14:ligatures w14:val="standardContextual"/>
        </w:rPr>
        <w:t xml:space="preserve">poslovni </w:t>
      </w:r>
      <w:r w:rsidR="00FE53ED" w:rsidRPr="00BE5472">
        <w:rPr>
          <w:rFonts w:ascii="Times New Roman" w:hAnsi="Times New Roman" w:cs="Times New Roman"/>
          <w:kern w:val="2"/>
          <w:sz w:val="24"/>
          <w:szCs w:val="24"/>
          <w14:ligatures w14:val="standardContextual"/>
        </w:rPr>
        <w:t xml:space="preserve">je </w:t>
      </w:r>
      <w:r w:rsidRPr="00BE5472">
        <w:rPr>
          <w:rFonts w:ascii="Times New Roman" w:hAnsi="Times New Roman" w:cs="Times New Roman"/>
          <w:kern w:val="2"/>
          <w:sz w:val="24"/>
          <w:szCs w:val="24"/>
          <w14:ligatures w14:val="standardContextual"/>
        </w:rPr>
        <w:t>model koji omogućuje vlasnicima poslovanja da prodaju prava na korištenje svoje marke, poslovnog modela, sustava upravljanja i podrške drugim neovisnim poduzećima u zamjenu za određene naknade. Ovaj model omogućuje brzu ekspanziju i distribuciju poslovanja bez potrebe za velikim početnim ulaganjima</w:t>
      </w:r>
    </w:p>
    <w:p w14:paraId="4D974233" w14:textId="4E90159D" w:rsidR="006E052A" w:rsidRPr="00BE5472" w:rsidRDefault="006E052A" w:rsidP="006E052A">
      <w:pPr>
        <w:spacing w:line="360" w:lineRule="auto"/>
        <w:jc w:val="both"/>
        <w:rPr>
          <w:rFonts w:ascii="Times New Roman" w:hAnsi="Times New Roman" w:cs="Times New Roman"/>
          <w:color w:val="0D0D0D"/>
          <w:kern w:val="2"/>
          <w:sz w:val="24"/>
          <w:szCs w:val="24"/>
          <w:shd w:val="clear" w:color="auto" w:fill="FFFFFF"/>
          <w14:ligatures w14:val="standardContextual"/>
        </w:rPr>
      </w:pPr>
      <w:r w:rsidRPr="00BE5472">
        <w:rPr>
          <w:rFonts w:ascii="Times New Roman" w:hAnsi="Times New Roman" w:cs="Times New Roman"/>
          <w:i/>
          <w:kern w:val="2"/>
          <w:sz w:val="24"/>
          <w:szCs w:val="24"/>
          <w14:ligatures w14:val="standardContextual"/>
        </w:rPr>
        <w:t>Hotelska franšiza</w:t>
      </w:r>
      <w:r w:rsidRPr="00BE5472">
        <w:rPr>
          <w:rFonts w:ascii="Times New Roman" w:hAnsi="Times New Roman" w:cs="Times New Roman"/>
          <w:kern w:val="2"/>
          <w:sz w:val="24"/>
          <w:szCs w:val="24"/>
          <w14:ligatures w14:val="standardContextual"/>
        </w:rPr>
        <w:t xml:space="preserve"> predstavlja ugovor između hotelskog lanca i vlasnika hotela. Ovim ugovorom vlasnik hotela (primatelje franšize) može</w:t>
      </w:r>
      <w:r w:rsidR="00FE53ED" w:rsidRPr="00BE5472">
        <w:rPr>
          <w:rFonts w:ascii="Times New Roman" w:hAnsi="Times New Roman" w:cs="Times New Roman"/>
          <w:kern w:val="2"/>
          <w:sz w:val="24"/>
          <w:szCs w:val="24"/>
          <w14:ligatures w14:val="standardContextual"/>
        </w:rPr>
        <w:t xml:space="preserve"> se</w:t>
      </w:r>
      <w:r w:rsidRPr="00BE5472">
        <w:rPr>
          <w:rFonts w:ascii="Times New Roman" w:hAnsi="Times New Roman" w:cs="Times New Roman"/>
          <w:kern w:val="2"/>
          <w:sz w:val="24"/>
          <w:szCs w:val="24"/>
          <w14:ligatures w14:val="standardContextual"/>
        </w:rPr>
        <w:t xml:space="preserve"> koristiti naziv</w:t>
      </w:r>
      <w:r w:rsidR="00FE53ED"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lanca i nuditi određene usluge definirane poslovanjem poduzeća, tehničkim standardima i centralnim rezervacijskim sustavom. Prema ovom ugovoru, davatelj franšize nema vlasništvo ni financijski interes u hotelu, već svoje prihode ostvaruje naknadom od prodaje franšize te nije izravno odgovoran za financijski uspjeh hotela (Kandžija i Ivandić 1996.). Naknada od prodaje franšize uključuje </w:t>
      </w:r>
      <w:r w:rsidRPr="00BE5472">
        <w:rPr>
          <w:rFonts w:ascii="Times New Roman" w:hAnsi="Times New Roman" w:cs="Times New Roman"/>
          <w:color w:val="0D0D0D"/>
          <w:kern w:val="2"/>
          <w:sz w:val="24"/>
          <w:szCs w:val="24"/>
          <w:shd w:val="clear" w:color="auto" w:fill="FFFFFF"/>
          <w14:ligatures w14:val="standardContextual"/>
        </w:rPr>
        <w:t>početnu jednokratnu naknadu i kontinuiranu naknadu koje predstavljaju ključni element franšiznog modela poslovanja. Početna naknada plaća se prilikom pokretanja procesa ugovaranja franšize</w:t>
      </w:r>
      <w:r w:rsidR="00FE53ED" w:rsidRPr="00BE5472">
        <w:rPr>
          <w:rFonts w:ascii="Times New Roman" w:hAnsi="Times New Roman" w:cs="Times New Roman"/>
          <w:color w:val="0D0D0D"/>
          <w:kern w:val="2"/>
          <w:sz w:val="24"/>
          <w:szCs w:val="24"/>
          <w:shd w:val="clear" w:color="auto" w:fill="FFFFFF"/>
          <w14:ligatures w14:val="standardContextual"/>
        </w:rPr>
        <w:t>,</w:t>
      </w:r>
      <w:r w:rsidRPr="00BE5472">
        <w:rPr>
          <w:rFonts w:ascii="Times New Roman" w:hAnsi="Times New Roman" w:cs="Times New Roman"/>
          <w:color w:val="0D0D0D"/>
          <w:kern w:val="2"/>
          <w:sz w:val="24"/>
          <w:szCs w:val="24"/>
          <w:shd w:val="clear" w:color="auto" w:fill="FFFFFF"/>
          <w14:ligatures w14:val="standardContextual"/>
        </w:rPr>
        <w:t xml:space="preserve"> odnosno prilikom prijave te uključuje sve troškove prije sklapanja ugovora</w:t>
      </w:r>
      <w:r w:rsidR="00FE53ED" w:rsidRPr="00BE5472">
        <w:rPr>
          <w:rFonts w:ascii="Times New Roman" w:hAnsi="Times New Roman" w:cs="Times New Roman"/>
          <w:color w:val="0D0D0D"/>
          <w:kern w:val="2"/>
          <w:sz w:val="24"/>
          <w:szCs w:val="24"/>
          <w:shd w:val="clear" w:color="auto" w:fill="FFFFFF"/>
          <w14:ligatures w14:val="standardContextual"/>
        </w:rPr>
        <w:t>,</w:t>
      </w:r>
      <w:r w:rsidRPr="00BE5472">
        <w:rPr>
          <w:rFonts w:ascii="Times New Roman" w:hAnsi="Times New Roman" w:cs="Times New Roman"/>
          <w:color w:val="0D0D0D"/>
          <w:kern w:val="2"/>
          <w:sz w:val="24"/>
          <w:szCs w:val="24"/>
          <w:shd w:val="clear" w:color="auto" w:fill="FFFFFF"/>
          <w14:ligatures w14:val="standardContextual"/>
        </w:rPr>
        <w:t xml:space="preserve"> kao što su procjena tržišta i imovine (Golja 2024). </w:t>
      </w:r>
      <w:r w:rsidR="00F87611" w:rsidRPr="00BE5472">
        <w:rPr>
          <w:rFonts w:ascii="Times New Roman" w:hAnsi="Times New Roman" w:cs="Times New Roman"/>
          <w:color w:val="0D0D0D"/>
          <w:kern w:val="2"/>
          <w:sz w:val="24"/>
          <w:szCs w:val="24"/>
          <w:shd w:val="clear" w:color="auto" w:fill="FFFFFF"/>
          <w14:ligatures w14:val="standardContextual"/>
        </w:rPr>
        <w:t>A</w:t>
      </w:r>
      <w:r w:rsidRPr="00BE5472">
        <w:rPr>
          <w:rFonts w:ascii="Times New Roman" w:hAnsi="Times New Roman" w:cs="Times New Roman"/>
          <w:color w:val="0D0D0D"/>
          <w:kern w:val="2"/>
          <w:sz w:val="24"/>
          <w:szCs w:val="24"/>
          <w:shd w:val="clear" w:color="auto" w:fill="FFFFFF"/>
          <w14:ligatures w14:val="standardContextual"/>
        </w:rPr>
        <w:t>ko se ugovor o franšizi ne sklopi davatelj franšize može vratiti cijeli ili samo djelomični dio naknade</w:t>
      </w:r>
      <w:r w:rsidR="00FE53ED" w:rsidRPr="00BE5472">
        <w:rPr>
          <w:rFonts w:ascii="Times New Roman" w:hAnsi="Times New Roman" w:cs="Times New Roman"/>
          <w:color w:val="0D0D0D"/>
          <w:kern w:val="2"/>
          <w:sz w:val="24"/>
          <w:szCs w:val="24"/>
          <w:shd w:val="clear" w:color="auto" w:fill="FFFFFF"/>
          <w14:ligatures w14:val="standardContextual"/>
        </w:rPr>
        <w:t>,</w:t>
      </w:r>
      <w:r w:rsidRPr="00BE5472">
        <w:rPr>
          <w:rFonts w:ascii="Times New Roman" w:hAnsi="Times New Roman" w:cs="Times New Roman"/>
          <w:color w:val="0D0D0D"/>
          <w:kern w:val="2"/>
          <w:sz w:val="24"/>
          <w:szCs w:val="24"/>
          <w:shd w:val="clear" w:color="auto" w:fill="FFFFFF"/>
          <w14:ligatures w14:val="standardContextual"/>
        </w:rPr>
        <w:t xml:space="preserve"> s obzirom</w:t>
      </w:r>
      <w:r w:rsidR="00FE53ED" w:rsidRPr="00BE5472">
        <w:rPr>
          <w:rFonts w:ascii="Times New Roman" w:hAnsi="Times New Roman" w:cs="Times New Roman"/>
          <w:color w:val="0D0D0D"/>
          <w:kern w:val="2"/>
          <w:sz w:val="24"/>
          <w:szCs w:val="24"/>
          <w:shd w:val="clear" w:color="auto" w:fill="FFFFFF"/>
          <w14:ligatures w14:val="standardContextual"/>
        </w:rPr>
        <w:t xml:space="preserve"> na to</w:t>
      </w:r>
      <w:r w:rsidRPr="00BE5472">
        <w:rPr>
          <w:rFonts w:ascii="Times New Roman" w:hAnsi="Times New Roman" w:cs="Times New Roman"/>
          <w:color w:val="0D0D0D"/>
          <w:kern w:val="2"/>
          <w:sz w:val="24"/>
          <w:szCs w:val="24"/>
          <w:shd w:val="clear" w:color="auto" w:fill="FFFFFF"/>
          <w14:ligatures w14:val="standardContextual"/>
        </w:rPr>
        <w:t xml:space="preserve"> da je imao troškove za utvrđivanje i procjenu imovine te druge troškove. Kontinuirana (redovita) naknada sadrži naknadu za marketing, naknadu za korištenje rezervacijskog sustava te tantijeme koji predstavljaju glavni prihod davatelja franšize izražen u dogovorenom postotku od prihoda od prodaje soba (Golja 2024). Primatelji franšize često nude poticajne programe koji nagrađuju goste za česte boravke i ti programi su osmišljeni kako bi potaknuli lojalnost prema marki. Mnogi davatelji franšize sada zahtijevaju od franšiznih partnera da podijele svoj udio troškova povezanih s vođenjem programa za lojalne goste. Troškovi upravljanja takvim programima financiraju se putem procjena programa za lojalne goste. Procjene programa za lojalne goste obično se temelje na postotku (između 1,0</w:t>
      </w:r>
      <w:r w:rsidR="00FE53ED" w:rsidRPr="00BE5472">
        <w:rPr>
          <w:rFonts w:ascii="Times New Roman" w:hAnsi="Times New Roman" w:cs="Times New Roman"/>
          <w:color w:val="0D0D0D"/>
          <w:kern w:val="2"/>
          <w:sz w:val="24"/>
          <w:szCs w:val="24"/>
          <w:shd w:val="clear" w:color="auto" w:fill="FFFFFF"/>
          <w14:ligatures w14:val="standardContextual"/>
        </w:rPr>
        <w:t xml:space="preserve"> </w:t>
      </w:r>
      <w:r w:rsidRPr="00BE5472">
        <w:rPr>
          <w:rFonts w:ascii="Times New Roman" w:hAnsi="Times New Roman" w:cs="Times New Roman"/>
          <w:color w:val="0D0D0D"/>
          <w:kern w:val="2"/>
          <w:sz w:val="24"/>
          <w:szCs w:val="24"/>
          <w:shd w:val="clear" w:color="auto" w:fill="FFFFFF"/>
          <w14:ligatures w14:val="standardContextual"/>
        </w:rPr>
        <w:t>% i 5,0</w:t>
      </w:r>
      <w:r w:rsidR="00FE53ED" w:rsidRPr="00BE5472">
        <w:rPr>
          <w:rFonts w:ascii="Times New Roman" w:hAnsi="Times New Roman" w:cs="Times New Roman"/>
          <w:color w:val="0D0D0D"/>
          <w:kern w:val="2"/>
          <w:sz w:val="24"/>
          <w:szCs w:val="24"/>
          <w:shd w:val="clear" w:color="auto" w:fill="FFFFFF"/>
          <w14:ligatures w14:val="standardContextual"/>
        </w:rPr>
        <w:t xml:space="preserve"> </w:t>
      </w:r>
      <w:r w:rsidRPr="00BE5472">
        <w:rPr>
          <w:rFonts w:ascii="Times New Roman" w:hAnsi="Times New Roman" w:cs="Times New Roman"/>
          <w:color w:val="0D0D0D"/>
          <w:kern w:val="2"/>
          <w:sz w:val="24"/>
          <w:szCs w:val="24"/>
          <w:shd w:val="clear" w:color="auto" w:fill="FFFFFF"/>
          <w14:ligatures w14:val="standardContextual"/>
        </w:rPr>
        <w:t>%) ili soba ili ukupnih prihoda generiranih od strane člana programa koji boravi u hotelu (HVS 2022). Uglavnom se ugovor o franšizi  sklapa na dugi rok</w:t>
      </w:r>
      <w:r w:rsidR="00C23CE8" w:rsidRPr="00BE5472">
        <w:rPr>
          <w:rFonts w:ascii="Times New Roman" w:hAnsi="Times New Roman" w:cs="Times New Roman"/>
          <w:color w:val="0D0D0D"/>
          <w:kern w:val="2"/>
          <w:sz w:val="24"/>
          <w:szCs w:val="24"/>
          <w:shd w:val="clear" w:color="auto" w:fill="FFFFFF"/>
          <w14:ligatures w14:val="standardContextual"/>
        </w:rPr>
        <w:t>,</w:t>
      </w:r>
      <w:r w:rsidRPr="00BE5472">
        <w:rPr>
          <w:rFonts w:ascii="Times New Roman" w:hAnsi="Times New Roman" w:cs="Times New Roman"/>
          <w:color w:val="0D0D0D"/>
          <w:kern w:val="2"/>
          <w:sz w:val="24"/>
          <w:szCs w:val="24"/>
          <w:shd w:val="clear" w:color="auto" w:fill="FFFFFF"/>
          <w14:ligatures w14:val="standardContextual"/>
        </w:rPr>
        <w:t xml:space="preserve"> odnosno 10-22 godine (Diaz-Bernardo 2011).</w:t>
      </w:r>
    </w:p>
    <w:p w14:paraId="3ED389FA" w14:textId="38C6E443"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Troškovi franšize pojašnjeni su na Prikazu </w:t>
      </w:r>
      <w:r w:rsidR="00681892" w:rsidRPr="00BE5472">
        <w:rPr>
          <w:rFonts w:ascii="Times New Roman" w:hAnsi="Times New Roman" w:cs="Times New Roman"/>
          <w:kern w:val="2"/>
          <w:sz w:val="24"/>
          <w:szCs w:val="24"/>
          <w14:ligatures w14:val="standardContextual"/>
        </w:rPr>
        <w:t>1</w:t>
      </w:r>
      <w:r w:rsidR="00B11EB4">
        <w:rPr>
          <w:rFonts w:ascii="Times New Roman" w:hAnsi="Times New Roman" w:cs="Times New Roman"/>
          <w:kern w:val="2"/>
          <w:sz w:val="24"/>
          <w:szCs w:val="24"/>
          <w14:ligatures w14:val="standardContextual"/>
        </w:rPr>
        <w:t>7</w:t>
      </w:r>
      <w:r w:rsidRPr="00BE5472">
        <w:rPr>
          <w:rFonts w:ascii="Times New Roman" w:hAnsi="Times New Roman" w:cs="Times New Roman"/>
          <w:kern w:val="2"/>
          <w:sz w:val="24"/>
          <w:szCs w:val="24"/>
          <w14:ligatures w14:val="standardContextual"/>
        </w:rPr>
        <w:t xml:space="preserve">. </w:t>
      </w:r>
    </w:p>
    <w:p w14:paraId="5E9C4BB1" w14:textId="7B07C503"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741DF5C1" w14:textId="3C69DC15"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2B5C07E5" w14:textId="0F853467" w:rsidR="00BC3443" w:rsidRPr="00BE5472" w:rsidRDefault="00BC3443" w:rsidP="3CEEF855">
      <w:pPr>
        <w:spacing w:line="360" w:lineRule="auto"/>
        <w:jc w:val="both"/>
        <w:rPr>
          <w:rFonts w:ascii="Times New Roman" w:hAnsi="Times New Roman" w:cs="Times New Roman"/>
          <w:kern w:val="2"/>
          <w:sz w:val="24"/>
          <w:szCs w:val="24"/>
          <w14:ligatures w14:val="standardContextual"/>
        </w:rPr>
      </w:pPr>
    </w:p>
    <w:p w14:paraId="5461016E" w14:textId="637BB123" w:rsidR="006E052A" w:rsidRPr="004756DA" w:rsidRDefault="004756DA" w:rsidP="004756DA">
      <w:pPr>
        <w:pStyle w:val="Caption"/>
        <w:rPr>
          <w:rFonts w:ascii="Times New Roman" w:hAnsi="Times New Roman" w:cs="Times New Roman"/>
          <w:kern w:val="2"/>
          <w:sz w:val="24"/>
          <w:szCs w:val="24"/>
          <w14:ligatures w14:val="standardContextual"/>
        </w:rPr>
      </w:pPr>
      <w:bookmarkStart w:id="107" w:name="_Toc241865285"/>
      <w:r w:rsidRPr="004756DA">
        <w:rPr>
          <w:rFonts w:ascii="Times New Roman" w:hAnsi="Times New Roman" w:cs="Times New Roman"/>
          <w:sz w:val="24"/>
          <w:szCs w:val="24"/>
        </w:rPr>
        <w:lastRenderedPageBreak/>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17</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Troškovi franšize</w:t>
      </w:r>
      <w:bookmarkEnd w:id="107"/>
    </w:p>
    <w:p w14:paraId="2880A8FC" w14:textId="77777777" w:rsidR="006E052A" w:rsidRPr="00BE5472" w:rsidRDefault="006E052A" w:rsidP="006E052A">
      <w:pPr>
        <w:spacing w:before="100" w:beforeAutospacing="1" w:after="100" w:afterAutospacing="1" w:line="240" w:lineRule="auto"/>
        <w:rPr>
          <w:rFonts w:ascii="Times New Roman" w:eastAsia="Times New Roman" w:hAnsi="Times New Roman" w:cs="Times New Roman"/>
          <w:sz w:val="24"/>
          <w:szCs w:val="24"/>
          <w:lang w:val="en-US"/>
        </w:rPr>
      </w:pPr>
      <w:r w:rsidRPr="00BE5472">
        <w:rPr>
          <w:rFonts w:ascii="Times New Roman" w:eastAsia="Times New Roman" w:hAnsi="Times New Roman" w:cs="Times New Roman"/>
          <w:noProof/>
          <w:sz w:val="24"/>
          <w:szCs w:val="24"/>
          <w:lang w:eastAsia="hr-HR"/>
        </w:rPr>
        <w:drawing>
          <wp:inline distT="0" distB="0" distL="0" distR="0" wp14:anchorId="608A8924" wp14:editId="3DBC0B1C">
            <wp:extent cx="4240888" cy="2219325"/>
            <wp:effectExtent l="0" t="0" r="7620" b="0"/>
            <wp:docPr id="16" name="Slika 16" descr="C:\Users\Korisnik\AppData\Local\Packages\Microsoft.Windows.Photos_8wekyb3d8bbwe\TempState\ShareServiceTempFolder\TANTIJEMI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risnik\AppData\Local\Packages\Microsoft.Windows.Photos_8wekyb3d8bbwe\TempState\ShareServiceTempFolder\TANTIJEMI .jpe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63403" cy="2231107"/>
                    </a:xfrm>
                    <a:prstGeom prst="rect">
                      <a:avLst/>
                    </a:prstGeom>
                    <a:noFill/>
                    <a:ln>
                      <a:noFill/>
                    </a:ln>
                  </pic:spPr>
                </pic:pic>
              </a:graphicData>
            </a:graphic>
          </wp:inline>
        </w:drawing>
      </w:r>
    </w:p>
    <w:p w14:paraId="6ADFA51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20CD1928"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Izvor: izrada autora </w:t>
      </w:r>
    </w:p>
    <w:p w14:paraId="774AD730"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Koristi za primatelje franšize su brendiranje vlastitog hotela s grupom poznatih hotela uz  skupinu alata koji im pruža ugovor o franšizi za pokretanje novog poslovanja </w:t>
      </w:r>
      <w:bookmarkStart w:id="108" w:name="_Hlk160562748"/>
      <w:r w:rsidRPr="00BE5472">
        <w:rPr>
          <w:rFonts w:ascii="Times New Roman" w:hAnsi="Times New Roman" w:cs="Times New Roman"/>
          <w:kern w:val="2"/>
          <w:sz w:val="24"/>
          <w:szCs w:val="24"/>
          <w14:ligatures w14:val="standardContextual"/>
        </w:rPr>
        <w:t>(</w:t>
      </w:r>
      <w:bookmarkStart w:id="109" w:name="_Hlk160538050"/>
      <w:r w:rsidRPr="00BE5472">
        <w:rPr>
          <w:rFonts w:ascii="Times New Roman" w:hAnsi="Times New Roman" w:cs="Times New Roman"/>
          <w:kern w:val="2"/>
          <w:sz w:val="24"/>
          <w:szCs w:val="24"/>
          <w14:ligatures w14:val="standardContextual"/>
        </w:rPr>
        <w:t>Rakušić Cvrtak, Borovac Zekan i Pivčević Vranješ 2022)</w:t>
      </w:r>
      <w:bookmarkEnd w:id="109"/>
      <w:r w:rsidRPr="00BE5472">
        <w:rPr>
          <w:rFonts w:ascii="Times New Roman" w:hAnsi="Times New Roman" w:cs="Times New Roman"/>
          <w:kern w:val="2"/>
          <w:sz w:val="24"/>
          <w:szCs w:val="24"/>
          <w14:ligatures w14:val="standardContextual"/>
        </w:rPr>
        <w:t>.</w:t>
      </w:r>
      <w:bookmarkEnd w:id="108"/>
      <w:r w:rsidRPr="00BE5472">
        <w:rPr>
          <w:rFonts w:ascii="Times New Roman" w:hAnsi="Times New Roman" w:cs="Times New Roman"/>
          <w:kern w:val="2"/>
          <w:sz w:val="24"/>
          <w:szCs w:val="24"/>
          <w14:ligatures w14:val="standardContextual"/>
        </w:rPr>
        <w:t xml:space="preserve"> Primatelj franšize ima višestruke koristi (Vrtiprah i Pavlić 2005):</w:t>
      </w:r>
    </w:p>
    <w:p w14:paraId="0D2E4D78" w14:textId="77777777" w:rsidR="006E052A" w:rsidRPr="00BE5472" w:rsidRDefault="006E052A" w:rsidP="00120B4F">
      <w:pPr>
        <w:numPr>
          <w:ilvl w:val="0"/>
          <w:numId w:val="4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na tržištu koristi prepoznatljivost marke davatelja franšize, </w:t>
      </w:r>
    </w:p>
    <w:p w14:paraId="445E9FFA" w14:textId="77777777" w:rsidR="006E052A" w:rsidRPr="00BE5472" w:rsidRDefault="006E052A" w:rsidP="00120B4F">
      <w:pPr>
        <w:numPr>
          <w:ilvl w:val="0"/>
          <w:numId w:val="4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brže uvođenje na (novo) tržište,</w:t>
      </w:r>
    </w:p>
    <w:p w14:paraId="7D2C1A2D" w14:textId="77777777" w:rsidR="006E052A" w:rsidRPr="00BE5472" w:rsidRDefault="006E052A" w:rsidP="00120B4F">
      <w:pPr>
        <w:numPr>
          <w:ilvl w:val="0"/>
          <w:numId w:val="4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poboljšanje prodora u određene tržišne segmente, </w:t>
      </w:r>
    </w:p>
    <w:p w14:paraId="1FF520D1" w14:textId="62E0C6B8" w:rsidR="006E052A" w:rsidRPr="00BE5472" w:rsidRDefault="006E052A" w:rsidP="00120B4F">
      <w:pPr>
        <w:numPr>
          <w:ilvl w:val="0"/>
          <w:numId w:val="4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uporaba pouzdanih metoda poslovanja i</w:t>
      </w:r>
    </w:p>
    <w:p w14:paraId="19F8BE21" w14:textId="77777777" w:rsidR="006E052A" w:rsidRPr="00BE5472" w:rsidRDefault="006E052A" w:rsidP="00120B4F">
      <w:pPr>
        <w:numPr>
          <w:ilvl w:val="0"/>
          <w:numId w:val="46"/>
        </w:numPr>
        <w:spacing w:line="360" w:lineRule="auto"/>
        <w:contextualSpacing/>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pristup rezervacijskim sustavima.</w:t>
      </w:r>
    </w:p>
    <w:p w14:paraId="2BDD7DAE"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5DC8F5AA" w14:textId="220280C2"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Primatelj franšize snosi sve poslovne rizike, ali kontrolira imovinu hotela (Rakušić Cvrtak, Borovac Zekan i Pivčević Vranješ 2022). S druge strane, koristi za davatelja franšize su širenje marke na nova tržišta bez većih ulaganja u imovinu, uz niske troškove te nisku izloženost ekonomskim ciklusima.</w:t>
      </w:r>
    </w:p>
    <w:p w14:paraId="0185519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Kontraktor i Kundu (1998) ističu da je glavna razlika između ta dva tipa ugovora u stupnju kontrole koja se zadržava nad strateškom poslovnom imovinom (npr. marka, globalni rezervacijski sustav i poslovno znanje uklopljeno u dnevne operacije). U ugovoru o menadžmentu, hotelsko poduzeće zadržava odgovornost za vođenje i upravljanje operacijama objekta. Poduzeće imenuje glavnog </w:t>
      </w:r>
      <w:r w:rsidRPr="00BE5472">
        <w:rPr>
          <w:rFonts w:ascii="Times New Roman" w:hAnsi="Times New Roman" w:cs="Times New Roman"/>
          <w:kern w:val="2"/>
          <w:sz w:val="24"/>
          <w:szCs w:val="24"/>
          <w14:ligatures w14:val="standardContextual"/>
        </w:rPr>
        <w:lastRenderedPageBreak/>
        <w:t>direktora koji izravno vodi lokalni hotel, obično u suradnji s drugim lokalnim menadžerima koji su zaposleni od strane lokalnog hotela (Kruesi, Hemmington i Kim 2018). Kao rezultat toga, vlasnik poslovnog koncepta (hotelska grupa) ima značajnu (administrativnu) kontrolu i utjecaj na većinu dnevnih odluka lokalnog hotela koje utječu na njegovu vrijednost. S druge strane, u ugovoru o franšizi, hotelska grupa (franšizor) ima manje kontrole nad nematerijalnim sredstvima jer je delegirala upravljanje takvim sredstvima svakodnevnom upravljaču (franšizoru), a nijedan predstavnik franšizora nije svakodnevno prisutan na lokalnoj razini. Jasno je da franšizni partneri moraju poštovati ugovor i operativni priručnik, ali neovisno interpretiraju kako voditi hotelski objekt (Fernández-Barcala, González-Díaz i López-Bayón 2022).</w:t>
      </w:r>
    </w:p>
    <w:p w14:paraId="7298486D" w14:textId="3D3F53C5" w:rsidR="006E052A" w:rsidRPr="004756DA" w:rsidRDefault="004756DA" w:rsidP="004756DA">
      <w:pPr>
        <w:pStyle w:val="Caption"/>
        <w:rPr>
          <w:rFonts w:ascii="Times New Roman" w:hAnsi="Times New Roman" w:cs="Times New Roman"/>
          <w:kern w:val="2"/>
          <w:sz w:val="24"/>
          <w:szCs w:val="24"/>
          <w14:ligatures w14:val="standardContextual"/>
        </w:rPr>
      </w:pPr>
      <w:bookmarkStart w:id="110" w:name="_Toc241865201"/>
      <w:r w:rsidRPr="004756DA">
        <w:rPr>
          <w:rFonts w:ascii="Times New Roman" w:hAnsi="Times New Roman" w:cs="Times New Roman"/>
          <w:sz w:val="24"/>
          <w:szCs w:val="24"/>
        </w:rPr>
        <w:t xml:space="preserve">Tablica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Tablica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7</w:t>
      </w:r>
      <w:r w:rsidRPr="004756DA">
        <w:rPr>
          <w:rFonts w:ascii="Times New Roman" w:hAnsi="Times New Roman" w:cs="Times New Roman"/>
          <w:sz w:val="24"/>
          <w:szCs w:val="24"/>
        </w:rPr>
        <w:fldChar w:fldCharType="end"/>
      </w:r>
      <w:r w:rsidR="00844E98" w:rsidRPr="004756DA">
        <w:rPr>
          <w:rFonts w:ascii="Times New Roman" w:hAnsi="Times New Roman" w:cs="Times New Roman"/>
          <w:kern w:val="2"/>
          <w:sz w:val="24"/>
          <w:szCs w:val="24"/>
          <w14:ligatures w14:val="standardContextual"/>
        </w:rPr>
        <w:t>:</w:t>
      </w:r>
      <w:r w:rsidR="006E052A" w:rsidRPr="004756DA">
        <w:rPr>
          <w:rFonts w:ascii="Times New Roman" w:hAnsi="Times New Roman" w:cs="Times New Roman"/>
          <w:kern w:val="2"/>
          <w:sz w:val="24"/>
          <w:szCs w:val="24"/>
          <w14:ligatures w14:val="standardContextual"/>
        </w:rPr>
        <w:t xml:space="preserve"> Usporedba obilježja, prednosti i nedostataka vrst</w:t>
      </w:r>
      <w:r w:rsidR="00844E98" w:rsidRPr="004756DA">
        <w:rPr>
          <w:rFonts w:ascii="Times New Roman" w:hAnsi="Times New Roman" w:cs="Times New Roman"/>
          <w:kern w:val="2"/>
          <w:sz w:val="24"/>
          <w:szCs w:val="24"/>
          <w14:ligatures w14:val="standardContextual"/>
        </w:rPr>
        <w:t>a</w:t>
      </w:r>
      <w:r w:rsidR="006E052A" w:rsidRPr="004756DA">
        <w:rPr>
          <w:rFonts w:ascii="Times New Roman" w:hAnsi="Times New Roman" w:cs="Times New Roman"/>
          <w:kern w:val="2"/>
          <w:sz w:val="24"/>
          <w:szCs w:val="24"/>
          <w14:ligatures w14:val="standardContextual"/>
        </w:rPr>
        <w:t xml:space="preserve"> sporazuma u hotelijerstvu iz perspektive vlasnika marke</w:t>
      </w:r>
      <w:bookmarkEnd w:id="110"/>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2023"/>
        <w:gridCol w:w="2209"/>
        <w:gridCol w:w="2401"/>
        <w:gridCol w:w="2681"/>
      </w:tblGrid>
      <w:tr w:rsidR="006E052A" w:rsidRPr="00BE5472" w14:paraId="4A082470" w14:textId="77777777" w:rsidTr="00CB3A7C">
        <w:trPr>
          <w:trHeight w:val="430"/>
        </w:trPr>
        <w:tc>
          <w:tcPr>
            <w:tcW w:w="1086" w:type="pct"/>
            <w:tcMar>
              <w:top w:w="72" w:type="dxa"/>
              <w:left w:w="144" w:type="dxa"/>
              <w:bottom w:w="72" w:type="dxa"/>
              <w:right w:w="144" w:type="dxa"/>
            </w:tcMar>
            <w:hideMark/>
          </w:tcPr>
          <w:p w14:paraId="571F6260" w14:textId="77777777" w:rsidR="006E052A" w:rsidRPr="00CB3A7C" w:rsidRDefault="006E052A" w:rsidP="006E052A">
            <w:pPr>
              <w:spacing w:after="0" w:line="240" w:lineRule="auto"/>
              <w:rPr>
                <w:rFonts w:ascii="Times New Roman" w:eastAsia="Times New Roman" w:hAnsi="Times New Roman" w:cs="Times New Roman"/>
                <w:lang w:eastAsia="hr-HR"/>
              </w:rPr>
            </w:pPr>
          </w:p>
        </w:tc>
        <w:tc>
          <w:tcPr>
            <w:tcW w:w="1186" w:type="pct"/>
            <w:tcMar>
              <w:top w:w="72" w:type="dxa"/>
              <w:left w:w="144" w:type="dxa"/>
              <w:bottom w:w="72" w:type="dxa"/>
              <w:right w:w="144" w:type="dxa"/>
            </w:tcMar>
            <w:vAlign w:val="center"/>
            <w:hideMark/>
          </w:tcPr>
          <w:p w14:paraId="6A0DEE17" w14:textId="00BB63CE" w:rsidR="006E052A" w:rsidRPr="00CB3A7C" w:rsidRDefault="00FA57DF" w:rsidP="000D3FFB">
            <w:pPr>
              <w:spacing w:before="115" w:after="0" w:line="240" w:lineRule="auto"/>
              <w:jc w:val="center"/>
              <w:textAlignment w:val="baseline"/>
              <w:rPr>
                <w:rFonts w:ascii="Times New Roman" w:eastAsia="Times New Roman" w:hAnsi="Times New Roman" w:cs="Times New Roman"/>
                <w:b/>
                <w:bCs/>
                <w:lang w:eastAsia="hr-HR"/>
              </w:rPr>
            </w:pPr>
            <w:r w:rsidRPr="00CB3A7C">
              <w:rPr>
                <w:rFonts w:ascii="Times New Roman" w:eastAsia="Times New Roman" w:hAnsi="Times New Roman" w:cs="Times New Roman"/>
                <w:b/>
                <w:bCs/>
                <w:kern w:val="24"/>
                <w:lang w:val="en-US" w:eastAsia="hr-HR"/>
              </w:rPr>
              <w:t>V</w:t>
            </w:r>
            <w:r w:rsidR="006E052A" w:rsidRPr="00CB3A7C">
              <w:rPr>
                <w:rFonts w:ascii="Times New Roman" w:eastAsia="Times New Roman" w:hAnsi="Times New Roman" w:cs="Times New Roman"/>
                <w:b/>
                <w:bCs/>
                <w:kern w:val="24"/>
                <w:lang w:val="en-US" w:eastAsia="hr-HR"/>
              </w:rPr>
              <w:t>lasništvo</w:t>
            </w:r>
          </w:p>
        </w:tc>
        <w:tc>
          <w:tcPr>
            <w:tcW w:w="1289" w:type="pct"/>
            <w:tcMar>
              <w:top w:w="72" w:type="dxa"/>
              <w:left w:w="144" w:type="dxa"/>
              <w:bottom w:w="72" w:type="dxa"/>
              <w:right w:w="144" w:type="dxa"/>
            </w:tcMar>
            <w:vAlign w:val="center"/>
            <w:hideMark/>
          </w:tcPr>
          <w:p w14:paraId="3373D3CE" w14:textId="3B26A459" w:rsidR="006E052A" w:rsidRPr="00CB3A7C" w:rsidRDefault="00FA57DF" w:rsidP="000D3FFB">
            <w:pPr>
              <w:spacing w:before="115" w:after="0" w:line="240" w:lineRule="auto"/>
              <w:jc w:val="center"/>
              <w:textAlignment w:val="baseline"/>
              <w:rPr>
                <w:rFonts w:ascii="Times New Roman" w:eastAsia="Times New Roman" w:hAnsi="Times New Roman" w:cs="Times New Roman"/>
                <w:b/>
                <w:bCs/>
                <w:lang w:eastAsia="hr-HR"/>
              </w:rPr>
            </w:pPr>
            <w:r w:rsidRPr="00CB3A7C">
              <w:rPr>
                <w:rFonts w:ascii="Times New Roman" w:eastAsia="Times New Roman" w:hAnsi="Times New Roman" w:cs="Times New Roman"/>
                <w:b/>
                <w:bCs/>
                <w:kern w:val="24"/>
                <w:lang w:val="en-US" w:eastAsia="hr-HR"/>
              </w:rPr>
              <w:t>U</w:t>
            </w:r>
            <w:r w:rsidR="006E052A" w:rsidRPr="00CB3A7C">
              <w:rPr>
                <w:rFonts w:ascii="Times New Roman" w:eastAsia="Times New Roman" w:hAnsi="Times New Roman" w:cs="Times New Roman"/>
                <w:b/>
                <w:bCs/>
                <w:kern w:val="24"/>
                <w:lang w:val="en-US" w:eastAsia="hr-HR"/>
              </w:rPr>
              <w:t>govor o menadžmentu</w:t>
            </w:r>
          </w:p>
        </w:tc>
        <w:tc>
          <w:tcPr>
            <w:tcW w:w="1439" w:type="pct"/>
            <w:tcMar>
              <w:top w:w="72" w:type="dxa"/>
              <w:left w:w="144" w:type="dxa"/>
              <w:bottom w:w="72" w:type="dxa"/>
              <w:right w:w="144" w:type="dxa"/>
            </w:tcMar>
            <w:vAlign w:val="center"/>
            <w:hideMark/>
          </w:tcPr>
          <w:p w14:paraId="7D914B71" w14:textId="2848EE68" w:rsidR="006E052A" w:rsidRPr="00CB3A7C" w:rsidRDefault="00FA57DF" w:rsidP="000D3FFB">
            <w:pPr>
              <w:spacing w:before="115" w:after="0" w:line="240" w:lineRule="auto"/>
              <w:jc w:val="center"/>
              <w:textAlignment w:val="baseline"/>
              <w:rPr>
                <w:rFonts w:ascii="Times New Roman" w:eastAsia="Times New Roman" w:hAnsi="Times New Roman" w:cs="Times New Roman"/>
                <w:b/>
                <w:bCs/>
                <w:lang w:eastAsia="hr-HR"/>
              </w:rPr>
            </w:pPr>
            <w:r w:rsidRPr="00CB3A7C">
              <w:rPr>
                <w:rFonts w:ascii="Times New Roman" w:eastAsia="Times New Roman" w:hAnsi="Times New Roman" w:cs="Times New Roman"/>
                <w:b/>
                <w:bCs/>
                <w:lang w:eastAsia="hr-HR"/>
              </w:rPr>
              <w:t>U</w:t>
            </w:r>
            <w:r w:rsidR="006E052A" w:rsidRPr="00CB3A7C">
              <w:rPr>
                <w:rFonts w:ascii="Times New Roman" w:eastAsia="Times New Roman" w:hAnsi="Times New Roman" w:cs="Times New Roman"/>
                <w:b/>
                <w:bCs/>
                <w:lang w:eastAsia="hr-HR"/>
              </w:rPr>
              <w:t>govor o franšizi</w:t>
            </w:r>
          </w:p>
        </w:tc>
      </w:tr>
      <w:tr w:rsidR="006E052A" w:rsidRPr="00BE5472" w14:paraId="4DC04670" w14:textId="77777777" w:rsidTr="00CB3A7C">
        <w:trPr>
          <w:trHeight w:val="430"/>
        </w:trPr>
        <w:tc>
          <w:tcPr>
            <w:tcW w:w="1086" w:type="pct"/>
            <w:tcMar>
              <w:top w:w="72" w:type="dxa"/>
              <w:left w:w="144" w:type="dxa"/>
              <w:bottom w:w="72" w:type="dxa"/>
              <w:right w:w="144" w:type="dxa"/>
            </w:tcMar>
            <w:vAlign w:val="center"/>
            <w:hideMark/>
          </w:tcPr>
          <w:p w14:paraId="356AB63A" w14:textId="05FC3BDE" w:rsidR="006E052A" w:rsidRPr="00CB3A7C" w:rsidRDefault="00FA57DF" w:rsidP="000D3FFB">
            <w:pPr>
              <w:spacing w:before="86" w:after="0" w:line="240" w:lineRule="auto"/>
              <w:jc w:val="center"/>
              <w:textAlignment w:val="baseline"/>
              <w:rPr>
                <w:rFonts w:ascii="Times New Roman" w:eastAsia="Times New Roman" w:hAnsi="Times New Roman" w:cs="Times New Roman"/>
                <w:b/>
                <w:bCs/>
                <w:lang w:eastAsia="hr-HR"/>
              </w:rPr>
            </w:pPr>
            <w:r w:rsidRPr="00CB3A7C">
              <w:rPr>
                <w:rFonts w:ascii="Times New Roman" w:eastAsia="Times New Roman" w:hAnsi="Times New Roman" w:cs="Times New Roman"/>
                <w:b/>
                <w:bCs/>
                <w:lang w:eastAsia="hr-HR"/>
              </w:rPr>
              <w:t>O</w:t>
            </w:r>
            <w:r w:rsidR="006E052A" w:rsidRPr="00CB3A7C">
              <w:rPr>
                <w:rFonts w:ascii="Times New Roman" w:eastAsia="Times New Roman" w:hAnsi="Times New Roman" w:cs="Times New Roman"/>
                <w:b/>
                <w:bCs/>
                <w:lang w:eastAsia="hr-HR"/>
              </w:rPr>
              <w:t>pis</w:t>
            </w:r>
          </w:p>
        </w:tc>
        <w:tc>
          <w:tcPr>
            <w:tcW w:w="1186" w:type="pct"/>
            <w:tcMar>
              <w:top w:w="72" w:type="dxa"/>
              <w:left w:w="144" w:type="dxa"/>
              <w:bottom w:w="72" w:type="dxa"/>
              <w:right w:w="144" w:type="dxa"/>
            </w:tcMar>
            <w:vAlign w:val="center"/>
            <w:hideMark/>
          </w:tcPr>
          <w:p w14:paraId="59DDAB3B"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vlasništvo i upravljanje hotelom</w:t>
            </w:r>
          </w:p>
        </w:tc>
        <w:tc>
          <w:tcPr>
            <w:tcW w:w="1289" w:type="pct"/>
            <w:tcMar>
              <w:top w:w="72" w:type="dxa"/>
              <w:left w:w="144" w:type="dxa"/>
              <w:bottom w:w="72" w:type="dxa"/>
              <w:right w:w="144" w:type="dxa"/>
            </w:tcMar>
            <w:vAlign w:val="center"/>
            <w:hideMark/>
          </w:tcPr>
          <w:p w14:paraId="27FEE04F"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upravlja hotelom u ime vlasnika</w:t>
            </w:r>
          </w:p>
        </w:tc>
        <w:tc>
          <w:tcPr>
            <w:tcW w:w="1439" w:type="pct"/>
            <w:tcMar>
              <w:top w:w="72" w:type="dxa"/>
              <w:left w:w="144" w:type="dxa"/>
              <w:bottom w:w="72" w:type="dxa"/>
              <w:right w:w="144" w:type="dxa"/>
            </w:tcMar>
            <w:vAlign w:val="center"/>
            <w:hideMark/>
          </w:tcPr>
          <w:p w14:paraId="77F0036C"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vlasnik je marke i prodaje prava na njeno korištenje uz naknadu</w:t>
            </w:r>
          </w:p>
        </w:tc>
      </w:tr>
      <w:tr w:rsidR="006E052A" w:rsidRPr="00BE5472" w14:paraId="62D8420F" w14:textId="77777777" w:rsidTr="00CB3A7C">
        <w:trPr>
          <w:trHeight w:val="431"/>
        </w:trPr>
        <w:tc>
          <w:tcPr>
            <w:tcW w:w="1086" w:type="pct"/>
            <w:tcMar>
              <w:top w:w="72" w:type="dxa"/>
              <w:left w:w="144" w:type="dxa"/>
              <w:bottom w:w="72" w:type="dxa"/>
              <w:right w:w="144" w:type="dxa"/>
            </w:tcMar>
            <w:vAlign w:val="center"/>
            <w:hideMark/>
          </w:tcPr>
          <w:p w14:paraId="645B086F" w14:textId="3F924CC0" w:rsidR="006E052A" w:rsidRPr="00CB3A7C" w:rsidRDefault="00FA57DF" w:rsidP="000D3FFB">
            <w:pPr>
              <w:spacing w:before="86" w:after="0" w:line="240" w:lineRule="auto"/>
              <w:jc w:val="center"/>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b/>
                <w:bCs/>
                <w:kern w:val="24"/>
                <w:lang w:val="en-US" w:eastAsia="hr-HR"/>
              </w:rPr>
              <w:t>P</w:t>
            </w:r>
            <w:r w:rsidR="006E052A" w:rsidRPr="00CB3A7C">
              <w:rPr>
                <w:rFonts w:ascii="Times New Roman" w:eastAsia="Times New Roman" w:hAnsi="Times New Roman" w:cs="Times New Roman"/>
                <w:b/>
                <w:bCs/>
                <w:kern w:val="24"/>
                <w:lang w:val="en-US" w:eastAsia="hr-HR"/>
              </w:rPr>
              <w:t>rimarni izvor  prihoda</w:t>
            </w:r>
          </w:p>
        </w:tc>
        <w:tc>
          <w:tcPr>
            <w:tcW w:w="1186" w:type="pct"/>
            <w:tcMar>
              <w:top w:w="72" w:type="dxa"/>
              <w:left w:w="144" w:type="dxa"/>
              <w:bottom w:w="72" w:type="dxa"/>
              <w:right w:w="144" w:type="dxa"/>
            </w:tcMar>
            <w:vAlign w:val="center"/>
            <w:hideMark/>
          </w:tcPr>
          <w:p w14:paraId="135F6AAF"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prihodi od hotela</w:t>
            </w:r>
          </w:p>
        </w:tc>
        <w:tc>
          <w:tcPr>
            <w:tcW w:w="1289" w:type="pct"/>
            <w:tcMar>
              <w:top w:w="72" w:type="dxa"/>
              <w:left w:w="144" w:type="dxa"/>
              <w:bottom w:w="72" w:type="dxa"/>
              <w:right w:w="144" w:type="dxa"/>
            </w:tcMar>
            <w:vAlign w:val="center"/>
            <w:hideMark/>
          </w:tcPr>
          <w:p w14:paraId="4E8C85AE"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naknade za upravljanje hotelom (postotak od prihoda hotela) + poticajne naknade</w:t>
            </w:r>
          </w:p>
        </w:tc>
        <w:tc>
          <w:tcPr>
            <w:tcW w:w="1439" w:type="pct"/>
            <w:tcMar>
              <w:top w:w="72" w:type="dxa"/>
              <w:left w:w="144" w:type="dxa"/>
              <w:bottom w:w="72" w:type="dxa"/>
              <w:right w:w="144" w:type="dxa"/>
            </w:tcMar>
            <w:vAlign w:val="center"/>
            <w:hideMark/>
          </w:tcPr>
          <w:p w14:paraId="7FF13056"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franšizna naknada (postotak od prihoda od prodaja soba)</w:t>
            </w:r>
          </w:p>
        </w:tc>
      </w:tr>
      <w:tr w:rsidR="006E052A" w:rsidRPr="00BE5472" w14:paraId="2600DAF3" w14:textId="77777777" w:rsidTr="00CB3A7C">
        <w:trPr>
          <w:trHeight w:val="430"/>
        </w:trPr>
        <w:tc>
          <w:tcPr>
            <w:tcW w:w="1086" w:type="pct"/>
            <w:tcMar>
              <w:top w:w="72" w:type="dxa"/>
              <w:left w:w="144" w:type="dxa"/>
              <w:bottom w:w="72" w:type="dxa"/>
              <w:right w:w="144" w:type="dxa"/>
            </w:tcMar>
            <w:vAlign w:val="center"/>
            <w:hideMark/>
          </w:tcPr>
          <w:p w14:paraId="1D6B2C2B" w14:textId="4F7C5BD2" w:rsidR="006E052A" w:rsidRPr="00CB3A7C" w:rsidRDefault="00FA57DF" w:rsidP="000D3FFB">
            <w:pPr>
              <w:spacing w:before="86" w:after="0" w:line="240" w:lineRule="auto"/>
              <w:jc w:val="center"/>
              <w:textAlignment w:val="baseline"/>
              <w:rPr>
                <w:rFonts w:ascii="Times New Roman" w:eastAsia="Times New Roman" w:hAnsi="Times New Roman" w:cs="Times New Roman"/>
                <w:b/>
                <w:bCs/>
                <w:lang w:eastAsia="hr-HR"/>
              </w:rPr>
            </w:pPr>
            <w:r w:rsidRPr="00CB3A7C">
              <w:rPr>
                <w:rFonts w:ascii="Times New Roman" w:eastAsia="Times New Roman" w:hAnsi="Times New Roman" w:cs="Times New Roman"/>
                <w:b/>
                <w:bCs/>
                <w:lang w:eastAsia="hr-HR"/>
              </w:rPr>
              <w:t>P</w:t>
            </w:r>
            <w:r w:rsidR="006E052A" w:rsidRPr="00CB3A7C">
              <w:rPr>
                <w:rFonts w:ascii="Times New Roman" w:eastAsia="Times New Roman" w:hAnsi="Times New Roman" w:cs="Times New Roman"/>
                <w:b/>
                <w:bCs/>
                <w:lang w:eastAsia="hr-HR"/>
              </w:rPr>
              <w:t>rednosti</w:t>
            </w:r>
          </w:p>
        </w:tc>
        <w:tc>
          <w:tcPr>
            <w:tcW w:w="1186" w:type="pct"/>
            <w:tcMar>
              <w:top w:w="72" w:type="dxa"/>
              <w:left w:w="144" w:type="dxa"/>
              <w:bottom w:w="72" w:type="dxa"/>
              <w:right w:w="144" w:type="dxa"/>
            </w:tcMar>
            <w:vAlign w:val="center"/>
            <w:hideMark/>
          </w:tcPr>
          <w:p w14:paraId="338A249F" w14:textId="77777777" w:rsidR="006E052A" w:rsidRPr="00CB3A7C" w:rsidRDefault="006E052A" w:rsidP="00120B4F">
            <w:pPr>
              <w:numPr>
                <w:ilvl w:val="0"/>
                <w:numId w:val="73"/>
              </w:numPr>
              <w:spacing w:before="67" w:after="0" w:line="240" w:lineRule="auto"/>
              <w:contextualSpacing/>
              <w:textAlignment w:val="baseline"/>
              <w:rPr>
                <w:rFonts w:ascii="Times New Roman" w:eastAsia="Times New Roman" w:hAnsi="Times New Roman" w:cs="Times New Roman"/>
                <w:kern w:val="24"/>
                <w:lang w:eastAsia="hr-HR"/>
              </w:rPr>
            </w:pPr>
            <w:r w:rsidRPr="00CB3A7C">
              <w:rPr>
                <w:rFonts w:ascii="Times New Roman" w:eastAsia="Times New Roman" w:hAnsi="Times New Roman" w:cs="Times New Roman"/>
                <w:kern w:val="24"/>
                <w:lang w:eastAsia="hr-HR"/>
              </w:rPr>
              <w:t>veći prihodi u stabilnom operativnom okruženju</w:t>
            </w:r>
          </w:p>
          <w:p w14:paraId="55ABA7AD" w14:textId="77777777" w:rsidR="006E052A" w:rsidRPr="00CB3A7C" w:rsidRDefault="006E052A" w:rsidP="00120B4F">
            <w:pPr>
              <w:numPr>
                <w:ilvl w:val="0"/>
                <w:numId w:val="73"/>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veća kontrola</w:t>
            </w:r>
          </w:p>
        </w:tc>
        <w:tc>
          <w:tcPr>
            <w:tcW w:w="1289" w:type="pct"/>
            <w:tcMar>
              <w:top w:w="72" w:type="dxa"/>
              <w:left w:w="144" w:type="dxa"/>
              <w:bottom w:w="72" w:type="dxa"/>
              <w:right w:w="144" w:type="dxa"/>
            </w:tcMar>
            <w:vAlign w:val="center"/>
            <w:hideMark/>
          </w:tcPr>
          <w:p w14:paraId="354C6F5D" w14:textId="77777777" w:rsidR="006E052A" w:rsidRPr="00CB3A7C" w:rsidRDefault="006E052A" w:rsidP="00120B4F">
            <w:pPr>
              <w:numPr>
                <w:ilvl w:val="0"/>
                <w:numId w:val="67"/>
              </w:numPr>
              <w:spacing w:before="67" w:after="0" w:line="240" w:lineRule="auto"/>
              <w:contextualSpacing/>
              <w:textAlignment w:val="baseline"/>
              <w:rPr>
                <w:rFonts w:ascii="Times New Roman" w:eastAsia="Times New Roman" w:hAnsi="Times New Roman" w:cs="Times New Roman"/>
                <w:kern w:val="24"/>
                <w:lang w:eastAsia="hr-HR"/>
              </w:rPr>
            </w:pPr>
            <w:r w:rsidRPr="00CB3A7C">
              <w:rPr>
                <w:rFonts w:ascii="Times New Roman" w:eastAsia="Times New Roman" w:hAnsi="Times New Roman" w:cs="Times New Roman"/>
                <w:kern w:val="24"/>
                <w:lang w:eastAsia="hr-HR"/>
              </w:rPr>
              <w:t>niža izloženost ekonomskim ciklusima</w:t>
            </w:r>
          </w:p>
          <w:p w14:paraId="5059229E" w14:textId="77777777" w:rsidR="006E052A" w:rsidRPr="00CB3A7C" w:rsidRDefault="006E052A" w:rsidP="00120B4F">
            <w:pPr>
              <w:numPr>
                <w:ilvl w:val="0"/>
                <w:numId w:val="67"/>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niža potreba za kapitalom</w:t>
            </w:r>
          </w:p>
        </w:tc>
        <w:tc>
          <w:tcPr>
            <w:tcW w:w="1439" w:type="pct"/>
            <w:tcMar>
              <w:top w:w="72" w:type="dxa"/>
              <w:left w:w="144" w:type="dxa"/>
              <w:bottom w:w="72" w:type="dxa"/>
              <w:right w:w="144" w:type="dxa"/>
            </w:tcMar>
            <w:vAlign w:val="center"/>
            <w:hideMark/>
          </w:tcPr>
          <w:p w14:paraId="0691ED74" w14:textId="77777777" w:rsidR="006E052A" w:rsidRPr="00CB3A7C" w:rsidRDefault="006E052A" w:rsidP="00120B4F">
            <w:pPr>
              <w:numPr>
                <w:ilvl w:val="0"/>
                <w:numId w:val="67"/>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najniža izloženost ekonomskim ciklusima</w:t>
            </w:r>
          </w:p>
          <w:p w14:paraId="274F3DC1" w14:textId="77777777" w:rsidR="006E052A" w:rsidRPr="00CB3A7C" w:rsidRDefault="006E052A" w:rsidP="00120B4F">
            <w:pPr>
              <w:numPr>
                <w:ilvl w:val="0"/>
                <w:numId w:val="67"/>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najniža potreba za kapitalom</w:t>
            </w:r>
          </w:p>
        </w:tc>
      </w:tr>
      <w:tr w:rsidR="006E052A" w:rsidRPr="00BE5472" w14:paraId="542F3FDB" w14:textId="77777777" w:rsidTr="00CB3A7C">
        <w:trPr>
          <w:trHeight w:val="430"/>
        </w:trPr>
        <w:tc>
          <w:tcPr>
            <w:tcW w:w="1086" w:type="pct"/>
            <w:tcMar>
              <w:top w:w="72" w:type="dxa"/>
              <w:left w:w="144" w:type="dxa"/>
              <w:bottom w:w="72" w:type="dxa"/>
              <w:right w:w="144" w:type="dxa"/>
            </w:tcMar>
            <w:vAlign w:val="center"/>
            <w:hideMark/>
          </w:tcPr>
          <w:p w14:paraId="09DC5AD9" w14:textId="788998B3" w:rsidR="006E052A" w:rsidRPr="00CB3A7C" w:rsidRDefault="00FA57DF" w:rsidP="000D3FFB">
            <w:pPr>
              <w:spacing w:before="86" w:after="0" w:line="240" w:lineRule="auto"/>
              <w:jc w:val="center"/>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b/>
                <w:bCs/>
                <w:kern w:val="24"/>
                <w:lang w:val="en-US" w:eastAsia="hr-HR"/>
              </w:rPr>
              <w:t>N</w:t>
            </w:r>
            <w:r w:rsidR="006E052A" w:rsidRPr="00CB3A7C">
              <w:rPr>
                <w:rFonts w:ascii="Times New Roman" w:eastAsia="Times New Roman" w:hAnsi="Times New Roman" w:cs="Times New Roman"/>
                <w:b/>
                <w:bCs/>
                <w:kern w:val="24"/>
                <w:lang w:val="en-US" w:eastAsia="hr-HR"/>
              </w:rPr>
              <w:t>edostaci</w:t>
            </w:r>
          </w:p>
        </w:tc>
        <w:tc>
          <w:tcPr>
            <w:tcW w:w="1186" w:type="pct"/>
            <w:tcMar>
              <w:top w:w="72" w:type="dxa"/>
              <w:left w:w="144" w:type="dxa"/>
              <w:bottom w:w="72" w:type="dxa"/>
              <w:right w:w="144" w:type="dxa"/>
            </w:tcMar>
            <w:vAlign w:val="center"/>
            <w:hideMark/>
          </w:tcPr>
          <w:p w14:paraId="6595DDA5"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visoka izloženost ekonomskim ciklusima</w:t>
            </w:r>
          </w:p>
          <w:p w14:paraId="4164E03A"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eastAsia="hr-HR"/>
              </w:rPr>
              <w:t>najviša potreba za kapitalom</w:t>
            </w:r>
          </w:p>
        </w:tc>
        <w:tc>
          <w:tcPr>
            <w:tcW w:w="1289" w:type="pct"/>
            <w:tcMar>
              <w:top w:w="72" w:type="dxa"/>
              <w:left w:w="144" w:type="dxa"/>
              <w:bottom w:w="72" w:type="dxa"/>
              <w:right w:w="144" w:type="dxa"/>
            </w:tcMar>
            <w:vAlign w:val="center"/>
            <w:hideMark/>
          </w:tcPr>
          <w:p w14:paraId="55FAF061"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kern w:val="24"/>
                <w:lang w:val="it-IT" w:eastAsia="hr-HR"/>
              </w:rPr>
            </w:pPr>
            <w:r w:rsidRPr="00CB3A7C">
              <w:rPr>
                <w:rFonts w:ascii="Times New Roman" w:eastAsia="Times New Roman" w:hAnsi="Times New Roman" w:cs="Times New Roman"/>
                <w:kern w:val="24"/>
                <w:lang w:val="it-IT" w:eastAsia="hr-HR"/>
              </w:rPr>
              <w:t>rizik od neobnavljanja ili raskida ugovora</w:t>
            </w:r>
          </w:p>
          <w:p w14:paraId="16E494E1"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it-IT" w:eastAsia="hr-HR"/>
              </w:rPr>
              <w:t>ograničeni dodatni potencijal u stabilnom operativnom okruženju</w:t>
            </w:r>
          </w:p>
        </w:tc>
        <w:tc>
          <w:tcPr>
            <w:tcW w:w="1439" w:type="pct"/>
            <w:tcMar>
              <w:top w:w="72" w:type="dxa"/>
              <w:left w:w="144" w:type="dxa"/>
              <w:bottom w:w="72" w:type="dxa"/>
              <w:right w:w="144" w:type="dxa"/>
            </w:tcMar>
            <w:vAlign w:val="center"/>
            <w:hideMark/>
          </w:tcPr>
          <w:p w14:paraId="5A3034D5"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kern w:val="24"/>
                <w:lang w:val="it-IT" w:eastAsia="hr-HR"/>
              </w:rPr>
            </w:pPr>
            <w:r w:rsidRPr="00CB3A7C">
              <w:rPr>
                <w:rFonts w:ascii="Times New Roman" w:eastAsia="Times New Roman" w:hAnsi="Times New Roman" w:cs="Times New Roman"/>
                <w:kern w:val="24"/>
                <w:lang w:val="it-IT" w:eastAsia="hr-HR"/>
              </w:rPr>
              <w:t>rizik od neobnavljanja ili raskida ugovora</w:t>
            </w:r>
          </w:p>
          <w:p w14:paraId="0667B8F5" w14:textId="77777777" w:rsidR="006E052A" w:rsidRPr="00CB3A7C" w:rsidRDefault="006E052A" w:rsidP="00120B4F">
            <w:pPr>
              <w:numPr>
                <w:ilvl w:val="0"/>
                <w:numId w:val="66"/>
              </w:numPr>
              <w:spacing w:before="67" w:after="0" w:line="240" w:lineRule="auto"/>
              <w:contextualSpacing/>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it-IT" w:eastAsia="hr-HR"/>
              </w:rPr>
              <w:t>ograničeni dodatni potencijal u stabilnom operativnom okruženju</w:t>
            </w:r>
          </w:p>
        </w:tc>
      </w:tr>
      <w:tr w:rsidR="006E052A" w:rsidRPr="00BE5472" w14:paraId="068DAF28" w14:textId="77777777" w:rsidTr="00CB3A7C">
        <w:trPr>
          <w:trHeight w:val="430"/>
        </w:trPr>
        <w:tc>
          <w:tcPr>
            <w:tcW w:w="1086" w:type="pct"/>
            <w:tcMar>
              <w:top w:w="72" w:type="dxa"/>
              <w:left w:w="144" w:type="dxa"/>
              <w:bottom w:w="72" w:type="dxa"/>
              <w:right w:w="144" w:type="dxa"/>
            </w:tcMar>
            <w:vAlign w:val="center"/>
            <w:hideMark/>
          </w:tcPr>
          <w:p w14:paraId="33B19EE2" w14:textId="2E155F09" w:rsidR="006E052A" w:rsidRPr="00CB3A7C" w:rsidRDefault="000D3FFB" w:rsidP="000D3FFB">
            <w:pPr>
              <w:spacing w:before="86" w:after="0" w:line="240" w:lineRule="auto"/>
              <w:jc w:val="center"/>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b/>
                <w:bCs/>
                <w:kern w:val="24"/>
                <w:lang w:val="en-US" w:eastAsia="hr-HR"/>
              </w:rPr>
              <w:t>I</w:t>
            </w:r>
            <w:r w:rsidR="006E052A" w:rsidRPr="00CB3A7C">
              <w:rPr>
                <w:rFonts w:ascii="Times New Roman" w:eastAsia="Times New Roman" w:hAnsi="Times New Roman" w:cs="Times New Roman"/>
                <w:b/>
                <w:bCs/>
                <w:kern w:val="24"/>
                <w:lang w:val="en-US" w:eastAsia="hr-HR"/>
              </w:rPr>
              <w:t>zloženost ekonomskim ciklusima</w:t>
            </w:r>
          </w:p>
        </w:tc>
        <w:tc>
          <w:tcPr>
            <w:tcW w:w="1186" w:type="pct"/>
            <w:tcMar>
              <w:top w:w="72" w:type="dxa"/>
              <w:left w:w="144" w:type="dxa"/>
              <w:bottom w:w="72" w:type="dxa"/>
              <w:right w:w="144" w:type="dxa"/>
            </w:tcMar>
            <w:vAlign w:val="center"/>
            <w:hideMark/>
          </w:tcPr>
          <w:p w14:paraId="40291446"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lang w:eastAsia="hr-HR"/>
              </w:rPr>
              <w:t>visoka</w:t>
            </w:r>
          </w:p>
        </w:tc>
        <w:tc>
          <w:tcPr>
            <w:tcW w:w="1289" w:type="pct"/>
            <w:tcMar>
              <w:top w:w="72" w:type="dxa"/>
              <w:left w:w="144" w:type="dxa"/>
              <w:bottom w:w="72" w:type="dxa"/>
              <w:right w:w="144" w:type="dxa"/>
            </w:tcMar>
            <w:vAlign w:val="center"/>
            <w:hideMark/>
          </w:tcPr>
          <w:p w14:paraId="02FBA8E9"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lang w:eastAsia="hr-HR"/>
              </w:rPr>
              <w:t>Osrednja</w:t>
            </w:r>
          </w:p>
        </w:tc>
        <w:tc>
          <w:tcPr>
            <w:tcW w:w="1439" w:type="pct"/>
            <w:tcMar>
              <w:top w:w="72" w:type="dxa"/>
              <w:left w:w="144" w:type="dxa"/>
              <w:bottom w:w="72" w:type="dxa"/>
              <w:right w:w="144" w:type="dxa"/>
            </w:tcMar>
            <w:vAlign w:val="center"/>
            <w:hideMark/>
          </w:tcPr>
          <w:p w14:paraId="0B8BA034" w14:textId="5E21F5DF" w:rsidR="006E052A" w:rsidRPr="00CB3A7C" w:rsidRDefault="00FE53ED"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N</w:t>
            </w:r>
            <w:r w:rsidR="006E052A" w:rsidRPr="00CB3A7C">
              <w:rPr>
                <w:rFonts w:ascii="Times New Roman" w:eastAsia="Times New Roman" w:hAnsi="Times New Roman" w:cs="Times New Roman"/>
                <w:kern w:val="24"/>
                <w:lang w:val="en-US" w:eastAsia="hr-HR"/>
              </w:rPr>
              <w:t>iska</w:t>
            </w:r>
          </w:p>
        </w:tc>
      </w:tr>
      <w:tr w:rsidR="006E052A" w:rsidRPr="00BE5472" w14:paraId="5C315070" w14:textId="77777777" w:rsidTr="00CB3A7C">
        <w:trPr>
          <w:trHeight w:val="430"/>
        </w:trPr>
        <w:tc>
          <w:tcPr>
            <w:tcW w:w="1086" w:type="pct"/>
            <w:tcMar>
              <w:top w:w="72" w:type="dxa"/>
              <w:left w:w="144" w:type="dxa"/>
              <w:bottom w:w="72" w:type="dxa"/>
              <w:right w:w="144" w:type="dxa"/>
            </w:tcMar>
            <w:vAlign w:val="center"/>
            <w:hideMark/>
          </w:tcPr>
          <w:p w14:paraId="048547D9" w14:textId="62121DB4" w:rsidR="006E052A" w:rsidRPr="00CB3A7C" w:rsidRDefault="000D3FFB" w:rsidP="000D3FFB">
            <w:pPr>
              <w:spacing w:before="86" w:after="0" w:line="240" w:lineRule="auto"/>
              <w:jc w:val="center"/>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b/>
                <w:bCs/>
                <w:kern w:val="24"/>
                <w:lang w:val="en-US" w:eastAsia="hr-HR"/>
              </w:rPr>
              <w:t>P</w:t>
            </w:r>
            <w:r w:rsidR="006E052A" w:rsidRPr="00CB3A7C">
              <w:rPr>
                <w:rFonts w:ascii="Times New Roman" w:eastAsia="Times New Roman" w:hAnsi="Times New Roman" w:cs="Times New Roman"/>
                <w:b/>
                <w:bCs/>
                <w:kern w:val="24"/>
                <w:lang w:val="en-US" w:eastAsia="hr-HR"/>
              </w:rPr>
              <w:t>otreban kapital</w:t>
            </w:r>
          </w:p>
        </w:tc>
        <w:tc>
          <w:tcPr>
            <w:tcW w:w="1186" w:type="pct"/>
            <w:tcMar>
              <w:top w:w="72" w:type="dxa"/>
              <w:left w:w="144" w:type="dxa"/>
              <w:bottom w:w="72" w:type="dxa"/>
              <w:right w:w="144" w:type="dxa"/>
            </w:tcMar>
            <w:vAlign w:val="center"/>
            <w:hideMark/>
          </w:tcPr>
          <w:p w14:paraId="08220E81" w14:textId="77777777"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lang w:eastAsia="hr-HR"/>
              </w:rPr>
              <w:t>visok</w:t>
            </w:r>
          </w:p>
        </w:tc>
        <w:tc>
          <w:tcPr>
            <w:tcW w:w="1289" w:type="pct"/>
            <w:tcMar>
              <w:top w:w="72" w:type="dxa"/>
              <w:left w:w="144" w:type="dxa"/>
              <w:bottom w:w="72" w:type="dxa"/>
              <w:right w:w="144" w:type="dxa"/>
            </w:tcMar>
            <w:vAlign w:val="center"/>
            <w:hideMark/>
          </w:tcPr>
          <w:p w14:paraId="1D93200E" w14:textId="074D960B" w:rsidR="006E052A" w:rsidRPr="00CB3A7C" w:rsidRDefault="006E052A"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osrednji ili ni</w:t>
            </w:r>
            <w:r w:rsidR="00DA12F0" w:rsidRPr="00CB3A7C">
              <w:rPr>
                <w:rFonts w:ascii="Times New Roman" w:eastAsia="Times New Roman" w:hAnsi="Times New Roman" w:cs="Times New Roman"/>
                <w:kern w:val="24"/>
                <w:lang w:val="en-US" w:eastAsia="hr-HR"/>
              </w:rPr>
              <w:t>zak</w:t>
            </w:r>
          </w:p>
        </w:tc>
        <w:tc>
          <w:tcPr>
            <w:tcW w:w="1439" w:type="pct"/>
            <w:tcMar>
              <w:top w:w="72" w:type="dxa"/>
              <w:left w:w="144" w:type="dxa"/>
              <w:bottom w:w="72" w:type="dxa"/>
              <w:right w:w="144" w:type="dxa"/>
            </w:tcMar>
            <w:vAlign w:val="center"/>
            <w:hideMark/>
          </w:tcPr>
          <w:p w14:paraId="30418252" w14:textId="225BC2CE" w:rsidR="006E052A" w:rsidRPr="00CB3A7C" w:rsidRDefault="00FE53ED" w:rsidP="000D3FFB">
            <w:pPr>
              <w:spacing w:before="67" w:after="0" w:line="240" w:lineRule="auto"/>
              <w:textAlignment w:val="baseline"/>
              <w:rPr>
                <w:rFonts w:ascii="Times New Roman" w:eastAsia="Times New Roman" w:hAnsi="Times New Roman" w:cs="Times New Roman"/>
                <w:lang w:eastAsia="hr-HR"/>
              </w:rPr>
            </w:pPr>
            <w:r w:rsidRPr="00CB3A7C">
              <w:rPr>
                <w:rFonts w:ascii="Times New Roman" w:eastAsia="Times New Roman" w:hAnsi="Times New Roman" w:cs="Times New Roman"/>
                <w:kern w:val="24"/>
                <w:lang w:val="en-US" w:eastAsia="hr-HR"/>
              </w:rPr>
              <w:t>N</w:t>
            </w:r>
            <w:r w:rsidR="006E052A" w:rsidRPr="00CB3A7C">
              <w:rPr>
                <w:rFonts w:ascii="Times New Roman" w:eastAsia="Times New Roman" w:hAnsi="Times New Roman" w:cs="Times New Roman"/>
                <w:kern w:val="24"/>
                <w:lang w:val="en-US" w:eastAsia="hr-HR"/>
              </w:rPr>
              <w:t>ajniži</w:t>
            </w:r>
          </w:p>
        </w:tc>
      </w:tr>
    </w:tbl>
    <w:p w14:paraId="5A6D2087" w14:textId="58A9EF09" w:rsidR="006E052A" w:rsidRPr="00BE5472" w:rsidRDefault="006E052A" w:rsidP="00CB3A7C">
      <w:pPr>
        <w:spacing w:line="360" w:lineRule="auto"/>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 xml:space="preserve">Izvor: Diaz-Bernardo R. (2011). Franchising in the Hospitality Industry:An Analysis of Three ConfrontingTheories to Explain Why Hotel ChainsFranchise </w:t>
      </w:r>
      <w:r w:rsidRPr="00BE5472">
        <w:rPr>
          <w:rFonts w:ascii="Times New Roman" w:hAnsi="Times New Roman" w:cs="Times New Roman"/>
          <w:i/>
          <w:iCs/>
          <w:kern w:val="2"/>
          <w:sz w:val="24"/>
          <w:szCs w:val="24"/>
          <w14:ligatures w14:val="standardContextual"/>
        </w:rPr>
        <w:t>Journal of Business Case Studies (JBCS</w:t>
      </w:r>
      <w:r w:rsidRPr="00BE5472">
        <w:rPr>
          <w:rFonts w:ascii="Times New Roman" w:hAnsi="Times New Roman" w:cs="Times New Roman"/>
          <w:kern w:val="2"/>
          <w:sz w:val="24"/>
          <w:szCs w:val="24"/>
          <w14:ligatures w14:val="standardContextual"/>
        </w:rPr>
        <w:t xml:space="preserve">),  5 (3) dostupno na: </w:t>
      </w:r>
      <w:hyperlink r:id="rId54" w:history="1">
        <w:r w:rsidR="007B10FE" w:rsidRPr="004E4DEF">
          <w:rPr>
            <w:rStyle w:val="Hyperlink"/>
            <w:rFonts w:ascii="Times New Roman" w:hAnsi="Times New Roman" w:cs="Times New Roman"/>
            <w:kern w:val="2"/>
            <w:sz w:val="24"/>
            <w:szCs w:val="24"/>
            <w14:ligatures w14:val="standardContextual"/>
          </w:rPr>
          <w:t>https://www.researchgate.net/publication/268385543_Franchising_And_The_Society_The_Case_Of_Franchising_In_The_Hotel_Industry Pristupljeno 6</w:t>
        </w:r>
      </w:hyperlink>
      <w:r w:rsidRPr="00BE5472">
        <w:rPr>
          <w:rFonts w:ascii="Times New Roman" w:hAnsi="Times New Roman" w:cs="Times New Roman"/>
          <w:kern w:val="2"/>
          <w:sz w:val="24"/>
          <w:szCs w:val="24"/>
          <w14:ligatures w14:val="standardContextual"/>
        </w:rPr>
        <w:t>. ožujka 2024.</w:t>
      </w:r>
    </w:p>
    <w:p w14:paraId="2785B422" w14:textId="75FF366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 obzirom na brojne prednosti i pogodnosti koje nudi ugovor o franšizi vrlo je popularan oblik suradnje u SAD te čak 65</w:t>
      </w:r>
      <w:r w:rsidR="00405744"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 hotela koriste </w:t>
      </w:r>
      <w:r w:rsidR="00405744" w:rsidRPr="00BE5472">
        <w:rPr>
          <w:rFonts w:ascii="Times New Roman" w:hAnsi="Times New Roman" w:cs="Times New Roman"/>
          <w:kern w:val="2"/>
          <w:sz w:val="24"/>
          <w:szCs w:val="24"/>
          <w14:ligatures w14:val="standardContextual"/>
        </w:rPr>
        <w:t xml:space="preserve">se </w:t>
      </w:r>
      <w:r w:rsidRPr="00BE5472">
        <w:rPr>
          <w:rFonts w:ascii="Times New Roman" w:hAnsi="Times New Roman" w:cs="Times New Roman"/>
          <w:kern w:val="2"/>
          <w:sz w:val="24"/>
          <w:szCs w:val="24"/>
          <w14:ligatures w14:val="standardContextual"/>
        </w:rPr>
        <w:t>ov</w:t>
      </w:r>
      <w:r w:rsidR="00405744" w:rsidRPr="00BE5472">
        <w:rPr>
          <w:rFonts w:ascii="Times New Roman" w:hAnsi="Times New Roman" w:cs="Times New Roman"/>
          <w:kern w:val="2"/>
          <w:sz w:val="24"/>
          <w:szCs w:val="24"/>
          <w14:ligatures w14:val="standardContextual"/>
        </w:rPr>
        <w:t>im</w:t>
      </w:r>
      <w:r w:rsidRPr="00BE5472">
        <w:rPr>
          <w:rFonts w:ascii="Times New Roman" w:hAnsi="Times New Roman" w:cs="Times New Roman"/>
          <w:kern w:val="2"/>
          <w:sz w:val="24"/>
          <w:szCs w:val="24"/>
          <w14:ligatures w14:val="standardContextual"/>
        </w:rPr>
        <w:t xml:space="preserve"> poslovni</w:t>
      </w:r>
      <w:r w:rsidR="00405744" w:rsidRPr="00BE5472">
        <w:rPr>
          <w:rFonts w:ascii="Times New Roman" w:hAnsi="Times New Roman" w:cs="Times New Roman"/>
          <w:kern w:val="2"/>
          <w:sz w:val="24"/>
          <w:szCs w:val="24"/>
          <w14:ligatures w14:val="standardContextual"/>
        </w:rPr>
        <w:t>m</w:t>
      </w:r>
      <w:r w:rsidRPr="00BE5472">
        <w:rPr>
          <w:rFonts w:ascii="Times New Roman" w:hAnsi="Times New Roman" w:cs="Times New Roman"/>
          <w:kern w:val="2"/>
          <w:sz w:val="24"/>
          <w:szCs w:val="24"/>
          <w14:ligatures w14:val="standardContextual"/>
        </w:rPr>
        <w:t xml:space="preserve"> model</w:t>
      </w:r>
      <w:r w:rsidR="00405744" w:rsidRPr="00BE5472">
        <w:rPr>
          <w:rFonts w:ascii="Times New Roman" w:hAnsi="Times New Roman" w:cs="Times New Roman"/>
          <w:kern w:val="2"/>
          <w:sz w:val="24"/>
          <w:szCs w:val="24"/>
          <w14:ligatures w14:val="standardContextual"/>
        </w:rPr>
        <w:t>om</w:t>
      </w:r>
      <w:r w:rsidRPr="00BE5472">
        <w:rPr>
          <w:rFonts w:ascii="Times New Roman" w:hAnsi="Times New Roman" w:cs="Times New Roman"/>
          <w:kern w:val="2"/>
          <w:sz w:val="24"/>
          <w:szCs w:val="24"/>
          <w14:ligatures w14:val="standardContextual"/>
        </w:rPr>
        <w:t xml:space="preserve"> (Diaz-Bernardo 2011.)  U Europi je taj oblik suradnje još u razvoju vjerojatno zbog heterogenog tržišta, različitih standa</w:t>
      </w:r>
      <w:r w:rsidR="00F87611" w:rsidRPr="00BE5472">
        <w:rPr>
          <w:rFonts w:ascii="Times New Roman" w:hAnsi="Times New Roman" w:cs="Times New Roman"/>
          <w:kern w:val="2"/>
          <w:sz w:val="24"/>
          <w:szCs w:val="24"/>
          <w14:ligatures w14:val="standardContextual"/>
        </w:rPr>
        <w:t>r</w:t>
      </w:r>
      <w:r w:rsidRPr="00BE5472">
        <w:rPr>
          <w:rFonts w:ascii="Times New Roman" w:hAnsi="Times New Roman" w:cs="Times New Roman"/>
          <w:kern w:val="2"/>
          <w:sz w:val="24"/>
          <w:szCs w:val="24"/>
          <w14:ligatures w14:val="standardContextual"/>
        </w:rPr>
        <w:t xml:space="preserve">da i legislative unutar država. Ipak, iako nije toliko transparentno kao i u </w:t>
      </w:r>
      <w:r w:rsidR="004D1DAE" w:rsidRPr="00BE5472">
        <w:rPr>
          <w:rFonts w:ascii="Times New Roman" w:hAnsi="Times New Roman" w:cs="Times New Roman"/>
          <w:kern w:val="2"/>
          <w:sz w:val="24"/>
          <w:szCs w:val="24"/>
          <w14:ligatures w14:val="standardContextual"/>
        </w:rPr>
        <w:t>SAD</w:t>
      </w:r>
      <w:r w:rsidRPr="00BE5472">
        <w:rPr>
          <w:rFonts w:ascii="Times New Roman" w:hAnsi="Times New Roman" w:cs="Times New Roman"/>
          <w:kern w:val="2"/>
          <w:sz w:val="24"/>
          <w:szCs w:val="24"/>
          <w14:ligatures w14:val="standardContextual"/>
        </w:rPr>
        <w:t xml:space="preserve"> postoje određeni podaci o ovom poslovnom modelu u hotelskom sektoru u Europi, a </w:t>
      </w:r>
      <w:r w:rsidR="00405744"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temeljeni su na informacijama davatelja i primatelj franšize, javno objavljenim informacijama iz godišnjih izvještaja hotelskih poduzeća te ostalim javno dostupnim izvorima. U </w:t>
      </w:r>
      <w:r w:rsidR="00127A4E">
        <w:rPr>
          <w:rFonts w:ascii="Times New Roman" w:hAnsi="Times New Roman" w:cs="Times New Roman"/>
          <w:kern w:val="2"/>
          <w:sz w:val="24"/>
          <w:szCs w:val="24"/>
          <w14:ligatures w14:val="standardContextual"/>
        </w:rPr>
        <w:t>Tablici</w:t>
      </w:r>
      <w:r w:rsidRPr="00BE5472">
        <w:rPr>
          <w:rFonts w:ascii="Times New Roman" w:hAnsi="Times New Roman" w:cs="Times New Roman"/>
          <w:kern w:val="2"/>
          <w:sz w:val="24"/>
          <w:szCs w:val="24"/>
          <w14:ligatures w14:val="standardContextual"/>
        </w:rPr>
        <w:t xml:space="preserve"> </w:t>
      </w:r>
      <w:r w:rsidR="00C92064" w:rsidRPr="00BE5472">
        <w:rPr>
          <w:rFonts w:ascii="Times New Roman" w:hAnsi="Times New Roman" w:cs="Times New Roman"/>
          <w:kern w:val="2"/>
          <w:sz w:val="24"/>
          <w:szCs w:val="24"/>
          <w14:ligatures w14:val="standardContextual"/>
        </w:rPr>
        <w:t>8</w:t>
      </w:r>
      <w:r w:rsidRPr="00BE5472">
        <w:rPr>
          <w:rFonts w:ascii="Times New Roman" w:hAnsi="Times New Roman" w:cs="Times New Roman"/>
          <w:kern w:val="2"/>
          <w:sz w:val="24"/>
          <w:szCs w:val="24"/>
          <w14:ligatures w14:val="standardContextual"/>
        </w:rPr>
        <w:t xml:space="preserve">  prikazan je udio objekata pod franšizom u različitim tržišnim segmentima, dok su u </w:t>
      </w:r>
      <w:r w:rsidR="00127A4E">
        <w:rPr>
          <w:rFonts w:ascii="Times New Roman" w:hAnsi="Times New Roman" w:cs="Times New Roman"/>
          <w:kern w:val="2"/>
          <w:sz w:val="24"/>
          <w:szCs w:val="24"/>
          <w14:ligatures w14:val="standardContextual"/>
        </w:rPr>
        <w:t>Tablici</w:t>
      </w:r>
      <w:r w:rsidRPr="00BE5472">
        <w:rPr>
          <w:rFonts w:ascii="Times New Roman" w:hAnsi="Times New Roman" w:cs="Times New Roman"/>
          <w:kern w:val="2"/>
          <w:sz w:val="24"/>
          <w:szCs w:val="24"/>
          <w14:ligatures w14:val="standardContextual"/>
        </w:rPr>
        <w:t xml:space="preserve"> </w:t>
      </w:r>
      <w:r w:rsidR="00C92064" w:rsidRPr="00BE5472">
        <w:rPr>
          <w:rFonts w:ascii="Times New Roman" w:hAnsi="Times New Roman" w:cs="Times New Roman"/>
          <w:kern w:val="2"/>
          <w:sz w:val="24"/>
          <w:szCs w:val="24"/>
          <w14:ligatures w14:val="standardContextual"/>
        </w:rPr>
        <w:t>9</w:t>
      </w:r>
      <w:r w:rsidRPr="00BE5472">
        <w:rPr>
          <w:rFonts w:ascii="Times New Roman" w:hAnsi="Times New Roman" w:cs="Times New Roman"/>
          <w:kern w:val="2"/>
          <w:sz w:val="24"/>
          <w:szCs w:val="24"/>
          <w14:ligatures w14:val="standardContextual"/>
        </w:rPr>
        <w:t xml:space="preserve"> prikazani najznačajniji hotelski lanci u Europi i njihovi poslovni modeli.</w:t>
      </w:r>
    </w:p>
    <w:p w14:paraId="4F5C5511" w14:textId="148F103E" w:rsidR="006E052A" w:rsidRPr="004756DA" w:rsidRDefault="004756DA" w:rsidP="004756DA">
      <w:pPr>
        <w:pStyle w:val="Caption"/>
        <w:rPr>
          <w:rFonts w:ascii="Times New Roman" w:hAnsi="Times New Roman" w:cs="Times New Roman"/>
          <w:kern w:val="2"/>
          <w:sz w:val="24"/>
          <w:szCs w:val="24"/>
          <w14:ligatures w14:val="standardContextual"/>
        </w:rPr>
      </w:pPr>
      <w:bookmarkStart w:id="111" w:name="_Toc241865202"/>
      <w:r w:rsidRPr="004756DA">
        <w:rPr>
          <w:rFonts w:ascii="Times New Roman" w:hAnsi="Times New Roman" w:cs="Times New Roman"/>
          <w:sz w:val="24"/>
          <w:szCs w:val="24"/>
        </w:rPr>
        <w:t xml:space="preserve">Tablica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Tablica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8</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Udio objekata pod franšizom u različitim tržišnim segmentima</w:t>
      </w:r>
      <w:bookmarkEnd w:id="111"/>
    </w:p>
    <w:tbl>
      <w:tblPr>
        <w:tblStyle w:val="Tamnatablicareetke5-isticanje31"/>
        <w:tblW w:w="0" w:type="auto"/>
        <w:tblLook w:val="04A0" w:firstRow="1" w:lastRow="0" w:firstColumn="1" w:lastColumn="0" w:noHBand="0" w:noVBand="1"/>
      </w:tblPr>
      <w:tblGrid>
        <w:gridCol w:w="2830"/>
        <w:gridCol w:w="851"/>
        <w:gridCol w:w="1081"/>
        <w:gridCol w:w="1275"/>
        <w:gridCol w:w="1276"/>
      </w:tblGrid>
      <w:tr w:rsidR="006E052A" w:rsidRPr="00697554" w14:paraId="0F1D00B8" w14:textId="77777777" w:rsidTr="004057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2438496A" w14:textId="77777777" w:rsidR="006E052A" w:rsidRPr="00697554" w:rsidRDefault="006E052A" w:rsidP="00E96432">
            <w:pPr>
              <w:spacing w:line="360" w:lineRule="auto"/>
              <w:jc w:val="center"/>
              <w:rPr>
                <w:rFonts w:ascii="Times New Roman" w:hAnsi="Times New Roman" w:cs="Times New Roman"/>
                <w:i/>
                <w:sz w:val="20"/>
                <w:szCs w:val="20"/>
              </w:rPr>
            </w:pPr>
            <w:r w:rsidRPr="00697554">
              <w:rPr>
                <w:rFonts w:ascii="Times New Roman" w:hAnsi="Times New Roman" w:cs="Times New Roman"/>
                <w:i/>
                <w:sz w:val="20"/>
                <w:szCs w:val="20"/>
              </w:rPr>
              <w:t>Europa</w:t>
            </w:r>
          </w:p>
        </w:tc>
        <w:tc>
          <w:tcPr>
            <w:tcW w:w="851" w:type="dxa"/>
            <w:vAlign w:val="center"/>
          </w:tcPr>
          <w:p w14:paraId="152133AD" w14:textId="77777777" w:rsidR="00405744" w:rsidRPr="00697554" w:rsidRDefault="006E052A" w:rsidP="00E964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sz w:val="20"/>
                <w:szCs w:val="20"/>
              </w:rPr>
            </w:pPr>
            <w:r w:rsidRPr="00697554">
              <w:rPr>
                <w:rFonts w:ascii="Times New Roman" w:hAnsi="Times New Roman" w:cs="Times New Roman"/>
                <w:i/>
                <w:sz w:val="20"/>
                <w:szCs w:val="20"/>
              </w:rPr>
              <w:t>Ac</w:t>
            </w:r>
          </w:p>
          <w:p w14:paraId="1E6531FD" w14:textId="309A63CF" w:rsidR="006E052A" w:rsidRPr="00697554" w:rsidRDefault="00405744" w:rsidP="00E964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697554">
              <w:rPr>
                <w:rFonts w:ascii="Times New Roman" w:hAnsi="Times New Roman" w:cs="Times New Roman"/>
                <w:i/>
                <w:sz w:val="20"/>
                <w:szCs w:val="20"/>
              </w:rPr>
              <w:t>C</w:t>
            </w:r>
            <w:r w:rsidR="006E052A" w:rsidRPr="00697554">
              <w:rPr>
                <w:rFonts w:ascii="Times New Roman" w:hAnsi="Times New Roman" w:cs="Times New Roman"/>
                <w:i/>
                <w:sz w:val="20"/>
                <w:szCs w:val="20"/>
              </w:rPr>
              <w:t>or</w:t>
            </w:r>
          </w:p>
        </w:tc>
        <w:tc>
          <w:tcPr>
            <w:tcW w:w="1081" w:type="dxa"/>
            <w:vAlign w:val="center"/>
          </w:tcPr>
          <w:p w14:paraId="2B3B7F84" w14:textId="77777777" w:rsidR="006E052A" w:rsidRPr="00697554" w:rsidRDefault="006E052A" w:rsidP="00E964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697554">
              <w:rPr>
                <w:rFonts w:ascii="Times New Roman" w:hAnsi="Times New Roman" w:cs="Times New Roman"/>
                <w:i/>
                <w:sz w:val="20"/>
                <w:szCs w:val="20"/>
              </w:rPr>
              <w:t>Hilton</w:t>
            </w:r>
          </w:p>
        </w:tc>
        <w:tc>
          <w:tcPr>
            <w:tcW w:w="1275" w:type="dxa"/>
            <w:vAlign w:val="center"/>
          </w:tcPr>
          <w:p w14:paraId="2497C52B" w14:textId="77777777" w:rsidR="006E052A" w:rsidRPr="00697554" w:rsidRDefault="006E052A" w:rsidP="00E964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697554">
              <w:rPr>
                <w:rFonts w:ascii="Times New Roman" w:hAnsi="Times New Roman" w:cs="Times New Roman"/>
                <w:i/>
                <w:sz w:val="20"/>
                <w:szCs w:val="20"/>
              </w:rPr>
              <w:t>Marriot</w:t>
            </w:r>
          </w:p>
        </w:tc>
        <w:tc>
          <w:tcPr>
            <w:tcW w:w="1276" w:type="dxa"/>
            <w:vAlign w:val="center"/>
          </w:tcPr>
          <w:p w14:paraId="6D73D0C5" w14:textId="77777777" w:rsidR="006E052A" w:rsidRPr="00697554" w:rsidRDefault="006E052A" w:rsidP="00E9643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rPr>
            </w:pPr>
            <w:r w:rsidRPr="00697554">
              <w:rPr>
                <w:rFonts w:ascii="Times New Roman" w:hAnsi="Times New Roman" w:cs="Times New Roman"/>
                <w:i/>
                <w:sz w:val="20"/>
                <w:szCs w:val="20"/>
              </w:rPr>
              <w:t>Deutsche (HWorld)</w:t>
            </w:r>
          </w:p>
        </w:tc>
      </w:tr>
      <w:tr w:rsidR="006E052A" w:rsidRPr="00697554" w14:paraId="09B8D2F9" w14:textId="77777777" w:rsidTr="00405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6B13CBA"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Luksuzni (eng. Luxury)</w:t>
            </w:r>
          </w:p>
        </w:tc>
        <w:tc>
          <w:tcPr>
            <w:tcW w:w="851" w:type="dxa"/>
            <w:vAlign w:val="center"/>
          </w:tcPr>
          <w:p w14:paraId="38739A04" w14:textId="2DF3BB11"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5</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45E85B40" w14:textId="7A5C495C"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5" w:type="dxa"/>
            <w:vAlign w:val="center"/>
          </w:tcPr>
          <w:p w14:paraId="7E01913E" w14:textId="4177503C"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13</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6" w:type="dxa"/>
            <w:vAlign w:val="center"/>
          </w:tcPr>
          <w:p w14:paraId="1D2E066A" w14:textId="194DEF22"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083D0AC0" w14:textId="77777777" w:rsidTr="00405744">
        <w:tc>
          <w:tcPr>
            <w:cnfStyle w:val="001000000000" w:firstRow="0" w:lastRow="0" w:firstColumn="1" w:lastColumn="0" w:oddVBand="0" w:evenVBand="0" w:oddHBand="0" w:evenHBand="0" w:firstRowFirstColumn="0" w:firstRowLastColumn="0" w:lastRowFirstColumn="0" w:lastRowLastColumn="0"/>
            <w:tcW w:w="2830" w:type="dxa"/>
          </w:tcPr>
          <w:p w14:paraId="1282525B"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 xml:space="preserve">Viša razina (eng. Upper Scale) </w:t>
            </w:r>
          </w:p>
        </w:tc>
        <w:tc>
          <w:tcPr>
            <w:tcW w:w="851" w:type="dxa"/>
            <w:vAlign w:val="center"/>
          </w:tcPr>
          <w:p w14:paraId="2C9E33DE" w14:textId="5DDB9CF4"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27</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4C389813" w14:textId="4D211FEC"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47</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5" w:type="dxa"/>
            <w:vAlign w:val="center"/>
          </w:tcPr>
          <w:p w14:paraId="322EF53C" w14:textId="72760984"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30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6" w:type="dxa"/>
            <w:vAlign w:val="center"/>
          </w:tcPr>
          <w:p w14:paraId="4E82BA97" w14:textId="355806DD"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0478619E" w14:textId="77777777" w:rsidTr="00405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8D21DB3"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Otmjeni  (eng. Upscale)</w:t>
            </w:r>
          </w:p>
        </w:tc>
        <w:tc>
          <w:tcPr>
            <w:tcW w:w="851" w:type="dxa"/>
            <w:vAlign w:val="center"/>
          </w:tcPr>
          <w:p w14:paraId="1FCA2D7A" w14:textId="0D0C1425"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24</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2A3F65CE" w14:textId="236D8A56"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79</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5" w:type="dxa"/>
            <w:vAlign w:val="center"/>
          </w:tcPr>
          <w:p w14:paraId="5D316A6C" w14:textId="3C60D63D"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41</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6" w:type="dxa"/>
            <w:vAlign w:val="center"/>
          </w:tcPr>
          <w:p w14:paraId="4BCCA23A" w14:textId="6A07C98F"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14</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5F0E4348" w14:textId="77777777" w:rsidTr="00405744">
        <w:tc>
          <w:tcPr>
            <w:cnfStyle w:val="001000000000" w:firstRow="0" w:lastRow="0" w:firstColumn="1" w:lastColumn="0" w:oddVBand="0" w:evenVBand="0" w:oddHBand="0" w:evenHBand="0" w:firstRowFirstColumn="0" w:firstRowLastColumn="0" w:lastRowFirstColumn="0" w:lastRowLastColumn="0"/>
            <w:tcW w:w="2830" w:type="dxa"/>
          </w:tcPr>
          <w:p w14:paraId="19459602"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Viša razina srednje klase (eng. Upper Midscale)</w:t>
            </w:r>
          </w:p>
        </w:tc>
        <w:tc>
          <w:tcPr>
            <w:tcW w:w="851" w:type="dxa"/>
            <w:vAlign w:val="center"/>
          </w:tcPr>
          <w:p w14:paraId="1D9899A1" w14:textId="47CC6644"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59</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024A733C" w14:textId="077C0716"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81</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5" w:type="dxa"/>
            <w:vAlign w:val="center"/>
          </w:tcPr>
          <w:p w14:paraId="7D336BAE" w14:textId="3C289C4D"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60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6" w:type="dxa"/>
            <w:vAlign w:val="center"/>
          </w:tcPr>
          <w:p w14:paraId="38B6FCD5" w14:textId="7D01107C"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7B3AD9FB" w14:textId="77777777" w:rsidTr="00405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137FB12"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Srednja klasa (eng. Midscale)</w:t>
            </w:r>
          </w:p>
        </w:tc>
        <w:tc>
          <w:tcPr>
            <w:tcW w:w="851" w:type="dxa"/>
            <w:vAlign w:val="center"/>
          </w:tcPr>
          <w:p w14:paraId="1BA7BA2F" w14:textId="2CE24F12"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52</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0C9E4BFC" w14:textId="77777777"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w:t>
            </w:r>
          </w:p>
        </w:tc>
        <w:tc>
          <w:tcPr>
            <w:tcW w:w="1275" w:type="dxa"/>
            <w:vAlign w:val="center"/>
          </w:tcPr>
          <w:p w14:paraId="2FD5AAC9" w14:textId="77777777"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w:t>
            </w:r>
          </w:p>
        </w:tc>
        <w:tc>
          <w:tcPr>
            <w:tcW w:w="1276" w:type="dxa"/>
            <w:vAlign w:val="center"/>
          </w:tcPr>
          <w:p w14:paraId="3305A940" w14:textId="72889532"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7</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1DF05744" w14:textId="77777777" w:rsidTr="00405744">
        <w:tc>
          <w:tcPr>
            <w:cnfStyle w:val="001000000000" w:firstRow="0" w:lastRow="0" w:firstColumn="1" w:lastColumn="0" w:oddVBand="0" w:evenVBand="0" w:oddHBand="0" w:evenHBand="0" w:firstRowFirstColumn="0" w:firstRowLastColumn="0" w:lastRowFirstColumn="0" w:lastRowLastColumn="0"/>
            <w:tcW w:w="2830" w:type="dxa"/>
          </w:tcPr>
          <w:p w14:paraId="1BC97B4E" w14:textId="77777777" w:rsidR="006E052A" w:rsidRPr="00697554" w:rsidRDefault="006E052A" w:rsidP="006E052A">
            <w:pPr>
              <w:spacing w:line="360" w:lineRule="auto"/>
              <w:jc w:val="both"/>
              <w:rPr>
                <w:rFonts w:ascii="Times New Roman" w:hAnsi="Times New Roman" w:cs="Times New Roman"/>
                <w:i/>
                <w:sz w:val="20"/>
                <w:szCs w:val="20"/>
              </w:rPr>
            </w:pPr>
            <w:r w:rsidRPr="00697554">
              <w:rPr>
                <w:rFonts w:ascii="Times New Roman" w:hAnsi="Times New Roman" w:cs="Times New Roman"/>
                <w:i/>
                <w:sz w:val="20"/>
                <w:szCs w:val="20"/>
              </w:rPr>
              <w:t>Ekonomska razina (eng. Economy)</w:t>
            </w:r>
          </w:p>
        </w:tc>
        <w:tc>
          <w:tcPr>
            <w:tcW w:w="851" w:type="dxa"/>
            <w:vAlign w:val="center"/>
          </w:tcPr>
          <w:p w14:paraId="1B8C2266" w14:textId="01004048"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52</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6A106C55" w14:textId="77777777"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w:t>
            </w:r>
          </w:p>
        </w:tc>
        <w:tc>
          <w:tcPr>
            <w:tcW w:w="1275" w:type="dxa"/>
            <w:vAlign w:val="center"/>
          </w:tcPr>
          <w:p w14:paraId="1318EB73" w14:textId="77777777"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w:t>
            </w:r>
          </w:p>
        </w:tc>
        <w:tc>
          <w:tcPr>
            <w:tcW w:w="1276" w:type="dxa"/>
            <w:vAlign w:val="center"/>
          </w:tcPr>
          <w:p w14:paraId="3E0D43D7" w14:textId="2EA106A4" w:rsidR="006E052A" w:rsidRPr="00697554" w:rsidRDefault="006E052A" w:rsidP="00E9643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2</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r w:rsidR="006E052A" w:rsidRPr="00697554" w14:paraId="542AC393" w14:textId="77777777" w:rsidTr="004057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8507C1C" w14:textId="77777777" w:rsidR="006E052A" w:rsidRPr="00697554" w:rsidRDefault="006E052A" w:rsidP="006E052A">
            <w:pPr>
              <w:spacing w:line="360" w:lineRule="auto"/>
              <w:jc w:val="both"/>
              <w:rPr>
                <w:rFonts w:ascii="Times New Roman" w:hAnsi="Times New Roman" w:cs="Times New Roman"/>
                <w:sz w:val="20"/>
                <w:szCs w:val="20"/>
              </w:rPr>
            </w:pPr>
            <w:r w:rsidRPr="00697554">
              <w:rPr>
                <w:rFonts w:ascii="Times New Roman" w:hAnsi="Times New Roman" w:cs="Times New Roman"/>
                <w:sz w:val="20"/>
                <w:szCs w:val="20"/>
              </w:rPr>
              <w:t xml:space="preserve">Ukupno </w:t>
            </w:r>
          </w:p>
        </w:tc>
        <w:tc>
          <w:tcPr>
            <w:tcW w:w="851" w:type="dxa"/>
            <w:vAlign w:val="center"/>
          </w:tcPr>
          <w:p w14:paraId="32B5FEB0" w14:textId="01AEBC5D"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40</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081" w:type="dxa"/>
            <w:vAlign w:val="center"/>
          </w:tcPr>
          <w:p w14:paraId="0AF8687A" w14:textId="277CE3BA"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62</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5" w:type="dxa"/>
            <w:vAlign w:val="center"/>
          </w:tcPr>
          <w:p w14:paraId="76CCCF2F" w14:textId="7D390E6C"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32</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c>
          <w:tcPr>
            <w:tcW w:w="1276" w:type="dxa"/>
            <w:vAlign w:val="center"/>
          </w:tcPr>
          <w:p w14:paraId="2A352720" w14:textId="10EB5177" w:rsidR="006E052A" w:rsidRPr="00697554" w:rsidRDefault="006E052A" w:rsidP="00E9643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97554">
              <w:rPr>
                <w:rFonts w:ascii="Times New Roman" w:hAnsi="Times New Roman" w:cs="Times New Roman"/>
                <w:sz w:val="20"/>
                <w:szCs w:val="20"/>
              </w:rPr>
              <w:t>8</w:t>
            </w:r>
            <w:r w:rsidR="00405744" w:rsidRPr="00697554">
              <w:rPr>
                <w:rFonts w:ascii="Times New Roman" w:hAnsi="Times New Roman" w:cs="Times New Roman"/>
                <w:sz w:val="20"/>
                <w:szCs w:val="20"/>
              </w:rPr>
              <w:t xml:space="preserve"> </w:t>
            </w:r>
            <w:r w:rsidRPr="00697554">
              <w:rPr>
                <w:rFonts w:ascii="Times New Roman" w:hAnsi="Times New Roman" w:cs="Times New Roman"/>
                <w:sz w:val="20"/>
                <w:szCs w:val="20"/>
              </w:rPr>
              <w:t>%</w:t>
            </w:r>
          </w:p>
        </w:tc>
      </w:tr>
    </w:tbl>
    <w:p w14:paraId="079DCD26" w14:textId="77777777" w:rsidR="006E052A" w:rsidRPr="00BE5472" w:rsidRDefault="006E052A" w:rsidP="006E052A">
      <w:pPr>
        <w:spacing w:line="360" w:lineRule="auto"/>
        <w:jc w:val="both"/>
        <w:rPr>
          <w:rFonts w:ascii="Times New Roman" w:hAnsi="Times New Roman" w:cs="Times New Roman"/>
          <w:bCs/>
          <w:kern w:val="2"/>
          <w:sz w:val="24"/>
          <w:szCs w:val="24"/>
          <w:lang w:val="it-IT"/>
          <w14:ligatures w14:val="standardContextual"/>
        </w:rPr>
      </w:pPr>
      <w:r w:rsidRPr="00BE5472">
        <w:rPr>
          <w:rFonts w:ascii="Times New Roman" w:hAnsi="Times New Roman" w:cs="Times New Roman"/>
          <w:kern w:val="2"/>
          <w:sz w:val="24"/>
          <w:szCs w:val="24"/>
          <w14:ligatures w14:val="standardContextual"/>
        </w:rPr>
        <w:t xml:space="preserve">Izvor: Prilagođeno prema: HVS (2022). </w:t>
      </w:r>
      <w:r w:rsidRPr="00BE5472">
        <w:rPr>
          <w:rFonts w:ascii="Times New Roman" w:hAnsi="Times New Roman" w:cs="Times New Roman"/>
          <w:bCs/>
          <w:kern w:val="2"/>
          <w:sz w:val="24"/>
          <w:szCs w:val="24"/>
          <w:lang w:val="en-US"/>
          <w14:ligatures w14:val="standardContextual"/>
        </w:rPr>
        <w:t xml:space="preserve">Hotel Franchising in Europe – The Push Continues for New Ways to Expand. </w:t>
      </w:r>
      <w:r w:rsidRPr="00BE5472">
        <w:rPr>
          <w:rFonts w:ascii="Times New Roman" w:hAnsi="Times New Roman" w:cs="Times New Roman"/>
          <w:bCs/>
          <w:kern w:val="2"/>
          <w:sz w:val="24"/>
          <w:szCs w:val="24"/>
          <w:lang w:val="it-IT"/>
          <w14:ligatures w14:val="standardContextual"/>
        </w:rPr>
        <w:t xml:space="preserve">Dostupno na: </w:t>
      </w:r>
      <w:hyperlink r:id="rId55" w:history="1">
        <w:r w:rsidRPr="00BE5472">
          <w:rPr>
            <w:rFonts w:ascii="Times New Roman" w:hAnsi="Times New Roman" w:cs="Times New Roman"/>
            <w:bCs/>
            <w:color w:val="0563C1" w:themeColor="hyperlink"/>
            <w:kern w:val="2"/>
            <w:sz w:val="24"/>
            <w:szCs w:val="24"/>
            <w:u w:val="single"/>
            <w:lang w:val="it-IT"/>
            <w14:ligatures w14:val="standardContextual"/>
          </w:rPr>
          <w:t>https://www.hvs.com/article/9474-hotel-franchising-in-europe-the-push-continues-for-new-ways-to-expand</w:t>
        </w:r>
      </w:hyperlink>
      <w:r w:rsidRPr="00BE5472">
        <w:rPr>
          <w:rFonts w:ascii="Times New Roman" w:hAnsi="Times New Roman" w:cs="Times New Roman"/>
          <w:bCs/>
          <w:kern w:val="2"/>
          <w:sz w:val="24"/>
          <w:szCs w:val="24"/>
          <w:lang w:val="it-IT"/>
          <w14:ligatures w14:val="standardContextual"/>
        </w:rPr>
        <w:t xml:space="preserve"> Pristupljeno: 21. ožujka 2024. </w:t>
      </w:r>
    </w:p>
    <w:p w14:paraId="4BD3F01D" w14:textId="77777777" w:rsidR="006E052A" w:rsidRPr="00BE5472" w:rsidRDefault="006E052A" w:rsidP="006E052A">
      <w:pPr>
        <w:spacing w:line="360" w:lineRule="auto"/>
        <w:jc w:val="both"/>
        <w:rPr>
          <w:rFonts w:ascii="Times New Roman" w:hAnsi="Times New Roman" w:cs="Times New Roman"/>
          <w:bCs/>
          <w:kern w:val="2"/>
          <w:sz w:val="24"/>
          <w:szCs w:val="24"/>
          <w:lang w:val="it-IT"/>
          <w14:ligatures w14:val="standardContextual"/>
        </w:rPr>
      </w:pPr>
    </w:p>
    <w:p w14:paraId="1CAF630D" w14:textId="129BBE65" w:rsidR="006E052A" w:rsidRPr="004756DA" w:rsidRDefault="004756DA" w:rsidP="004756DA">
      <w:pPr>
        <w:pStyle w:val="Caption"/>
        <w:rPr>
          <w:rFonts w:ascii="Times New Roman" w:hAnsi="Times New Roman" w:cs="Times New Roman"/>
          <w:kern w:val="2"/>
          <w:sz w:val="24"/>
          <w:szCs w:val="24"/>
          <w:lang w:val="it-IT"/>
          <w14:ligatures w14:val="standardContextual"/>
        </w:rPr>
      </w:pPr>
      <w:bookmarkStart w:id="112" w:name="_Toc241865203"/>
      <w:r w:rsidRPr="004756DA">
        <w:rPr>
          <w:rFonts w:ascii="Times New Roman" w:hAnsi="Times New Roman" w:cs="Times New Roman"/>
          <w:sz w:val="24"/>
          <w:szCs w:val="24"/>
        </w:rPr>
        <w:lastRenderedPageBreak/>
        <w:t xml:space="preserve">Tablica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Tablica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9</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lang w:val="it-IT"/>
          <w14:ligatures w14:val="standardContextual"/>
        </w:rPr>
        <w:t>: Hotelski lanci u Europi i njihovi kapaciteti pod franšizom, upravljanjem ili u vlasništvu</w:t>
      </w:r>
      <w:bookmarkEnd w:id="112"/>
      <w:r w:rsidR="006E052A" w:rsidRPr="004756DA">
        <w:rPr>
          <w:rFonts w:ascii="Times New Roman" w:hAnsi="Times New Roman" w:cs="Times New Roman"/>
          <w:kern w:val="2"/>
          <w:sz w:val="24"/>
          <w:szCs w:val="24"/>
          <w:lang w:val="it-IT"/>
          <w14:ligatures w14:val="standardContextual"/>
        </w:rPr>
        <w:t xml:space="preserve"> </w:t>
      </w:r>
    </w:p>
    <w:tbl>
      <w:tblPr>
        <w:tblStyle w:val="Obinatablica11"/>
        <w:tblW w:w="0" w:type="auto"/>
        <w:tblLook w:val="04A0" w:firstRow="1" w:lastRow="0" w:firstColumn="1" w:lastColumn="0" w:noHBand="0" w:noVBand="1"/>
      </w:tblPr>
      <w:tblGrid>
        <w:gridCol w:w="1310"/>
        <w:gridCol w:w="1046"/>
        <w:gridCol w:w="626"/>
        <w:gridCol w:w="1000"/>
        <w:gridCol w:w="577"/>
        <w:gridCol w:w="1172"/>
        <w:gridCol w:w="993"/>
        <w:gridCol w:w="996"/>
        <w:gridCol w:w="1630"/>
      </w:tblGrid>
      <w:tr w:rsidR="006E052A" w:rsidRPr="00BE5472" w14:paraId="56C2CEE6" w14:textId="77777777" w:rsidTr="00665E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0F77AD63" w14:textId="77777777" w:rsidR="006E052A" w:rsidRPr="00BE5472" w:rsidRDefault="006E052A" w:rsidP="006E052A">
            <w:pPr>
              <w:spacing w:line="360" w:lineRule="auto"/>
              <w:jc w:val="both"/>
              <w:rPr>
                <w:rFonts w:ascii="Times New Roman" w:hAnsi="Times New Roman" w:cs="Times New Roman"/>
                <w:sz w:val="24"/>
                <w:szCs w:val="24"/>
                <w:lang w:val="it-IT"/>
              </w:rPr>
            </w:pPr>
          </w:p>
        </w:tc>
        <w:tc>
          <w:tcPr>
            <w:tcW w:w="1691" w:type="dxa"/>
            <w:gridSpan w:val="2"/>
          </w:tcPr>
          <w:p w14:paraId="7D436343" w14:textId="3B0337F5" w:rsidR="006E052A" w:rsidRPr="00BE5472" w:rsidRDefault="006B1B43" w:rsidP="006E05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lang w:val="it-IT"/>
              </w:rPr>
            </w:pPr>
            <w:r w:rsidRPr="00BE5472">
              <w:rPr>
                <w:rFonts w:ascii="Times New Roman" w:hAnsi="Times New Roman" w:cs="Times New Roman"/>
                <w:i/>
                <w:sz w:val="24"/>
                <w:szCs w:val="24"/>
                <w:lang w:val="it-IT"/>
              </w:rPr>
              <w:t>P</w:t>
            </w:r>
            <w:r w:rsidR="006E052A" w:rsidRPr="00BE5472">
              <w:rPr>
                <w:rFonts w:ascii="Times New Roman" w:hAnsi="Times New Roman" w:cs="Times New Roman"/>
                <w:i/>
                <w:sz w:val="24"/>
                <w:szCs w:val="24"/>
                <w:lang w:val="it-IT"/>
              </w:rPr>
              <w:t>od franšizom</w:t>
            </w:r>
          </w:p>
        </w:tc>
        <w:tc>
          <w:tcPr>
            <w:tcW w:w="1585" w:type="dxa"/>
            <w:gridSpan w:val="2"/>
          </w:tcPr>
          <w:p w14:paraId="1D43F94D" w14:textId="125435D0" w:rsidR="006E052A" w:rsidRPr="00BE5472" w:rsidRDefault="006B1B43" w:rsidP="00665E5E">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lang w:val="it-IT"/>
              </w:rPr>
            </w:pPr>
            <w:r w:rsidRPr="00BE5472">
              <w:rPr>
                <w:rFonts w:ascii="Times New Roman" w:hAnsi="Times New Roman" w:cs="Times New Roman"/>
                <w:i/>
                <w:sz w:val="24"/>
                <w:szCs w:val="24"/>
                <w:lang w:val="it-IT"/>
              </w:rPr>
              <w:t>P</w:t>
            </w:r>
            <w:r w:rsidR="006E052A" w:rsidRPr="00BE5472">
              <w:rPr>
                <w:rFonts w:ascii="Times New Roman" w:hAnsi="Times New Roman" w:cs="Times New Roman"/>
                <w:i/>
                <w:sz w:val="24"/>
                <w:szCs w:val="24"/>
                <w:lang w:val="it-IT"/>
              </w:rPr>
              <w:t>od upravljanjem</w:t>
            </w:r>
          </w:p>
        </w:tc>
        <w:tc>
          <w:tcPr>
            <w:tcW w:w="2213" w:type="dxa"/>
            <w:gridSpan w:val="2"/>
          </w:tcPr>
          <w:p w14:paraId="53BFD178" w14:textId="1EFDE6F3" w:rsidR="006E052A" w:rsidRPr="00BE5472" w:rsidRDefault="006B1B43" w:rsidP="006E05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lang w:val="it-IT"/>
              </w:rPr>
            </w:pPr>
            <w:r w:rsidRPr="00BE5472">
              <w:rPr>
                <w:rFonts w:ascii="Times New Roman" w:hAnsi="Times New Roman" w:cs="Times New Roman"/>
                <w:i/>
                <w:sz w:val="24"/>
                <w:szCs w:val="24"/>
                <w:lang w:val="it-IT"/>
              </w:rPr>
              <w:t xml:space="preserve">U </w:t>
            </w:r>
            <w:r w:rsidR="006E052A" w:rsidRPr="00BE5472">
              <w:rPr>
                <w:rFonts w:ascii="Times New Roman" w:hAnsi="Times New Roman" w:cs="Times New Roman"/>
                <w:i/>
                <w:sz w:val="24"/>
                <w:szCs w:val="24"/>
                <w:lang w:val="it-IT"/>
              </w:rPr>
              <w:t>vlasništvu/najmu</w:t>
            </w:r>
          </w:p>
        </w:tc>
        <w:tc>
          <w:tcPr>
            <w:tcW w:w="2551" w:type="dxa"/>
            <w:gridSpan w:val="2"/>
          </w:tcPr>
          <w:p w14:paraId="00D3C1EA" w14:textId="77777777" w:rsidR="006E052A" w:rsidRPr="00BE5472" w:rsidRDefault="006E052A" w:rsidP="006E05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4"/>
                <w:szCs w:val="24"/>
                <w:lang w:val="it-IT"/>
              </w:rPr>
            </w:pPr>
            <w:r w:rsidRPr="00BE5472">
              <w:rPr>
                <w:rFonts w:ascii="Times New Roman" w:hAnsi="Times New Roman" w:cs="Times New Roman"/>
                <w:i/>
                <w:sz w:val="24"/>
                <w:szCs w:val="24"/>
                <w:lang w:val="it-IT"/>
              </w:rPr>
              <w:t>UKUPNO</w:t>
            </w:r>
          </w:p>
        </w:tc>
      </w:tr>
      <w:tr w:rsidR="006E052A" w:rsidRPr="00BE5472" w14:paraId="0A01983F" w14:textId="77777777" w:rsidTr="00665E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0A8843CC" w14:textId="289CB7D5" w:rsidR="006E052A" w:rsidRPr="00BE5472" w:rsidRDefault="006B1B43" w:rsidP="00665E5E">
            <w:pPr>
              <w:spacing w:line="360" w:lineRule="auto"/>
              <w:rPr>
                <w:rFonts w:ascii="Times New Roman" w:hAnsi="Times New Roman" w:cs="Times New Roman"/>
                <w:sz w:val="24"/>
                <w:szCs w:val="24"/>
                <w:lang w:val="it-IT"/>
              </w:rPr>
            </w:pPr>
            <w:r w:rsidRPr="00BE5472">
              <w:rPr>
                <w:rFonts w:ascii="Times New Roman" w:hAnsi="Times New Roman" w:cs="Times New Roman"/>
                <w:sz w:val="24"/>
                <w:szCs w:val="24"/>
                <w:lang w:val="it-IT"/>
              </w:rPr>
              <w:t>L</w:t>
            </w:r>
            <w:r w:rsidR="006E052A" w:rsidRPr="00BE5472">
              <w:rPr>
                <w:rFonts w:ascii="Times New Roman" w:hAnsi="Times New Roman" w:cs="Times New Roman"/>
                <w:sz w:val="24"/>
                <w:szCs w:val="24"/>
                <w:lang w:val="it-IT"/>
              </w:rPr>
              <w:t>anac</w:t>
            </w:r>
          </w:p>
        </w:tc>
        <w:tc>
          <w:tcPr>
            <w:tcW w:w="1056" w:type="dxa"/>
          </w:tcPr>
          <w:p w14:paraId="289D99D1" w14:textId="06CB2839" w:rsidR="006E052A" w:rsidRPr="00BE5472" w:rsidRDefault="00665E5E"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S</w:t>
            </w:r>
            <w:r w:rsidR="006E052A" w:rsidRPr="00BE5472">
              <w:rPr>
                <w:rFonts w:ascii="Times New Roman" w:hAnsi="Times New Roman" w:cs="Times New Roman"/>
                <w:b/>
                <w:sz w:val="24"/>
                <w:szCs w:val="24"/>
                <w:lang w:val="it-IT"/>
              </w:rPr>
              <w:t>obe</w:t>
            </w:r>
          </w:p>
        </w:tc>
        <w:tc>
          <w:tcPr>
            <w:tcW w:w="635" w:type="dxa"/>
          </w:tcPr>
          <w:p w14:paraId="41229CF3" w14:textId="77777777" w:rsidR="006E052A" w:rsidRPr="00BE5472" w:rsidRDefault="006E052A"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w:t>
            </w:r>
          </w:p>
        </w:tc>
        <w:tc>
          <w:tcPr>
            <w:tcW w:w="1000" w:type="dxa"/>
          </w:tcPr>
          <w:p w14:paraId="67EBEEB1" w14:textId="425A72A3" w:rsidR="006E052A" w:rsidRPr="00BE5472" w:rsidRDefault="00665E5E"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S</w:t>
            </w:r>
            <w:r w:rsidR="006E052A" w:rsidRPr="00BE5472">
              <w:rPr>
                <w:rFonts w:ascii="Times New Roman" w:hAnsi="Times New Roman" w:cs="Times New Roman"/>
                <w:b/>
                <w:sz w:val="24"/>
                <w:szCs w:val="24"/>
                <w:lang w:val="it-IT"/>
              </w:rPr>
              <w:t>obe</w:t>
            </w:r>
          </w:p>
        </w:tc>
        <w:tc>
          <w:tcPr>
            <w:tcW w:w="585" w:type="dxa"/>
          </w:tcPr>
          <w:p w14:paraId="6130E307" w14:textId="77777777" w:rsidR="006E052A" w:rsidRPr="00BE5472" w:rsidRDefault="006E052A"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w:t>
            </w:r>
          </w:p>
        </w:tc>
        <w:tc>
          <w:tcPr>
            <w:tcW w:w="1172" w:type="dxa"/>
          </w:tcPr>
          <w:p w14:paraId="2B825E82" w14:textId="0315F674" w:rsidR="006E052A" w:rsidRPr="00BE5472" w:rsidRDefault="00240E7A"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S</w:t>
            </w:r>
            <w:r w:rsidR="006E052A" w:rsidRPr="00BE5472">
              <w:rPr>
                <w:rFonts w:ascii="Times New Roman" w:hAnsi="Times New Roman" w:cs="Times New Roman"/>
                <w:b/>
                <w:sz w:val="24"/>
                <w:szCs w:val="24"/>
                <w:lang w:val="it-IT"/>
              </w:rPr>
              <w:t>obe</w:t>
            </w:r>
          </w:p>
        </w:tc>
        <w:tc>
          <w:tcPr>
            <w:tcW w:w="1041" w:type="dxa"/>
          </w:tcPr>
          <w:p w14:paraId="43706855" w14:textId="77777777" w:rsidR="006E052A" w:rsidRPr="00BE5472" w:rsidRDefault="006E052A"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w:t>
            </w:r>
          </w:p>
        </w:tc>
        <w:tc>
          <w:tcPr>
            <w:tcW w:w="921" w:type="dxa"/>
          </w:tcPr>
          <w:p w14:paraId="4A5F6D2E" w14:textId="16C91022" w:rsidR="006E052A" w:rsidRPr="00BE5472" w:rsidRDefault="00240E7A" w:rsidP="006E052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S</w:t>
            </w:r>
            <w:r w:rsidR="006E052A" w:rsidRPr="00BE5472">
              <w:rPr>
                <w:rFonts w:ascii="Times New Roman" w:hAnsi="Times New Roman" w:cs="Times New Roman"/>
                <w:b/>
                <w:sz w:val="24"/>
                <w:szCs w:val="24"/>
                <w:lang w:val="it-IT"/>
              </w:rPr>
              <w:t>obe</w:t>
            </w:r>
          </w:p>
        </w:tc>
        <w:tc>
          <w:tcPr>
            <w:tcW w:w="1630" w:type="dxa"/>
          </w:tcPr>
          <w:p w14:paraId="49EC518E" w14:textId="5DABB50F" w:rsidR="006E052A" w:rsidRPr="00BE5472" w:rsidRDefault="00240E7A" w:rsidP="0039702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it-IT"/>
              </w:rPr>
            </w:pPr>
            <w:r w:rsidRPr="00BE5472">
              <w:rPr>
                <w:rFonts w:ascii="Times New Roman" w:hAnsi="Times New Roman" w:cs="Times New Roman"/>
                <w:b/>
                <w:sz w:val="24"/>
                <w:szCs w:val="24"/>
                <w:lang w:val="it-IT"/>
              </w:rPr>
              <w:t>R</w:t>
            </w:r>
            <w:r w:rsidR="006E052A" w:rsidRPr="00BE5472">
              <w:rPr>
                <w:rFonts w:ascii="Times New Roman" w:hAnsi="Times New Roman" w:cs="Times New Roman"/>
                <w:b/>
                <w:sz w:val="24"/>
                <w:szCs w:val="24"/>
                <w:lang w:val="it-IT"/>
              </w:rPr>
              <w:t>egija</w:t>
            </w:r>
          </w:p>
        </w:tc>
      </w:tr>
      <w:tr w:rsidR="006E052A" w:rsidRPr="00BE5472" w14:paraId="0D433E2A"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7A3A4C53"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Accor</w:t>
            </w:r>
          </w:p>
        </w:tc>
        <w:tc>
          <w:tcPr>
            <w:tcW w:w="1056" w:type="dxa"/>
            <w:vAlign w:val="center"/>
          </w:tcPr>
          <w:p w14:paraId="298F0922"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180.955</w:t>
            </w:r>
          </w:p>
        </w:tc>
        <w:tc>
          <w:tcPr>
            <w:tcW w:w="635" w:type="dxa"/>
            <w:vAlign w:val="center"/>
          </w:tcPr>
          <w:p w14:paraId="6F5E364A"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53</w:t>
            </w:r>
          </w:p>
        </w:tc>
        <w:tc>
          <w:tcPr>
            <w:tcW w:w="1000" w:type="dxa"/>
            <w:vAlign w:val="center"/>
          </w:tcPr>
          <w:p w14:paraId="0C55A607"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158.513</w:t>
            </w:r>
          </w:p>
        </w:tc>
        <w:tc>
          <w:tcPr>
            <w:tcW w:w="585" w:type="dxa"/>
            <w:vAlign w:val="center"/>
          </w:tcPr>
          <w:p w14:paraId="4CCF18CF"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46</w:t>
            </w:r>
          </w:p>
        </w:tc>
        <w:tc>
          <w:tcPr>
            <w:tcW w:w="1172" w:type="dxa"/>
            <w:vAlign w:val="center"/>
          </w:tcPr>
          <w:p w14:paraId="3FF794DE"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2.976</w:t>
            </w:r>
          </w:p>
        </w:tc>
        <w:tc>
          <w:tcPr>
            <w:tcW w:w="1041" w:type="dxa"/>
            <w:vAlign w:val="center"/>
          </w:tcPr>
          <w:p w14:paraId="1816D00F"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w:t>
            </w:r>
          </w:p>
        </w:tc>
        <w:tc>
          <w:tcPr>
            <w:tcW w:w="921" w:type="dxa"/>
            <w:vAlign w:val="center"/>
          </w:tcPr>
          <w:p w14:paraId="3E3886E6"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342.444</w:t>
            </w:r>
          </w:p>
        </w:tc>
        <w:tc>
          <w:tcPr>
            <w:tcW w:w="1630" w:type="dxa"/>
          </w:tcPr>
          <w:p w14:paraId="199BE8EB"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Europa</w:t>
            </w:r>
          </w:p>
        </w:tc>
      </w:tr>
      <w:tr w:rsidR="006E052A" w:rsidRPr="00BE5472" w14:paraId="0751DCF5" w14:textId="77777777" w:rsidTr="00240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67B48CF9"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IHG</w:t>
            </w:r>
          </w:p>
        </w:tc>
        <w:tc>
          <w:tcPr>
            <w:tcW w:w="1056" w:type="dxa"/>
            <w:vAlign w:val="center"/>
          </w:tcPr>
          <w:p w14:paraId="149123BF"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125.707</w:t>
            </w:r>
          </w:p>
        </w:tc>
        <w:tc>
          <w:tcPr>
            <w:tcW w:w="635" w:type="dxa"/>
            <w:vAlign w:val="center"/>
          </w:tcPr>
          <w:p w14:paraId="1F151075"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56</w:t>
            </w:r>
          </w:p>
        </w:tc>
        <w:tc>
          <w:tcPr>
            <w:tcW w:w="1000" w:type="dxa"/>
            <w:vAlign w:val="center"/>
          </w:tcPr>
          <w:p w14:paraId="06252995"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95.199</w:t>
            </w:r>
          </w:p>
        </w:tc>
        <w:tc>
          <w:tcPr>
            <w:tcW w:w="585" w:type="dxa"/>
            <w:vAlign w:val="center"/>
          </w:tcPr>
          <w:p w14:paraId="5AB8DAC5"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42</w:t>
            </w:r>
          </w:p>
        </w:tc>
        <w:tc>
          <w:tcPr>
            <w:tcW w:w="1172" w:type="dxa"/>
            <w:vAlign w:val="center"/>
          </w:tcPr>
          <w:p w14:paraId="00ADA6C4"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3.294</w:t>
            </w:r>
          </w:p>
        </w:tc>
        <w:tc>
          <w:tcPr>
            <w:tcW w:w="1041" w:type="dxa"/>
            <w:vAlign w:val="center"/>
          </w:tcPr>
          <w:p w14:paraId="20E34F99"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w:t>
            </w:r>
          </w:p>
        </w:tc>
        <w:tc>
          <w:tcPr>
            <w:tcW w:w="921" w:type="dxa"/>
            <w:vAlign w:val="center"/>
          </w:tcPr>
          <w:p w14:paraId="4B71625F"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224.200</w:t>
            </w:r>
          </w:p>
        </w:tc>
        <w:tc>
          <w:tcPr>
            <w:tcW w:w="1630" w:type="dxa"/>
          </w:tcPr>
          <w:p w14:paraId="57D7A7EC" w14:textId="77777777" w:rsidR="006E052A" w:rsidRPr="00BE5472" w:rsidRDefault="006E052A" w:rsidP="006E052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EMEA</w:t>
            </w:r>
            <w:r w:rsidRPr="00BE5472">
              <w:rPr>
                <w:rFonts w:ascii="Times New Roman" w:hAnsi="Times New Roman" w:cs="Times New Roman"/>
                <w:sz w:val="24"/>
                <w:szCs w:val="24"/>
                <w:vertAlign w:val="superscript"/>
                <w:lang w:val="it-IT"/>
              </w:rPr>
              <w:footnoteReference w:id="3"/>
            </w:r>
          </w:p>
        </w:tc>
      </w:tr>
      <w:tr w:rsidR="006E052A" w:rsidRPr="00BE5472" w14:paraId="3E28860A"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6A965CC5"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Marriott</w:t>
            </w:r>
          </w:p>
        </w:tc>
        <w:tc>
          <w:tcPr>
            <w:tcW w:w="1056" w:type="dxa"/>
            <w:vAlign w:val="center"/>
          </w:tcPr>
          <w:p w14:paraId="2571F37E"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166.821</w:t>
            </w:r>
          </w:p>
        </w:tc>
        <w:tc>
          <w:tcPr>
            <w:tcW w:w="635" w:type="dxa"/>
            <w:vAlign w:val="center"/>
          </w:tcPr>
          <w:p w14:paraId="1F970144"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32</w:t>
            </w:r>
          </w:p>
        </w:tc>
        <w:tc>
          <w:tcPr>
            <w:tcW w:w="1000" w:type="dxa"/>
            <w:vAlign w:val="center"/>
          </w:tcPr>
          <w:p w14:paraId="7F18550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333.745</w:t>
            </w:r>
          </w:p>
        </w:tc>
        <w:tc>
          <w:tcPr>
            <w:tcW w:w="585" w:type="dxa"/>
            <w:vAlign w:val="center"/>
          </w:tcPr>
          <w:p w14:paraId="6383111C"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65</w:t>
            </w:r>
          </w:p>
        </w:tc>
        <w:tc>
          <w:tcPr>
            <w:tcW w:w="1172" w:type="dxa"/>
            <w:vAlign w:val="center"/>
          </w:tcPr>
          <w:p w14:paraId="36344D1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16.545</w:t>
            </w:r>
          </w:p>
        </w:tc>
        <w:tc>
          <w:tcPr>
            <w:tcW w:w="1041" w:type="dxa"/>
            <w:vAlign w:val="center"/>
          </w:tcPr>
          <w:p w14:paraId="0F7E571B"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w:t>
            </w:r>
          </w:p>
        </w:tc>
        <w:tc>
          <w:tcPr>
            <w:tcW w:w="921" w:type="dxa"/>
            <w:vAlign w:val="center"/>
          </w:tcPr>
          <w:p w14:paraId="7CE061EC"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517.111</w:t>
            </w:r>
          </w:p>
        </w:tc>
        <w:tc>
          <w:tcPr>
            <w:tcW w:w="1630" w:type="dxa"/>
          </w:tcPr>
          <w:p w14:paraId="4719A700"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međunarodno</w:t>
            </w:r>
            <w:r w:rsidRPr="00BE5472">
              <w:rPr>
                <w:rFonts w:ascii="Times New Roman" w:hAnsi="Times New Roman" w:cs="Times New Roman"/>
                <w:sz w:val="24"/>
                <w:szCs w:val="24"/>
                <w:vertAlign w:val="superscript"/>
                <w:lang w:val="it-IT"/>
              </w:rPr>
              <w:footnoteReference w:id="4"/>
            </w:r>
          </w:p>
        </w:tc>
      </w:tr>
      <w:tr w:rsidR="006E052A" w:rsidRPr="00BE5472" w14:paraId="1D9DAF1A" w14:textId="77777777" w:rsidTr="00240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33AAFBB6"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Hyat</w:t>
            </w:r>
          </w:p>
        </w:tc>
        <w:tc>
          <w:tcPr>
            <w:tcW w:w="1056" w:type="dxa"/>
            <w:vAlign w:val="center"/>
          </w:tcPr>
          <w:p w14:paraId="418732EF"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5.210</w:t>
            </w:r>
          </w:p>
        </w:tc>
        <w:tc>
          <w:tcPr>
            <w:tcW w:w="635" w:type="dxa"/>
            <w:vAlign w:val="center"/>
          </w:tcPr>
          <w:p w14:paraId="7AB9CF0A"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12</w:t>
            </w:r>
          </w:p>
        </w:tc>
        <w:tc>
          <w:tcPr>
            <w:tcW w:w="1000" w:type="dxa"/>
            <w:vAlign w:val="center"/>
          </w:tcPr>
          <w:p w14:paraId="4548B921"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28.886</w:t>
            </w:r>
          </w:p>
        </w:tc>
        <w:tc>
          <w:tcPr>
            <w:tcW w:w="585" w:type="dxa"/>
            <w:vAlign w:val="center"/>
          </w:tcPr>
          <w:p w14:paraId="11F302A1"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65</w:t>
            </w:r>
          </w:p>
        </w:tc>
        <w:tc>
          <w:tcPr>
            <w:tcW w:w="1172" w:type="dxa"/>
            <w:vAlign w:val="center"/>
          </w:tcPr>
          <w:p w14:paraId="32B89396"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10.605</w:t>
            </w:r>
          </w:p>
        </w:tc>
        <w:tc>
          <w:tcPr>
            <w:tcW w:w="1041" w:type="dxa"/>
            <w:vAlign w:val="center"/>
          </w:tcPr>
          <w:p w14:paraId="6E02A4B3"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24</w:t>
            </w:r>
          </w:p>
        </w:tc>
        <w:tc>
          <w:tcPr>
            <w:tcW w:w="921" w:type="dxa"/>
            <w:vAlign w:val="center"/>
          </w:tcPr>
          <w:p w14:paraId="7675649B"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44.701</w:t>
            </w:r>
          </w:p>
        </w:tc>
        <w:tc>
          <w:tcPr>
            <w:tcW w:w="1630" w:type="dxa"/>
          </w:tcPr>
          <w:p w14:paraId="10A178A3" w14:textId="77777777" w:rsidR="006E052A" w:rsidRPr="00BE5472" w:rsidRDefault="006E052A" w:rsidP="006E052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EAME</w:t>
            </w:r>
            <w:r w:rsidRPr="00BE5472">
              <w:rPr>
                <w:rFonts w:ascii="Times New Roman" w:hAnsi="Times New Roman" w:cs="Times New Roman"/>
                <w:sz w:val="24"/>
                <w:szCs w:val="24"/>
                <w:vertAlign w:val="superscript"/>
                <w:lang w:val="it-IT"/>
              </w:rPr>
              <w:footnoteReference w:id="5"/>
            </w:r>
            <w:r w:rsidRPr="00BE5472">
              <w:rPr>
                <w:rFonts w:ascii="Times New Roman" w:hAnsi="Times New Roman" w:cs="Times New Roman"/>
                <w:sz w:val="24"/>
                <w:szCs w:val="24"/>
                <w:lang w:val="it-IT"/>
              </w:rPr>
              <w:t>/SWA</w:t>
            </w:r>
            <w:r w:rsidRPr="00BE5472">
              <w:rPr>
                <w:rFonts w:ascii="Times New Roman" w:hAnsi="Times New Roman" w:cs="Times New Roman"/>
                <w:sz w:val="24"/>
                <w:szCs w:val="24"/>
                <w:vertAlign w:val="superscript"/>
                <w:lang w:val="it-IT"/>
              </w:rPr>
              <w:footnoteReference w:id="6"/>
            </w:r>
          </w:p>
        </w:tc>
      </w:tr>
      <w:tr w:rsidR="006E052A" w:rsidRPr="00BE5472" w14:paraId="4892AB4C"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45534087"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Hilton</w:t>
            </w:r>
          </w:p>
        </w:tc>
        <w:tc>
          <w:tcPr>
            <w:tcW w:w="1056" w:type="dxa"/>
            <w:vAlign w:val="center"/>
          </w:tcPr>
          <w:p w14:paraId="25DF4AD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68.974</w:t>
            </w:r>
          </w:p>
        </w:tc>
        <w:tc>
          <w:tcPr>
            <w:tcW w:w="635" w:type="dxa"/>
            <w:vAlign w:val="center"/>
          </w:tcPr>
          <w:p w14:paraId="0247051B"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62</w:t>
            </w:r>
          </w:p>
        </w:tc>
        <w:tc>
          <w:tcPr>
            <w:tcW w:w="1000" w:type="dxa"/>
            <w:vAlign w:val="center"/>
          </w:tcPr>
          <w:p w14:paraId="799B9EF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29.637</w:t>
            </w:r>
          </w:p>
        </w:tc>
        <w:tc>
          <w:tcPr>
            <w:tcW w:w="585" w:type="dxa"/>
            <w:vAlign w:val="center"/>
          </w:tcPr>
          <w:p w14:paraId="622E78D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27</w:t>
            </w:r>
          </w:p>
        </w:tc>
        <w:tc>
          <w:tcPr>
            <w:tcW w:w="1172" w:type="dxa"/>
            <w:vAlign w:val="center"/>
          </w:tcPr>
          <w:p w14:paraId="2BDEE4D7"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11.977</w:t>
            </w:r>
          </w:p>
        </w:tc>
        <w:tc>
          <w:tcPr>
            <w:tcW w:w="1041" w:type="dxa"/>
            <w:vAlign w:val="center"/>
          </w:tcPr>
          <w:p w14:paraId="20FDD4F0"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11</w:t>
            </w:r>
          </w:p>
        </w:tc>
        <w:tc>
          <w:tcPr>
            <w:tcW w:w="921" w:type="dxa"/>
            <w:vAlign w:val="center"/>
          </w:tcPr>
          <w:p w14:paraId="44DEC3F1"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110.588</w:t>
            </w:r>
          </w:p>
        </w:tc>
        <w:tc>
          <w:tcPr>
            <w:tcW w:w="1630" w:type="dxa"/>
          </w:tcPr>
          <w:p w14:paraId="310FDCB4"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Europa</w:t>
            </w:r>
          </w:p>
        </w:tc>
      </w:tr>
      <w:tr w:rsidR="006E052A" w:rsidRPr="00BE5472" w14:paraId="4593132F" w14:textId="77777777" w:rsidTr="00240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3DC26E82"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Chioce</w:t>
            </w:r>
          </w:p>
        </w:tc>
        <w:tc>
          <w:tcPr>
            <w:tcW w:w="1056" w:type="dxa"/>
            <w:vAlign w:val="center"/>
          </w:tcPr>
          <w:p w14:paraId="67163A48"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53.720</w:t>
            </w:r>
          </w:p>
        </w:tc>
        <w:tc>
          <w:tcPr>
            <w:tcW w:w="635" w:type="dxa"/>
            <w:vAlign w:val="center"/>
          </w:tcPr>
          <w:p w14:paraId="5AC6B9D1"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100</w:t>
            </w:r>
          </w:p>
        </w:tc>
        <w:tc>
          <w:tcPr>
            <w:tcW w:w="1000" w:type="dxa"/>
            <w:vAlign w:val="center"/>
          </w:tcPr>
          <w:p w14:paraId="14D362B7"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585" w:type="dxa"/>
            <w:vAlign w:val="center"/>
          </w:tcPr>
          <w:p w14:paraId="0C7ECD84"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1172" w:type="dxa"/>
            <w:vAlign w:val="center"/>
          </w:tcPr>
          <w:p w14:paraId="779EFBEB"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1041" w:type="dxa"/>
            <w:vAlign w:val="center"/>
          </w:tcPr>
          <w:p w14:paraId="293364B4"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921" w:type="dxa"/>
            <w:vAlign w:val="center"/>
          </w:tcPr>
          <w:p w14:paraId="33AB0A75"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53.720</w:t>
            </w:r>
          </w:p>
        </w:tc>
        <w:tc>
          <w:tcPr>
            <w:tcW w:w="1630" w:type="dxa"/>
          </w:tcPr>
          <w:p w14:paraId="43BD05C4" w14:textId="77777777" w:rsidR="006E052A" w:rsidRPr="00BE5472" w:rsidRDefault="006E052A" w:rsidP="006E052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Europa</w:t>
            </w:r>
          </w:p>
        </w:tc>
      </w:tr>
      <w:tr w:rsidR="006E052A" w:rsidRPr="00BE5472" w14:paraId="42E747BF"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3653C9E4"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Whndham</w:t>
            </w:r>
          </w:p>
        </w:tc>
        <w:tc>
          <w:tcPr>
            <w:tcW w:w="1056" w:type="dxa"/>
            <w:vAlign w:val="center"/>
          </w:tcPr>
          <w:p w14:paraId="4775052C"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62.809</w:t>
            </w:r>
          </w:p>
        </w:tc>
        <w:tc>
          <w:tcPr>
            <w:tcW w:w="635" w:type="dxa"/>
            <w:vAlign w:val="center"/>
          </w:tcPr>
          <w:p w14:paraId="6F543E8D"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95</w:t>
            </w:r>
          </w:p>
        </w:tc>
        <w:tc>
          <w:tcPr>
            <w:tcW w:w="1000" w:type="dxa"/>
            <w:vAlign w:val="center"/>
          </w:tcPr>
          <w:p w14:paraId="0DF091B3"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3.306</w:t>
            </w:r>
          </w:p>
        </w:tc>
        <w:tc>
          <w:tcPr>
            <w:tcW w:w="585" w:type="dxa"/>
            <w:vAlign w:val="center"/>
          </w:tcPr>
          <w:p w14:paraId="611237D9"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w:t>
            </w:r>
          </w:p>
        </w:tc>
        <w:tc>
          <w:tcPr>
            <w:tcW w:w="1172" w:type="dxa"/>
            <w:vAlign w:val="center"/>
          </w:tcPr>
          <w:p w14:paraId="12F5660A"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1041" w:type="dxa"/>
            <w:vAlign w:val="center"/>
          </w:tcPr>
          <w:p w14:paraId="6B5837D1"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0</w:t>
            </w:r>
          </w:p>
        </w:tc>
        <w:tc>
          <w:tcPr>
            <w:tcW w:w="921" w:type="dxa"/>
            <w:vAlign w:val="center"/>
          </w:tcPr>
          <w:p w14:paraId="326230E2"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66.115</w:t>
            </w:r>
          </w:p>
        </w:tc>
        <w:tc>
          <w:tcPr>
            <w:tcW w:w="1630" w:type="dxa"/>
          </w:tcPr>
          <w:p w14:paraId="7BFA0D90"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EMEA</w:t>
            </w:r>
          </w:p>
        </w:tc>
      </w:tr>
      <w:tr w:rsidR="006E052A" w:rsidRPr="00BE5472" w14:paraId="3BBC43D8" w14:textId="77777777" w:rsidTr="00240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3DB83CBC"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Radisson</w:t>
            </w:r>
          </w:p>
        </w:tc>
        <w:tc>
          <w:tcPr>
            <w:tcW w:w="1056" w:type="dxa"/>
            <w:vAlign w:val="center"/>
          </w:tcPr>
          <w:p w14:paraId="5FFEC3AC"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39.299</w:t>
            </w:r>
          </w:p>
        </w:tc>
        <w:tc>
          <w:tcPr>
            <w:tcW w:w="635" w:type="dxa"/>
            <w:vAlign w:val="center"/>
          </w:tcPr>
          <w:p w14:paraId="4BA59359"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40</w:t>
            </w:r>
          </w:p>
        </w:tc>
        <w:tc>
          <w:tcPr>
            <w:tcW w:w="1000" w:type="dxa"/>
            <w:vAlign w:val="center"/>
          </w:tcPr>
          <w:p w14:paraId="2A128C75"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44.169</w:t>
            </w:r>
          </w:p>
        </w:tc>
        <w:tc>
          <w:tcPr>
            <w:tcW w:w="585" w:type="dxa"/>
            <w:vAlign w:val="center"/>
          </w:tcPr>
          <w:p w14:paraId="24A33727"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45</w:t>
            </w:r>
          </w:p>
        </w:tc>
        <w:tc>
          <w:tcPr>
            <w:tcW w:w="1172" w:type="dxa"/>
            <w:vAlign w:val="center"/>
          </w:tcPr>
          <w:p w14:paraId="2487940F"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15.477</w:t>
            </w:r>
          </w:p>
        </w:tc>
        <w:tc>
          <w:tcPr>
            <w:tcW w:w="1041" w:type="dxa"/>
            <w:vAlign w:val="center"/>
          </w:tcPr>
          <w:p w14:paraId="0047C278"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16</w:t>
            </w:r>
          </w:p>
        </w:tc>
        <w:tc>
          <w:tcPr>
            <w:tcW w:w="921" w:type="dxa"/>
            <w:vAlign w:val="center"/>
          </w:tcPr>
          <w:p w14:paraId="5BFC1FDA"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98.945</w:t>
            </w:r>
          </w:p>
        </w:tc>
        <w:tc>
          <w:tcPr>
            <w:tcW w:w="1630" w:type="dxa"/>
          </w:tcPr>
          <w:p w14:paraId="725ED91E" w14:textId="77777777" w:rsidR="006E052A" w:rsidRPr="00BE5472" w:rsidRDefault="006E052A" w:rsidP="006E052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EMEA</w:t>
            </w:r>
          </w:p>
        </w:tc>
      </w:tr>
      <w:tr w:rsidR="006E052A" w:rsidRPr="00BE5472" w14:paraId="33579E1F"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40837755"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Melia</w:t>
            </w:r>
          </w:p>
        </w:tc>
        <w:tc>
          <w:tcPr>
            <w:tcW w:w="1056" w:type="dxa"/>
            <w:vAlign w:val="center"/>
          </w:tcPr>
          <w:p w14:paraId="0E85C4C2"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11.078</w:t>
            </w:r>
          </w:p>
        </w:tc>
        <w:tc>
          <w:tcPr>
            <w:tcW w:w="635" w:type="dxa"/>
            <w:vAlign w:val="center"/>
          </w:tcPr>
          <w:p w14:paraId="3CDA07E4"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21</w:t>
            </w:r>
          </w:p>
        </w:tc>
        <w:tc>
          <w:tcPr>
            <w:tcW w:w="1000" w:type="dxa"/>
            <w:vAlign w:val="center"/>
          </w:tcPr>
          <w:p w14:paraId="136D7F43"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15.047</w:t>
            </w:r>
          </w:p>
        </w:tc>
        <w:tc>
          <w:tcPr>
            <w:tcW w:w="585" w:type="dxa"/>
            <w:vAlign w:val="center"/>
          </w:tcPr>
          <w:p w14:paraId="6AB7E11D"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29</w:t>
            </w:r>
          </w:p>
        </w:tc>
        <w:tc>
          <w:tcPr>
            <w:tcW w:w="1172" w:type="dxa"/>
            <w:vAlign w:val="center"/>
          </w:tcPr>
          <w:p w14:paraId="2B440315"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26.630</w:t>
            </w:r>
          </w:p>
        </w:tc>
        <w:tc>
          <w:tcPr>
            <w:tcW w:w="1041" w:type="dxa"/>
            <w:vAlign w:val="center"/>
          </w:tcPr>
          <w:p w14:paraId="6B370588"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50</w:t>
            </w:r>
          </w:p>
        </w:tc>
        <w:tc>
          <w:tcPr>
            <w:tcW w:w="921" w:type="dxa"/>
            <w:vAlign w:val="center"/>
          </w:tcPr>
          <w:p w14:paraId="38DC287E"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52.755</w:t>
            </w:r>
          </w:p>
        </w:tc>
        <w:tc>
          <w:tcPr>
            <w:tcW w:w="1630" w:type="dxa"/>
          </w:tcPr>
          <w:p w14:paraId="710A4DCD"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EMEA</w:t>
            </w:r>
          </w:p>
        </w:tc>
      </w:tr>
      <w:tr w:rsidR="006E052A" w:rsidRPr="00BE5472" w14:paraId="23583C25" w14:textId="77777777" w:rsidTr="00240E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4359CD6C"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easyHotel</w:t>
            </w:r>
          </w:p>
        </w:tc>
        <w:tc>
          <w:tcPr>
            <w:tcW w:w="1056" w:type="dxa"/>
            <w:vAlign w:val="center"/>
          </w:tcPr>
          <w:p w14:paraId="672A90FB"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1.868</w:t>
            </w:r>
          </w:p>
        </w:tc>
        <w:tc>
          <w:tcPr>
            <w:tcW w:w="635" w:type="dxa"/>
            <w:vAlign w:val="center"/>
          </w:tcPr>
          <w:p w14:paraId="6708EAD6"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46</w:t>
            </w:r>
          </w:p>
        </w:tc>
        <w:tc>
          <w:tcPr>
            <w:tcW w:w="1000" w:type="dxa"/>
            <w:vAlign w:val="center"/>
          </w:tcPr>
          <w:p w14:paraId="5C260508"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2.067</w:t>
            </w:r>
          </w:p>
        </w:tc>
        <w:tc>
          <w:tcPr>
            <w:tcW w:w="585" w:type="dxa"/>
            <w:vAlign w:val="center"/>
          </w:tcPr>
          <w:p w14:paraId="399BF653"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51</w:t>
            </w:r>
          </w:p>
        </w:tc>
        <w:tc>
          <w:tcPr>
            <w:tcW w:w="1172" w:type="dxa"/>
            <w:vAlign w:val="center"/>
          </w:tcPr>
          <w:p w14:paraId="2F458FA4"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118</w:t>
            </w:r>
          </w:p>
        </w:tc>
        <w:tc>
          <w:tcPr>
            <w:tcW w:w="1041" w:type="dxa"/>
            <w:vAlign w:val="center"/>
          </w:tcPr>
          <w:p w14:paraId="1AA456FB"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3</w:t>
            </w:r>
          </w:p>
        </w:tc>
        <w:tc>
          <w:tcPr>
            <w:tcW w:w="921" w:type="dxa"/>
            <w:vAlign w:val="center"/>
          </w:tcPr>
          <w:p w14:paraId="2DA98AD7" w14:textId="77777777" w:rsidR="006E052A" w:rsidRPr="00BE5472" w:rsidRDefault="006E052A" w:rsidP="00240E7A">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4.053</w:t>
            </w:r>
          </w:p>
        </w:tc>
        <w:tc>
          <w:tcPr>
            <w:tcW w:w="1630" w:type="dxa"/>
          </w:tcPr>
          <w:p w14:paraId="5C4021A9" w14:textId="77777777" w:rsidR="006E052A" w:rsidRPr="00BE5472" w:rsidRDefault="006E052A" w:rsidP="006E052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Europa</w:t>
            </w:r>
          </w:p>
        </w:tc>
      </w:tr>
      <w:tr w:rsidR="006E052A" w:rsidRPr="00BE5472" w14:paraId="0ABA13CF" w14:textId="77777777" w:rsidTr="00240E7A">
        <w:tc>
          <w:tcPr>
            <w:cnfStyle w:val="001000000000" w:firstRow="0" w:lastRow="0" w:firstColumn="1" w:lastColumn="0" w:oddVBand="0" w:evenVBand="0" w:oddHBand="0" w:evenHBand="0" w:firstRowFirstColumn="0" w:firstRowLastColumn="0" w:lastRowFirstColumn="0" w:lastRowLastColumn="0"/>
            <w:tcW w:w="1310" w:type="dxa"/>
          </w:tcPr>
          <w:p w14:paraId="0B081290"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Deutsche</w:t>
            </w:r>
          </w:p>
        </w:tc>
        <w:tc>
          <w:tcPr>
            <w:tcW w:w="1056" w:type="dxa"/>
            <w:vAlign w:val="center"/>
          </w:tcPr>
          <w:p w14:paraId="4FBCDDDA"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1.573</w:t>
            </w:r>
          </w:p>
        </w:tc>
        <w:tc>
          <w:tcPr>
            <w:tcW w:w="635" w:type="dxa"/>
            <w:vAlign w:val="center"/>
          </w:tcPr>
          <w:p w14:paraId="1B97CF3C"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8</w:t>
            </w:r>
          </w:p>
        </w:tc>
        <w:tc>
          <w:tcPr>
            <w:tcW w:w="1000" w:type="dxa"/>
            <w:vAlign w:val="center"/>
          </w:tcPr>
          <w:p w14:paraId="29F5FEE0"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1.919</w:t>
            </w:r>
          </w:p>
        </w:tc>
        <w:tc>
          <w:tcPr>
            <w:tcW w:w="585" w:type="dxa"/>
            <w:vAlign w:val="center"/>
          </w:tcPr>
          <w:p w14:paraId="5D3F9530"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10</w:t>
            </w:r>
          </w:p>
        </w:tc>
        <w:tc>
          <w:tcPr>
            <w:tcW w:w="1172" w:type="dxa"/>
            <w:vAlign w:val="center"/>
          </w:tcPr>
          <w:p w14:paraId="6B4B4D05"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15.329</w:t>
            </w:r>
          </w:p>
        </w:tc>
        <w:tc>
          <w:tcPr>
            <w:tcW w:w="1041" w:type="dxa"/>
            <w:vAlign w:val="center"/>
          </w:tcPr>
          <w:p w14:paraId="42D698F3"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81</w:t>
            </w:r>
          </w:p>
        </w:tc>
        <w:tc>
          <w:tcPr>
            <w:tcW w:w="921" w:type="dxa"/>
            <w:vAlign w:val="center"/>
          </w:tcPr>
          <w:p w14:paraId="3DB67DEA" w14:textId="77777777" w:rsidR="006E052A" w:rsidRPr="00BE5472" w:rsidRDefault="006E052A" w:rsidP="00240E7A">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18.821</w:t>
            </w:r>
          </w:p>
        </w:tc>
        <w:tc>
          <w:tcPr>
            <w:tcW w:w="1630" w:type="dxa"/>
          </w:tcPr>
          <w:p w14:paraId="1D095978"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lang w:val="it-IT"/>
              </w:rPr>
              <w:t>Europa</w:t>
            </w:r>
          </w:p>
        </w:tc>
      </w:tr>
    </w:tbl>
    <w:p w14:paraId="1F969D0E" w14:textId="77777777" w:rsidR="006E052A" w:rsidRPr="00BE5472" w:rsidRDefault="006E052A" w:rsidP="006E052A">
      <w:pPr>
        <w:spacing w:line="360" w:lineRule="auto"/>
        <w:jc w:val="both"/>
        <w:rPr>
          <w:rFonts w:ascii="Times New Roman" w:hAnsi="Times New Roman" w:cs="Times New Roman"/>
          <w:bCs/>
          <w:kern w:val="2"/>
          <w:sz w:val="24"/>
          <w:szCs w:val="24"/>
          <w:lang w:val="it-IT"/>
          <w14:ligatures w14:val="standardContextual"/>
        </w:rPr>
      </w:pPr>
      <w:r w:rsidRPr="00BE5472">
        <w:rPr>
          <w:rFonts w:ascii="Times New Roman" w:hAnsi="Times New Roman" w:cs="Times New Roman"/>
          <w:kern w:val="2"/>
          <w:sz w:val="24"/>
          <w:szCs w:val="24"/>
          <w:lang w:val="en-US"/>
          <w14:ligatures w14:val="standardContextual"/>
        </w:rPr>
        <w:t xml:space="preserve">Izvor: </w:t>
      </w:r>
      <w:r w:rsidRPr="00BE5472">
        <w:rPr>
          <w:rFonts w:ascii="Times New Roman" w:hAnsi="Times New Roman" w:cs="Times New Roman"/>
          <w:kern w:val="2"/>
          <w:sz w:val="24"/>
          <w:szCs w:val="24"/>
          <w14:ligatures w14:val="standardContextual"/>
        </w:rPr>
        <w:t xml:space="preserve">HVS (2022). </w:t>
      </w:r>
      <w:r w:rsidRPr="00BE5472">
        <w:rPr>
          <w:rFonts w:ascii="Times New Roman" w:hAnsi="Times New Roman" w:cs="Times New Roman"/>
          <w:bCs/>
          <w:kern w:val="2"/>
          <w:sz w:val="24"/>
          <w:szCs w:val="24"/>
          <w:lang w:val="en-US"/>
          <w14:ligatures w14:val="standardContextual"/>
        </w:rPr>
        <w:t xml:space="preserve">Hotel Franchising in Europe – The Push Continues for New Ways to Expand. </w:t>
      </w:r>
      <w:r w:rsidRPr="00BE5472">
        <w:rPr>
          <w:rFonts w:ascii="Times New Roman" w:hAnsi="Times New Roman" w:cs="Times New Roman"/>
          <w:bCs/>
          <w:kern w:val="2"/>
          <w:sz w:val="24"/>
          <w:szCs w:val="24"/>
          <w:lang w:val="it-IT"/>
          <w14:ligatures w14:val="standardContextual"/>
        </w:rPr>
        <w:t xml:space="preserve">Dostupno na: </w:t>
      </w:r>
      <w:hyperlink r:id="rId56" w:history="1">
        <w:r w:rsidRPr="00BE5472">
          <w:rPr>
            <w:rFonts w:ascii="Times New Roman" w:hAnsi="Times New Roman" w:cs="Times New Roman"/>
            <w:bCs/>
            <w:color w:val="0563C1" w:themeColor="hyperlink"/>
            <w:kern w:val="2"/>
            <w:sz w:val="24"/>
            <w:szCs w:val="24"/>
            <w:u w:val="single"/>
            <w:lang w:val="it-IT"/>
            <w14:ligatures w14:val="standardContextual"/>
          </w:rPr>
          <w:t>https://www.hvs.com/article/9474-hotel-franchising-in-europe-the-push-continues-for-new-ways-to-expand</w:t>
        </w:r>
      </w:hyperlink>
      <w:r w:rsidRPr="00BE5472">
        <w:rPr>
          <w:rFonts w:ascii="Times New Roman" w:hAnsi="Times New Roman" w:cs="Times New Roman"/>
          <w:bCs/>
          <w:kern w:val="2"/>
          <w:sz w:val="24"/>
          <w:szCs w:val="24"/>
          <w:lang w:val="it-IT"/>
          <w14:ligatures w14:val="standardContextual"/>
        </w:rPr>
        <w:t xml:space="preserve"> Pristupljeno: 21. ožujka 2024. </w:t>
      </w:r>
    </w:p>
    <w:p w14:paraId="7013E60B" w14:textId="7CD09446" w:rsidR="006E052A" w:rsidRPr="00BE5472" w:rsidRDefault="006E052A" w:rsidP="006E052A">
      <w:pPr>
        <w:spacing w:line="360" w:lineRule="auto"/>
        <w:jc w:val="both"/>
        <w:rPr>
          <w:rFonts w:ascii="Times New Roman" w:hAnsi="Times New Roman" w:cs="Times New Roman"/>
          <w:kern w:val="2"/>
          <w:sz w:val="24"/>
          <w:szCs w:val="24"/>
          <w:lang w:val="it-IT"/>
          <w14:ligatures w14:val="standardContextual"/>
        </w:rPr>
      </w:pPr>
      <w:r w:rsidRPr="00BE5472">
        <w:rPr>
          <w:rFonts w:ascii="Times New Roman" w:hAnsi="Times New Roman" w:cs="Times New Roman"/>
          <w:kern w:val="2"/>
          <w:sz w:val="24"/>
          <w:szCs w:val="24"/>
          <w:lang w:val="it-IT"/>
          <w14:ligatures w14:val="standardContextual"/>
        </w:rPr>
        <w:t xml:space="preserve">Fokusirajući se na četiri najveća hotelska lanca u Europi, evidentno je da ugovor o franšizi obuhvaća značajan dio njihovog europskog portfelja, pri čemu franšizirane sobe čine otprilike trećinu europskog portfelja </w:t>
      </w:r>
      <w:r w:rsidRPr="00BE5472">
        <w:rPr>
          <w:rFonts w:ascii="Times New Roman" w:hAnsi="Times New Roman" w:cs="Times New Roman"/>
          <w:i/>
          <w:iCs/>
          <w:kern w:val="2"/>
          <w:sz w:val="24"/>
          <w:szCs w:val="24"/>
          <w:lang w:val="it-IT"/>
          <w14:ligatures w14:val="standardContextual"/>
        </w:rPr>
        <w:t>Marriotta</w:t>
      </w:r>
      <w:r w:rsidRPr="00BE5472">
        <w:rPr>
          <w:rFonts w:ascii="Times New Roman" w:hAnsi="Times New Roman" w:cs="Times New Roman"/>
          <w:kern w:val="2"/>
          <w:sz w:val="24"/>
          <w:szCs w:val="24"/>
          <w:lang w:val="it-IT"/>
          <w14:ligatures w14:val="standardContextual"/>
        </w:rPr>
        <w:t xml:space="preserve">, otprilike polovicu portfelja </w:t>
      </w:r>
      <w:r w:rsidRPr="00BE5472">
        <w:rPr>
          <w:rFonts w:ascii="Times New Roman" w:hAnsi="Times New Roman" w:cs="Times New Roman"/>
          <w:i/>
          <w:iCs/>
          <w:kern w:val="2"/>
          <w:sz w:val="24"/>
          <w:szCs w:val="24"/>
          <w:lang w:val="it-IT"/>
          <w14:ligatures w14:val="standardContextual"/>
        </w:rPr>
        <w:t>Accora</w:t>
      </w:r>
      <w:r w:rsidRPr="00BE5472">
        <w:rPr>
          <w:rFonts w:ascii="Times New Roman" w:hAnsi="Times New Roman" w:cs="Times New Roman"/>
          <w:kern w:val="2"/>
          <w:sz w:val="24"/>
          <w:szCs w:val="24"/>
          <w:lang w:val="it-IT"/>
          <w14:ligatures w14:val="standardContextual"/>
        </w:rPr>
        <w:t xml:space="preserve">, i većinu portfelja </w:t>
      </w:r>
      <w:r w:rsidRPr="00BE5472">
        <w:rPr>
          <w:rFonts w:ascii="Times New Roman" w:hAnsi="Times New Roman" w:cs="Times New Roman"/>
          <w:i/>
          <w:iCs/>
          <w:kern w:val="2"/>
          <w:sz w:val="24"/>
          <w:szCs w:val="24"/>
          <w:lang w:val="it-IT"/>
          <w14:ligatures w14:val="standardContextual"/>
        </w:rPr>
        <w:t>IHG</w:t>
      </w:r>
      <w:r w:rsidRPr="00BE5472">
        <w:rPr>
          <w:rFonts w:ascii="Times New Roman" w:hAnsi="Times New Roman" w:cs="Times New Roman"/>
          <w:kern w:val="2"/>
          <w:sz w:val="24"/>
          <w:szCs w:val="24"/>
          <w:lang w:val="it-IT"/>
          <w14:ligatures w14:val="standardContextual"/>
        </w:rPr>
        <w:t xml:space="preserve">-a i </w:t>
      </w:r>
      <w:r w:rsidRPr="00BE5472">
        <w:rPr>
          <w:rFonts w:ascii="Times New Roman" w:hAnsi="Times New Roman" w:cs="Times New Roman"/>
          <w:i/>
          <w:iCs/>
          <w:kern w:val="2"/>
          <w:sz w:val="24"/>
          <w:szCs w:val="24"/>
          <w:lang w:val="it-IT"/>
          <w14:ligatures w14:val="standardContextual"/>
        </w:rPr>
        <w:t>Hiltona</w:t>
      </w:r>
      <w:r w:rsidRPr="00BE5472">
        <w:rPr>
          <w:rFonts w:ascii="Times New Roman" w:hAnsi="Times New Roman" w:cs="Times New Roman"/>
          <w:kern w:val="2"/>
          <w:sz w:val="24"/>
          <w:szCs w:val="24"/>
          <w:lang w:val="it-IT"/>
          <w14:ligatures w14:val="standardContextual"/>
        </w:rPr>
        <w:t>. 100</w:t>
      </w:r>
      <w:r w:rsidR="00405744" w:rsidRPr="00BE5472">
        <w:rPr>
          <w:rFonts w:ascii="Times New Roman" w:hAnsi="Times New Roman" w:cs="Times New Roman"/>
          <w:kern w:val="2"/>
          <w:sz w:val="24"/>
          <w:szCs w:val="24"/>
          <w:lang w:val="it-IT"/>
          <w14:ligatures w14:val="standardContextual"/>
        </w:rPr>
        <w:t xml:space="preserve"> </w:t>
      </w:r>
      <w:r w:rsidRPr="00BE5472">
        <w:rPr>
          <w:rFonts w:ascii="Times New Roman" w:hAnsi="Times New Roman" w:cs="Times New Roman"/>
          <w:kern w:val="2"/>
          <w:sz w:val="24"/>
          <w:szCs w:val="24"/>
          <w:lang w:val="it-IT"/>
          <w14:ligatures w14:val="standardContextual"/>
        </w:rPr>
        <w:t xml:space="preserve">% kapaciteta </w:t>
      </w:r>
      <w:r w:rsidRPr="00BE5472">
        <w:rPr>
          <w:rFonts w:ascii="Times New Roman" w:hAnsi="Times New Roman" w:cs="Times New Roman"/>
          <w:i/>
          <w:iCs/>
          <w:kern w:val="2"/>
          <w:sz w:val="24"/>
          <w:szCs w:val="24"/>
          <w:lang w:val="it-IT"/>
          <w14:ligatures w14:val="standardContextual"/>
        </w:rPr>
        <w:t>Chioce</w:t>
      </w:r>
      <w:r w:rsidRPr="00BE5472">
        <w:rPr>
          <w:rFonts w:ascii="Times New Roman" w:hAnsi="Times New Roman" w:cs="Times New Roman"/>
          <w:kern w:val="2"/>
          <w:sz w:val="24"/>
          <w:szCs w:val="24"/>
          <w:lang w:val="it-IT"/>
          <w14:ligatures w14:val="standardContextual"/>
        </w:rPr>
        <w:t xml:space="preserve"> </w:t>
      </w:r>
      <w:r w:rsidRPr="00BE5472">
        <w:rPr>
          <w:rFonts w:ascii="Times New Roman" w:hAnsi="Times New Roman" w:cs="Times New Roman"/>
          <w:i/>
          <w:iCs/>
          <w:kern w:val="2"/>
          <w:sz w:val="24"/>
          <w:szCs w:val="24"/>
          <w:lang w:val="it-IT"/>
          <w14:ligatures w14:val="standardContextual"/>
        </w:rPr>
        <w:t>hotela</w:t>
      </w:r>
      <w:r w:rsidRPr="00BE5472">
        <w:rPr>
          <w:rFonts w:ascii="Times New Roman" w:hAnsi="Times New Roman" w:cs="Times New Roman"/>
          <w:kern w:val="2"/>
          <w:sz w:val="24"/>
          <w:szCs w:val="24"/>
          <w:lang w:val="it-IT"/>
          <w14:ligatures w14:val="standardContextual"/>
        </w:rPr>
        <w:t xml:space="preserve"> je pod franšizom. </w:t>
      </w:r>
    </w:p>
    <w:p w14:paraId="466D2A88" w14:textId="77838DF9"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Iako franšize i ugovori o menadžmentu čine dominantan način organiziranja poslovnih odnosa između hotelskih lanaca, nijedna studija nije usporedila njihov relativni uspjeh. Zbog toga su takvu </w:t>
      </w:r>
      <w:r w:rsidR="00405744" w:rsidRPr="00BE5472">
        <w:rPr>
          <w:rFonts w:ascii="Times New Roman" w:hAnsi="Times New Roman" w:cs="Times New Roman"/>
          <w:kern w:val="2"/>
          <w:sz w:val="24"/>
          <w:szCs w:val="24"/>
          <w14:ligatures w14:val="standardContextual"/>
        </w:rPr>
        <w:t>analizu</w:t>
      </w:r>
      <w:r w:rsidRPr="00BE5472">
        <w:rPr>
          <w:rFonts w:ascii="Times New Roman" w:hAnsi="Times New Roman" w:cs="Times New Roman"/>
          <w:kern w:val="2"/>
          <w:sz w:val="24"/>
          <w:szCs w:val="24"/>
          <w14:ligatures w14:val="standardContextual"/>
        </w:rPr>
        <w:t xml:space="preserve"> proveli </w:t>
      </w:r>
      <w:bookmarkStart w:id="113" w:name="_Hlk161849906"/>
      <w:r w:rsidRPr="00BE5472">
        <w:rPr>
          <w:rFonts w:ascii="Times New Roman" w:hAnsi="Times New Roman" w:cs="Times New Roman"/>
          <w:kern w:val="2"/>
          <w:sz w:val="24"/>
          <w:szCs w:val="24"/>
          <w14:ligatures w14:val="standardContextual"/>
        </w:rPr>
        <w:t xml:space="preserve">Fernández-Barcala, González-Díaz i López-Bayón (2022) </w:t>
      </w:r>
      <w:bookmarkEnd w:id="113"/>
      <w:r w:rsidRPr="00BE5472">
        <w:rPr>
          <w:rFonts w:ascii="Times New Roman" w:hAnsi="Times New Roman" w:cs="Times New Roman"/>
          <w:kern w:val="2"/>
          <w:sz w:val="24"/>
          <w:szCs w:val="24"/>
          <w14:ligatures w14:val="standardContextual"/>
        </w:rPr>
        <w:t xml:space="preserve">i došli do sljedećih zaključaka: (1) franšize su manje učinkovite od ugovora o menadžmentu za upravljanje luksuznim </w:t>
      </w:r>
      <w:r w:rsidRPr="00BE5472">
        <w:rPr>
          <w:rFonts w:ascii="Times New Roman" w:hAnsi="Times New Roman" w:cs="Times New Roman"/>
          <w:kern w:val="2"/>
          <w:sz w:val="24"/>
          <w:szCs w:val="24"/>
          <w14:ligatures w14:val="standardContextual"/>
        </w:rPr>
        <w:lastRenderedPageBreak/>
        <w:t>hotelima</w:t>
      </w:r>
      <w:r w:rsidR="00405744"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i to zbog relativnih prednosti koje potonji imaju u prijenosu i provođenju </w:t>
      </w:r>
      <w:r w:rsidRPr="00BE5472">
        <w:rPr>
          <w:rFonts w:ascii="Times New Roman" w:hAnsi="Times New Roman" w:cs="Times New Roman"/>
          <w:i/>
          <w:kern w:val="2"/>
          <w:sz w:val="24"/>
          <w:szCs w:val="24"/>
          <w14:ligatures w14:val="standardContextual"/>
        </w:rPr>
        <w:t>know-how</w:t>
      </w:r>
      <w:r w:rsidR="00405744" w:rsidRPr="00BE5472">
        <w:rPr>
          <w:rFonts w:ascii="Times New Roman" w:hAnsi="Times New Roman" w:cs="Times New Roman"/>
          <w:i/>
          <w:kern w:val="2"/>
          <w:sz w:val="24"/>
          <w:szCs w:val="24"/>
          <w14:ligatures w14:val="standardContextual"/>
        </w:rPr>
        <w:t>a</w:t>
      </w:r>
      <w:r w:rsidRPr="00BE5472">
        <w:rPr>
          <w:rFonts w:ascii="Times New Roman" w:hAnsi="Times New Roman" w:cs="Times New Roman"/>
          <w:kern w:val="2"/>
          <w:sz w:val="24"/>
          <w:szCs w:val="24"/>
          <w14:ligatures w14:val="standardContextual"/>
        </w:rPr>
        <w:t>, obično vezanog uz stručno osoblje</w:t>
      </w:r>
      <w:r w:rsidR="00405744"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što je vrlo specifično za hotele visoke kategorije. S druge strane, ugovor o franšizi je bolja opcija za velike hotele jer njegova poticajna struktura bolje rješava problem menadžerskog izmicanja (obično su problemi ozbiljniji kako se veličina hotela mijenja, odnosno raste). Tu su i prednosti u slučajevima kada je standardizacija poslovnih postupaka ključna za uspjeh. </w:t>
      </w:r>
    </w:p>
    <w:p w14:paraId="65058B08" w14:textId="77777777" w:rsidR="006E052A" w:rsidRPr="00BE5472" w:rsidRDefault="006E052A" w:rsidP="006E052A">
      <w:pPr>
        <w:spacing w:line="360" w:lineRule="auto"/>
        <w:jc w:val="both"/>
        <w:rPr>
          <w:rFonts w:ascii="Times New Roman" w:hAnsi="Times New Roman" w:cs="Times New Roman"/>
          <w:b/>
          <w:kern w:val="2"/>
          <w:sz w:val="18"/>
          <w:szCs w:val="18"/>
          <w14:ligatures w14:val="standardContextual"/>
        </w:rPr>
      </w:pPr>
      <w:r w:rsidRPr="00BE5472">
        <w:rPr>
          <w:rFonts w:ascii="Times New Roman" w:hAnsi="Times New Roman" w:cs="Times New Roman"/>
          <w:kern w:val="2"/>
          <w:sz w:val="24"/>
          <w:szCs w:val="24"/>
          <w14:ligatures w14:val="standardContextual"/>
        </w:rPr>
        <w:t>U konačnici, strateški savezi su ključni za uspjeh u hotelijerstvu jer omogućuju hotelima da prošire svoje poslovanje, poboljšaju usluge, povećaju prihode i stvore održivu konkurentsku prednost. U dinamičnom okruženju turističkog sektora, sposobnost hotelijera da uspostave i održe produktivne i obostrano korisne suradnje s različitim partnerima postaje presudna za dugoročni uspjeh poslovanja.</w:t>
      </w:r>
      <w:r w:rsidRPr="00BE5472">
        <w:rPr>
          <w:rFonts w:ascii="Times New Roman" w:hAnsi="Times New Roman" w:cs="Times New Roman"/>
          <w:b/>
          <w:kern w:val="2"/>
          <w:sz w:val="18"/>
          <w:szCs w:val="18"/>
          <w14:ligatures w14:val="standardContextual"/>
        </w:rPr>
        <w:t xml:space="preserve"> </w:t>
      </w:r>
    </w:p>
    <w:p w14:paraId="732369F6" w14:textId="77777777" w:rsidR="001624F4" w:rsidRPr="00BE5472" w:rsidRDefault="001624F4" w:rsidP="006E052A">
      <w:pPr>
        <w:spacing w:line="360" w:lineRule="auto"/>
        <w:jc w:val="both"/>
        <w:rPr>
          <w:rFonts w:ascii="Times New Roman" w:hAnsi="Times New Roman" w:cs="Times New Roman"/>
          <w:b/>
          <w:kern w:val="2"/>
          <w:sz w:val="18"/>
          <w:szCs w:val="18"/>
          <w14:ligatures w14:val="standardContextual"/>
        </w:rPr>
      </w:pPr>
    </w:p>
    <w:p w14:paraId="20B393C4" w14:textId="6B2B591F" w:rsidR="006E052A" w:rsidRPr="00BE5472" w:rsidRDefault="006E052A" w:rsidP="003D13C0">
      <w:pPr>
        <w:pStyle w:val="Heading2"/>
        <w:rPr>
          <w:rFonts w:ascii="Times New Roman" w:hAnsi="Times New Roman" w:cs="Times New Roman"/>
        </w:rPr>
      </w:pPr>
      <w:bookmarkStart w:id="114" w:name="_Toc210381423"/>
      <w:bookmarkStart w:id="115" w:name="_Toc241865147"/>
      <w:r w:rsidRPr="00BE5472">
        <w:rPr>
          <w:rFonts w:ascii="Times New Roman" w:hAnsi="Times New Roman" w:cs="Times New Roman"/>
        </w:rPr>
        <w:t>3.4. Strategija spajanja i preuzimanja u hotelskom sektoru</w:t>
      </w:r>
      <w:bookmarkEnd w:id="114"/>
      <w:bookmarkEnd w:id="115"/>
    </w:p>
    <w:p w14:paraId="7906DD17" w14:textId="77777777" w:rsidR="00BC3443" w:rsidRPr="00BE5472" w:rsidRDefault="00BC3443" w:rsidP="00BC3443">
      <w:pPr>
        <w:rPr>
          <w:rFonts w:ascii="Times New Roman" w:hAnsi="Times New Roman" w:cs="Times New Roman"/>
        </w:rPr>
      </w:pPr>
    </w:p>
    <w:p w14:paraId="24388239" w14:textId="32206303"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iCs/>
          <w:kern w:val="2"/>
          <w:sz w:val="24"/>
          <w:szCs w:val="24"/>
          <w14:ligatures w14:val="standardContextual"/>
        </w:rPr>
        <w:t>Hiltonovo</w:t>
      </w:r>
      <w:r w:rsidRPr="00BE5472">
        <w:rPr>
          <w:rFonts w:ascii="Times New Roman" w:hAnsi="Times New Roman" w:cs="Times New Roman"/>
          <w:kern w:val="2"/>
          <w:sz w:val="24"/>
          <w:szCs w:val="24"/>
          <w14:ligatures w14:val="standardContextual"/>
        </w:rPr>
        <w:t xml:space="preserve"> preuzimanje kontrolnog paketa dionica u </w:t>
      </w:r>
      <w:r w:rsidRPr="00BE5472">
        <w:rPr>
          <w:rFonts w:ascii="Times New Roman" w:hAnsi="Times New Roman" w:cs="Times New Roman"/>
          <w:i/>
          <w:iCs/>
          <w:kern w:val="2"/>
          <w:sz w:val="24"/>
          <w:szCs w:val="24"/>
          <w14:ligatures w14:val="standardContextual"/>
        </w:rPr>
        <w:t>Sydell</w:t>
      </w:r>
      <w:r w:rsidRPr="00BE5472">
        <w:rPr>
          <w:rFonts w:ascii="Times New Roman" w:hAnsi="Times New Roman" w:cs="Times New Roman"/>
          <w:kern w:val="2"/>
          <w:sz w:val="24"/>
          <w:szCs w:val="24"/>
          <w14:ligatures w14:val="standardContextual"/>
        </w:rPr>
        <w:t xml:space="preserve"> grupi</w:t>
      </w:r>
      <w:r w:rsidR="008871FF">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u ožujku 2024. godine jasno ilustrira intenzivnu aktivnost u hotelskom sektoru, gdje su spajanja i preuzimanja postala ključna strategija rasta. Ovaj potez, ne samo da demonstrira ambiciju </w:t>
      </w:r>
      <w:r w:rsidRPr="00BE5472">
        <w:rPr>
          <w:rFonts w:ascii="Times New Roman" w:hAnsi="Times New Roman" w:cs="Times New Roman"/>
          <w:i/>
          <w:iCs/>
          <w:kern w:val="2"/>
          <w:sz w:val="24"/>
          <w:szCs w:val="24"/>
          <w14:ligatures w14:val="standardContextual"/>
        </w:rPr>
        <w:t>Hiltona</w:t>
      </w:r>
      <w:r w:rsidRPr="00BE5472">
        <w:rPr>
          <w:rFonts w:ascii="Times New Roman" w:hAnsi="Times New Roman" w:cs="Times New Roman"/>
          <w:kern w:val="2"/>
          <w:sz w:val="24"/>
          <w:szCs w:val="24"/>
          <w14:ligatures w14:val="standardContextual"/>
        </w:rPr>
        <w:t xml:space="preserve"> za širenjem globalnog utjecaja, već i pokazuje dublje trendove u industriji. Primjetna je sve veća koncentracija tržišta i težnja k stvaranju sveobuhvatnih lanaca hotela koji mogu zadovoljiti raznolike potrebe i preferencije gostiju širom svijeta. Cilj je proširiti prisutnost marke </w:t>
      </w:r>
      <w:r w:rsidRPr="00BE5472">
        <w:rPr>
          <w:rFonts w:ascii="Times New Roman" w:hAnsi="Times New Roman" w:cs="Times New Roman"/>
          <w:i/>
          <w:iCs/>
          <w:kern w:val="2"/>
          <w:sz w:val="24"/>
          <w:szCs w:val="24"/>
          <w14:ligatures w14:val="standardContextual"/>
        </w:rPr>
        <w:t>NoMad</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Hotels</w:t>
      </w:r>
      <w:r w:rsidRPr="00BE5472">
        <w:rPr>
          <w:rFonts w:ascii="Times New Roman" w:hAnsi="Times New Roman" w:cs="Times New Roman"/>
          <w:kern w:val="2"/>
          <w:sz w:val="24"/>
          <w:szCs w:val="24"/>
          <w14:ligatures w14:val="standardContextual"/>
        </w:rPr>
        <w:t xml:space="preserve"> iz Londona na tržišta širom svijeta. Dodavanje </w:t>
      </w:r>
      <w:r w:rsidRPr="00BE5472">
        <w:rPr>
          <w:rFonts w:ascii="Times New Roman" w:hAnsi="Times New Roman" w:cs="Times New Roman"/>
          <w:i/>
          <w:iCs/>
          <w:kern w:val="2"/>
          <w:sz w:val="24"/>
          <w:szCs w:val="24"/>
          <w14:ligatures w14:val="standardContextual"/>
        </w:rPr>
        <w:t>NoMada</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iCs/>
          <w:kern w:val="2"/>
          <w:sz w:val="24"/>
          <w:szCs w:val="24"/>
          <w14:ligatures w14:val="standardContextual"/>
        </w:rPr>
        <w:t>Hiltonovom</w:t>
      </w:r>
      <w:r w:rsidRPr="00BE5472">
        <w:rPr>
          <w:rFonts w:ascii="Times New Roman" w:hAnsi="Times New Roman" w:cs="Times New Roman"/>
          <w:kern w:val="2"/>
          <w:sz w:val="24"/>
          <w:szCs w:val="24"/>
          <w14:ligatures w14:val="standardContextual"/>
        </w:rPr>
        <w:t xml:space="preserve"> portfelju marki označava ulazak na brzorastuće tržište luksuznih </w:t>
      </w:r>
      <w:r w:rsidRPr="00BE5472">
        <w:rPr>
          <w:rFonts w:ascii="Times New Roman" w:hAnsi="Times New Roman" w:cs="Times New Roman"/>
          <w:i/>
          <w:kern w:val="2"/>
          <w:sz w:val="24"/>
          <w:szCs w:val="24"/>
          <w14:ligatures w14:val="standardContextual"/>
        </w:rPr>
        <w:t>lifestyle</w:t>
      </w:r>
      <w:r w:rsidRPr="00BE5472">
        <w:rPr>
          <w:rFonts w:ascii="Times New Roman" w:hAnsi="Times New Roman" w:cs="Times New Roman"/>
          <w:kern w:val="2"/>
          <w:sz w:val="24"/>
          <w:szCs w:val="24"/>
          <w14:ligatures w14:val="standardContextual"/>
        </w:rPr>
        <w:t xml:space="preserve"> hotela s pažljivo dizajniranom markom koju karakterizira izuzetna hrana i piće, unutarnji dizajn i usluga (</w:t>
      </w:r>
      <w:r w:rsidRPr="00BE5472">
        <w:rPr>
          <w:rFonts w:ascii="Times New Roman" w:hAnsi="Times New Roman" w:cs="Times New Roman"/>
          <w:i/>
          <w:iCs/>
          <w:kern w:val="2"/>
          <w:sz w:val="24"/>
          <w:szCs w:val="24"/>
          <w14:ligatures w14:val="standardContextual"/>
        </w:rPr>
        <w:t>Hilton</w:t>
      </w:r>
      <w:r w:rsidRPr="00BE5472">
        <w:rPr>
          <w:rFonts w:ascii="Times New Roman" w:hAnsi="Times New Roman" w:cs="Times New Roman"/>
          <w:kern w:val="2"/>
          <w:sz w:val="24"/>
          <w:szCs w:val="24"/>
          <w14:ligatures w14:val="standardContextual"/>
        </w:rPr>
        <w:t xml:space="preserve"> 2024). Ovo preuzimanje dodaje </w:t>
      </w:r>
      <w:r w:rsidRPr="00BE5472">
        <w:rPr>
          <w:rFonts w:ascii="Times New Roman" w:hAnsi="Times New Roman" w:cs="Times New Roman"/>
          <w:i/>
          <w:iCs/>
          <w:kern w:val="2"/>
          <w:sz w:val="24"/>
          <w:szCs w:val="24"/>
          <w14:ligatures w14:val="standardContextual"/>
        </w:rPr>
        <w:t>Hiltonovom</w:t>
      </w:r>
      <w:r w:rsidRPr="00BE5472">
        <w:rPr>
          <w:rFonts w:ascii="Times New Roman" w:hAnsi="Times New Roman" w:cs="Times New Roman"/>
          <w:kern w:val="2"/>
          <w:sz w:val="24"/>
          <w:szCs w:val="24"/>
          <w14:ligatures w14:val="standardContextual"/>
        </w:rPr>
        <w:t xml:space="preserve"> portfelju ne samo kvalitetnu imovinu, već i pristup vrhunskim lokacijama i tržišnom segmentu. Ovo preuzimanje, ne samo da doprinosi širenju </w:t>
      </w:r>
      <w:r w:rsidRPr="00BE5472">
        <w:rPr>
          <w:rFonts w:ascii="Times New Roman" w:hAnsi="Times New Roman" w:cs="Times New Roman"/>
          <w:i/>
          <w:iCs/>
          <w:kern w:val="2"/>
          <w:sz w:val="24"/>
          <w:szCs w:val="24"/>
          <w14:ligatures w14:val="standardContextual"/>
        </w:rPr>
        <w:t>Hiltonove</w:t>
      </w:r>
      <w:r w:rsidRPr="00BE5472">
        <w:rPr>
          <w:rFonts w:ascii="Times New Roman" w:hAnsi="Times New Roman" w:cs="Times New Roman"/>
          <w:kern w:val="2"/>
          <w:sz w:val="24"/>
          <w:szCs w:val="24"/>
          <w14:ligatures w14:val="standardContextual"/>
        </w:rPr>
        <w:t xml:space="preserve"> prisutnosti u Europi, već i pruža priliku za diverzifikaciju prihoda, što je ključno za dugoročnu stabilnost poduzeća u dinamičnom okruženju hotelske industrije.</w:t>
      </w:r>
    </w:p>
    <w:p w14:paraId="26E88B24"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kontekstu globalne konkurencije i dinamičnih tržišnih promjena, spajanja i preuzimanja postaju sve značajnije strategije hotelskih poduzeća koje žele zadržati svoju konkurentnost. Ove strategije omogućuju poduzećima da ostvare značajne operativne sinergije, povećaju efikasnost i smanje </w:t>
      </w:r>
      <w:r w:rsidRPr="00BE5472">
        <w:rPr>
          <w:rFonts w:ascii="Times New Roman" w:hAnsi="Times New Roman" w:cs="Times New Roman"/>
          <w:kern w:val="2"/>
          <w:sz w:val="24"/>
          <w:szCs w:val="24"/>
          <w14:ligatures w14:val="standardContextual"/>
        </w:rPr>
        <w:lastRenderedPageBreak/>
        <w:t>troškove poslovanja. Pored toga, preuzimanjima hotelska poduzeća mogu brže proširiti svoju prisutnost na nova tržišta i iskoristiti nove poslovne prilike koje se javljaju.</w:t>
      </w:r>
    </w:p>
    <w:p w14:paraId="422EB40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Međutim, dok spajanja i preuzimanja nude brojne prednosti, ona također nose i određene izazove. Integracija različitih poslovnih procesa i kultura može biti kompleksna i zahtijeva pažljivo planiranje i upravljanje kako bi se osiguralo uspješno spajanje. Pored toga, financijski rizici povezani s velikim transakcijama mogu biti značajni, posebno u uvjetima ekonomske nestabilnosti ili promjenjivih tržišnih uvjeta.</w:t>
      </w:r>
    </w:p>
    <w:p w14:paraId="14BD431E" w14:textId="2A90343D"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 proteklim godinama, primjetan je značajan porast vrijednosti i obujma transakcija u hotelskom sektoru širom svijeta. Primjerice, spajanje </w:t>
      </w:r>
      <w:r w:rsidRPr="00BE5472">
        <w:rPr>
          <w:rFonts w:ascii="Times New Roman" w:hAnsi="Times New Roman" w:cs="Times New Roman"/>
          <w:i/>
          <w:iCs/>
          <w:kern w:val="2"/>
          <w:sz w:val="24"/>
          <w:szCs w:val="24"/>
          <w14:ligatures w14:val="standardContextual"/>
        </w:rPr>
        <w:t>Marriotta</w:t>
      </w:r>
      <w:r w:rsidRPr="00BE5472">
        <w:rPr>
          <w:rFonts w:ascii="Times New Roman" w:hAnsi="Times New Roman" w:cs="Times New Roman"/>
          <w:kern w:val="2"/>
          <w:sz w:val="24"/>
          <w:szCs w:val="24"/>
          <w14:ligatures w14:val="standardContextual"/>
        </w:rPr>
        <w:t xml:space="preserve"> i </w:t>
      </w:r>
      <w:r w:rsidRPr="00BE5472">
        <w:rPr>
          <w:rFonts w:ascii="Times New Roman" w:hAnsi="Times New Roman" w:cs="Times New Roman"/>
          <w:i/>
          <w:iCs/>
          <w:kern w:val="2"/>
          <w:sz w:val="24"/>
          <w:szCs w:val="24"/>
          <w14:ligatures w14:val="standardContextual"/>
        </w:rPr>
        <w:t>Starwooda</w:t>
      </w:r>
      <w:r w:rsidRPr="00BE5472">
        <w:rPr>
          <w:rFonts w:ascii="Times New Roman" w:hAnsi="Times New Roman" w:cs="Times New Roman"/>
          <w:kern w:val="2"/>
          <w:sz w:val="24"/>
          <w:szCs w:val="24"/>
          <w14:ligatures w14:val="standardContextual"/>
        </w:rPr>
        <w:t xml:space="preserve"> ili </w:t>
      </w:r>
      <w:r w:rsidRPr="00BE5472">
        <w:rPr>
          <w:rFonts w:ascii="Times New Roman" w:hAnsi="Times New Roman" w:cs="Times New Roman"/>
          <w:i/>
          <w:iCs/>
          <w:kern w:val="2"/>
          <w:sz w:val="24"/>
          <w:szCs w:val="24"/>
          <w14:ligatures w14:val="standardContextual"/>
        </w:rPr>
        <w:t>Hiltonovo</w:t>
      </w:r>
      <w:r w:rsidRPr="00BE5472">
        <w:rPr>
          <w:rFonts w:ascii="Times New Roman" w:hAnsi="Times New Roman" w:cs="Times New Roman"/>
          <w:kern w:val="2"/>
          <w:sz w:val="24"/>
          <w:szCs w:val="24"/>
          <w14:ligatures w14:val="standardContextual"/>
        </w:rPr>
        <w:t xml:space="preserve"> preuzimanje belgijskih hotela samo su neki od primjera intenzivne aktivnosti na tržištu. Ovi veliki poslovni događaji ne samo da mijenjaju okruženje hotelske industrije</w:t>
      </w:r>
      <w:r w:rsidR="00405744"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već također reflektiraju konstantnu potragu za konkurentskim prednostima i stvaranje vrijednosti za dioničare. Spajanjima i preuzimanjima hotelska poduzeća imaju priliku proširiti svoje portfelje nekretnina, diversificirati svoje prihode i jačati svoju tržišnu poziciju. Osim toga, ove strategije mogu biti ključne za stvaranje dugoročne vrijednosti za dioničare i osiguranje održivog rasta poduzeća u budućnosti.</w:t>
      </w:r>
    </w:p>
    <w:p w14:paraId="3BC48FD2"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Važno je naglasiti da uspjeh spajanja i preuzimanja u hotelskoj industriji ovisi o pažljivoj analizi, planiranju i izvršenju. Poduzeća moraju pažljivo procijeniti potencijalne koristi i rizike svake transakcije te osigurati da su u stanju učinkovito integrirati preuzete poslove u svoje postojeće operacije.</w:t>
      </w:r>
    </w:p>
    <w:p w14:paraId="7ECE2E6C"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U konačnici, spajanja i preuzimanja ostaju ključni element strategije rasta za hotelska poduzeća koja žele ostvariti konkurentsku prednost i ostati relevantna u dinamičnom okruženju. Kroz pametno vođene poslovne integracije i strateški odabrane mete, hotelska poduzeća mogu graditi snažne temelje za dugoročni uspjeh i održiv rast u industriji koja se neprestano mijenja.</w:t>
      </w:r>
    </w:p>
    <w:p w14:paraId="46D7DBD9"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6219DBFC" w14:textId="0C809234" w:rsidR="006E052A" w:rsidRPr="00BE5472" w:rsidRDefault="006E052A" w:rsidP="003D13C0">
      <w:pPr>
        <w:pStyle w:val="Heading3"/>
        <w:rPr>
          <w:rFonts w:ascii="Times New Roman" w:hAnsi="Times New Roman" w:cs="Times New Roman"/>
        </w:rPr>
      </w:pPr>
      <w:bookmarkStart w:id="116" w:name="_Toc210381424"/>
      <w:bookmarkStart w:id="117" w:name="_Toc241865148"/>
      <w:r w:rsidRPr="00BE5472">
        <w:rPr>
          <w:rFonts w:ascii="Times New Roman" w:hAnsi="Times New Roman" w:cs="Times New Roman"/>
        </w:rPr>
        <w:t>3.4.1. Pokretači spajanja i preuzimanja i sinergijski učinci</w:t>
      </w:r>
      <w:bookmarkEnd w:id="116"/>
      <w:bookmarkEnd w:id="117"/>
    </w:p>
    <w:p w14:paraId="3B759C4C" w14:textId="77777777" w:rsidR="00BC3443" w:rsidRPr="00BE5472" w:rsidRDefault="00BC3443" w:rsidP="00BC3443">
      <w:pPr>
        <w:rPr>
          <w:rFonts w:ascii="Times New Roman" w:hAnsi="Times New Roman" w:cs="Times New Roman"/>
        </w:rPr>
      </w:pPr>
    </w:p>
    <w:p w14:paraId="15194FA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Unatoč brojnim istraživanjima, identifikacija pokretača spajanja i preuzimanja u hotelskom sektoru, ali i drugim industrijama ostaje uglavnom nedosljedna i nedovoljno pojašnjena. </w:t>
      </w:r>
    </w:p>
    <w:p w14:paraId="071286BA" w14:textId="103A081B"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lastRenderedPageBreak/>
        <w:t>Yaghoubi i sur. (2016.) razlikuj</w:t>
      </w:r>
      <w:r w:rsidR="001C5154" w:rsidRPr="00BE5472">
        <w:rPr>
          <w:rFonts w:ascii="Times New Roman" w:hAnsi="Times New Roman" w:cs="Times New Roman"/>
          <w:kern w:val="2"/>
          <w:sz w:val="24"/>
          <w:szCs w:val="24"/>
          <w14:ligatures w14:val="standardContextual"/>
        </w:rPr>
        <w:t>u</w:t>
      </w:r>
      <w:r w:rsidRPr="00BE5472">
        <w:rPr>
          <w:rFonts w:ascii="Times New Roman" w:hAnsi="Times New Roman" w:cs="Times New Roman"/>
          <w:kern w:val="2"/>
          <w:sz w:val="24"/>
          <w:szCs w:val="24"/>
          <w14:ligatures w14:val="standardContextual"/>
        </w:rPr>
        <w:t xml:space="preserve"> nekoliko teorija kojima se argumentiraju pokretači procesa spajanja i preuzimanja: </w:t>
      </w:r>
    </w:p>
    <w:p w14:paraId="6CC7501B" w14:textId="41297DAD" w:rsidR="006E052A" w:rsidRPr="00BE5472" w:rsidRDefault="006E052A" w:rsidP="00120B4F">
      <w:pPr>
        <w:numPr>
          <w:ilvl w:val="0"/>
          <w:numId w:val="50"/>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Menadžerske teorije</w:t>
      </w:r>
      <w:r w:rsidRPr="00BE5472">
        <w:rPr>
          <w:rFonts w:ascii="Times New Roman" w:hAnsi="Times New Roman" w:cs="Times New Roman"/>
          <w:kern w:val="2"/>
          <w:sz w:val="24"/>
          <w:szCs w:val="24"/>
          <w14:ligatures w14:val="standardContextual"/>
        </w:rPr>
        <w:t xml:space="preserve"> – Prema ovim teorijama menadžeri poduzeća preuzimatelja odlučuju se na spajanja i preuzimanje zbog svojeg samopouzdanj</w:t>
      </w:r>
      <w:r w:rsidR="005616AD"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i vlastitih sebičnih interesa. U konačnici se nakon takvih spajanja i preuzimanja ne očekuju pozitivni ishodi jer vrlo često, samouvjereni ili pak nesigurni menadžeri provode preuzimanja kojima derogiraju vrijednost (Goel i Thakor 2010). </w:t>
      </w:r>
    </w:p>
    <w:p w14:paraId="3559010A" w14:textId="35BE3473" w:rsidR="006E052A" w:rsidRPr="00BE5472" w:rsidRDefault="006E052A" w:rsidP="00120B4F">
      <w:pPr>
        <w:numPr>
          <w:ilvl w:val="0"/>
          <w:numId w:val="50"/>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Industrijske teorije</w:t>
      </w:r>
      <w:r w:rsidRPr="00BE5472">
        <w:rPr>
          <w:rFonts w:ascii="Times New Roman" w:hAnsi="Times New Roman" w:cs="Times New Roman"/>
          <w:kern w:val="2"/>
          <w:sz w:val="24"/>
          <w:szCs w:val="24"/>
          <w14:ligatures w14:val="standardContextual"/>
        </w:rPr>
        <w:t xml:space="preserve"> – Ove teorije objašnjavaju da spajanja i preuzimanja postoje s obzirom</w:t>
      </w:r>
      <w:r w:rsidR="00B34756" w:rsidRPr="00BE5472">
        <w:rPr>
          <w:rFonts w:ascii="Times New Roman" w:hAnsi="Times New Roman" w:cs="Times New Roman"/>
          <w:kern w:val="2"/>
          <w:sz w:val="24"/>
          <w:szCs w:val="24"/>
          <w14:ligatures w14:val="standardContextual"/>
        </w:rPr>
        <w:t xml:space="preserve"> na to</w:t>
      </w:r>
      <w:r w:rsidRPr="00BE5472">
        <w:rPr>
          <w:rFonts w:ascii="Times New Roman" w:hAnsi="Times New Roman" w:cs="Times New Roman"/>
          <w:kern w:val="2"/>
          <w:sz w:val="24"/>
          <w:szCs w:val="24"/>
          <w14:ligatures w14:val="standardContextual"/>
        </w:rPr>
        <w:t xml:space="preserve"> da postoje razni aspekti na razini pojedinih industrija koji izazivaju takve procese (npr. industrijski šokovi, distribucija veličine poduzeća unutar industrije). Tako primjerice, ekonomski šokovi dovode do divergencije u procjeni vrijednosti dionica</w:t>
      </w:r>
      <w:r w:rsidR="007742BC"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što posljedično dovodi do valova spajanja i preuzimanja. Neoklasična teorija pak tvrdi da šokovi u industriji koji pokreću valove spajanja i preuzimanja mogu ili unaprijediti poduzeća ili unazaditi poduzeća u industriji. </w:t>
      </w:r>
    </w:p>
    <w:p w14:paraId="32899F65" w14:textId="77777777" w:rsidR="006E052A" w:rsidRPr="00BE5472" w:rsidRDefault="006E052A" w:rsidP="00120B4F">
      <w:pPr>
        <w:numPr>
          <w:ilvl w:val="0"/>
          <w:numId w:val="50"/>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Ekonomske teorije</w:t>
      </w:r>
      <w:r w:rsidRPr="00BE5472">
        <w:rPr>
          <w:rFonts w:ascii="Times New Roman" w:hAnsi="Times New Roman" w:cs="Times New Roman"/>
          <w:kern w:val="2"/>
          <w:sz w:val="24"/>
          <w:szCs w:val="24"/>
          <w14:ligatures w14:val="standardContextual"/>
        </w:rPr>
        <w:t xml:space="preserve"> – U pozadini ovih teorija stoje veće promjene u okruženju, poput, primjerice, napretka u tehnologiji ili tehnološka revolucija, politika zaštite tržišnog nadmetanja i sl. Te promjene utječu na procese spajanja i preuzimanja. </w:t>
      </w:r>
    </w:p>
    <w:p w14:paraId="64B4B976" w14:textId="77777777" w:rsidR="006E052A" w:rsidRPr="00BE5472" w:rsidRDefault="006E052A" w:rsidP="00120B4F">
      <w:pPr>
        <w:numPr>
          <w:ilvl w:val="0"/>
          <w:numId w:val="50"/>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Teorije ponašanja</w:t>
      </w:r>
      <w:r w:rsidRPr="00BE5472">
        <w:rPr>
          <w:rFonts w:ascii="Times New Roman" w:hAnsi="Times New Roman" w:cs="Times New Roman"/>
          <w:kern w:val="2"/>
          <w:sz w:val="24"/>
          <w:szCs w:val="24"/>
          <w14:ligatures w14:val="standardContextual"/>
        </w:rPr>
        <w:t xml:space="preserve"> – U srži ovih teorija nalaze se promišljanja o tome kako poduzeća preuzimatelji iskorištavaju pogrešno definiranu cijenu prodaje drugih poduzeća (npr. pogrešnu cijenu dionica) i na taj način stječu podcijenjena poduzeća. </w:t>
      </w:r>
    </w:p>
    <w:p w14:paraId="5932CA1D" w14:textId="77777777" w:rsidR="00BC3443" w:rsidRPr="00BE5472" w:rsidRDefault="00BC3443" w:rsidP="006E052A">
      <w:pPr>
        <w:spacing w:line="360" w:lineRule="auto"/>
        <w:jc w:val="both"/>
        <w:rPr>
          <w:rFonts w:ascii="Times New Roman" w:hAnsi="Times New Roman" w:cs="Times New Roman"/>
          <w:kern w:val="2"/>
          <w:sz w:val="24"/>
          <w:szCs w:val="24"/>
          <w14:ligatures w14:val="standardContextual"/>
        </w:rPr>
      </w:pPr>
    </w:p>
    <w:p w14:paraId="0356D584" w14:textId="5C7AA83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Još je Porter (1985) naveo kako je osnovni razlog – pokretač spajanja i preuzimanja – stvaranje </w:t>
      </w:r>
      <w:r w:rsidRPr="00BE5472">
        <w:rPr>
          <w:rFonts w:ascii="Times New Roman" w:hAnsi="Times New Roman" w:cs="Times New Roman"/>
          <w:b/>
          <w:i/>
          <w:kern w:val="2"/>
          <w:sz w:val="24"/>
          <w:szCs w:val="24"/>
          <w14:ligatures w14:val="standardContextual"/>
        </w:rPr>
        <w:t>sinergije</w:t>
      </w:r>
      <w:r w:rsidRPr="00BE5472">
        <w:rPr>
          <w:rFonts w:ascii="Times New Roman" w:hAnsi="Times New Roman" w:cs="Times New Roman"/>
          <w:kern w:val="2"/>
          <w:sz w:val="24"/>
          <w:szCs w:val="24"/>
          <w14:ligatures w14:val="standardContextual"/>
        </w:rPr>
        <w:t xml:space="preserve"> koja se može definirati kao sposobnost dviju ili više jedinica ili poduzeća da zajedničkim radom stvore veću vrijednost nego što bi to mogli činiti kao samostalne jedinice/poduzeća. Sinergija je ključna odrednica prilikom spajanja i preuzimanja (Jin 2023). Vijgen (2007) je definirao sinergiju kao vrijednost spojenih poduzeća koja je veća od zbroja vrijednosti mete i poduzeća preuzimatelja promatranih kao zasebne jedinice. Na tragu istoga, Barragato i Markelevich (2008) objašnjavaju sinergijska preuzimanja kao ona u kojima je vrijednost kombiniranog poduzeća veća od zbroja njenih dijelova. Iako su vrlo važne pri određivanju </w:t>
      </w:r>
      <w:r w:rsidRPr="00BE5472">
        <w:rPr>
          <w:rFonts w:ascii="Times New Roman" w:hAnsi="Times New Roman" w:cs="Times New Roman"/>
          <w:kern w:val="2"/>
          <w:sz w:val="24"/>
          <w:szCs w:val="24"/>
          <w14:ligatures w14:val="standardContextual"/>
        </w:rPr>
        <w:lastRenderedPageBreak/>
        <w:t>vrijednosti preuzimanja, ponekad ih je teško identificirati.</w:t>
      </w:r>
      <w:r w:rsidR="0008535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Sinergijski učinci se najčešće klasificiraju u tri kategorije što je ilustrirano na Prikazu </w:t>
      </w:r>
      <w:r w:rsidR="005616AD" w:rsidRPr="00BE5472">
        <w:rPr>
          <w:rFonts w:ascii="Times New Roman" w:hAnsi="Times New Roman" w:cs="Times New Roman"/>
          <w:kern w:val="2"/>
          <w:sz w:val="24"/>
          <w:szCs w:val="24"/>
          <w14:ligatures w14:val="standardContextual"/>
        </w:rPr>
        <w:t>1</w:t>
      </w:r>
      <w:r w:rsidR="00B11EB4">
        <w:rPr>
          <w:rFonts w:ascii="Times New Roman" w:hAnsi="Times New Roman" w:cs="Times New Roman"/>
          <w:kern w:val="2"/>
          <w:sz w:val="24"/>
          <w:szCs w:val="24"/>
          <w14:ligatures w14:val="standardContextual"/>
        </w:rPr>
        <w:t>8</w:t>
      </w:r>
      <w:r w:rsidRPr="00BE5472">
        <w:rPr>
          <w:rFonts w:ascii="Times New Roman" w:hAnsi="Times New Roman" w:cs="Times New Roman"/>
          <w:kern w:val="2"/>
          <w:sz w:val="24"/>
          <w:szCs w:val="24"/>
          <w14:ligatures w14:val="standardContextual"/>
        </w:rPr>
        <w:t>.</w:t>
      </w:r>
    </w:p>
    <w:p w14:paraId="3549D8D5" w14:textId="7B2F4E4D" w:rsidR="006E052A" w:rsidRPr="004756DA" w:rsidRDefault="004756DA" w:rsidP="004756DA">
      <w:pPr>
        <w:pStyle w:val="Caption"/>
        <w:rPr>
          <w:rFonts w:ascii="Times New Roman" w:hAnsi="Times New Roman" w:cs="Times New Roman"/>
          <w:kern w:val="2"/>
          <w:sz w:val="24"/>
          <w:szCs w:val="24"/>
          <w14:ligatures w14:val="standardContextual"/>
        </w:rPr>
      </w:pPr>
      <w:bookmarkStart w:id="118" w:name="_Toc241865286"/>
      <w:r w:rsidRPr="004756DA">
        <w:rPr>
          <w:rFonts w:ascii="Times New Roman" w:hAnsi="Times New Roman" w:cs="Times New Roman"/>
          <w:sz w:val="24"/>
          <w:szCs w:val="24"/>
        </w:rPr>
        <w:t xml:space="preserve">Prikaz </w:t>
      </w:r>
      <w:r w:rsidRPr="004756DA">
        <w:rPr>
          <w:rFonts w:ascii="Times New Roman" w:hAnsi="Times New Roman" w:cs="Times New Roman"/>
          <w:sz w:val="24"/>
          <w:szCs w:val="24"/>
        </w:rPr>
        <w:fldChar w:fldCharType="begin"/>
      </w:r>
      <w:r w:rsidRPr="004756DA">
        <w:rPr>
          <w:rFonts w:ascii="Times New Roman" w:hAnsi="Times New Roman" w:cs="Times New Roman"/>
          <w:sz w:val="24"/>
          <w:szCs w:val="24"/>
        </w:rPr>
        <w:instrText xml:space="preserve"> SEQ Prikaz \* ARABIC </w:instrText>
      </w:r>
      <w:r w:rsidRPr="004756DA">
        <w:rPr>
          <w:rFonts w:ascii="Times New Roman" w:hAnsi="Times New Roman" w:cs="Times New Roman"/>
          <w:sz w:val="24"/>
          <w:szCs w:val="24"/>
        </w:rPr>
        <w:fldChar w:fldCharType="separate"/>
      </w:r>
      <w:r w:rsidR="00044BF6">
        <w:rPr>
          <w:rFonts w:ascii="Times New Roman" w:hAnsi="Times New Roman" w:cs="Times New Roman"/>
          <w:noProof/>
          <w:sz w:val="24"/>
          <w:szCs w:val="24"/>
        </w:rPr>
        <w:t>18</w:t>
      </w:r>
      <w:r w:rsidRPr="004756DA">
        <w:rPr>
          <w:rFonts w:ascii="Times New Roman" w:hAnsi="Times New Roman" w:cs="Times New Roman"/>
          <w:sz w:val="24"/>
          <w:szCs w:val="24"/>
        </w:rPr>
        <w:fldChar w:fldCharType="end"/>
      </w:r>
      <w:r w:rsidR="006E052A" w:rsidRPr="004756DA">
        <w:rPr>
          <w:rFonts w:ascii="Times New Roman" w:hAnsi="Times New Roman" w:cs="Times New Roman"/>
          <w:kern w:val="2"/>
          <w:sz w:val="24"/>
          <w:szCs w:val="24"/>
          <w14:ligatures w14:val="standardContextual"/>
        </w:rPr>
        <w:t>: Područja sinergijskih učinaka</w:t>
      </w:r>
      <w:bookmarkEnd w:id="118"/>
    </w:p>
    <w:p w14:paraId="6D103FD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noProof/>
          <w:kern w:val="2"/>
          <w:sz w:val="24"/>
          <w:szCs w:val="24"/>
          <w:lang w:eastAsia="hr-HR"/>
          <w14:ligatures w14:val="standardContextual"/>
        </w:rPr>
        <w:drawing>
          <wp:inline distT="0" distB="0" distL="0" distR="0" wp14:anchorId="720313A0" wp14:editId="0C11E6E5">
            <wp:extent cx="5298510" cy="2304789"/>
            <wp:effectExtent l="38100" t="0" r="73660" b="0"/>
            <wp:docPr id="4" name="Dij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236DFA7E"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Izvor: izrada autora</w:t>
      </w:r>
    </w:p>
    <w:p w14:paraId="4D2F7017"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Mu (2015) identificirao je tri mehanizma za ostvarivanje korporativne sinergije: </w:t>
      </w:r>
    </w:p>
    <w:p w14:paraId="2FEC04AA" w14:textId="77777777" w:rsidR="006E052A" w:rsidRPr="00BE5472" w:rsidRDefault="006E052A" w:rsidP="00120B4F">
      <w:pPr>
        <w:numPr>
          <w:ilvl w:val="0"/>
          <w:numId w:val="54"/>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Povećana sinergija</w:t>
      </w:r>
      <w:r w:rsidRPr="00BE5472">
        <w:rPr>
          <w:rFonts w:ascii="Times New Roman" w:hAnsi="Times New Roman" w:cs="Times New Roman"/>
          <w:kern w:val="2"/>
          <w:sz w:val="24"/>
          <w:szCs w:val="24"/>
          <w14:ligatures w14:val="standardContextual"/>
        </w:rPr>
        <w:t xml:space="preserve"> proširuje industrijski obuhvat integracijom dvaju poduzeća.</w:t>
      </w:r>
    </w:p>
    <w:p w14:paraId="0C7BAD3A" w14:textId="5574D988" w:rsidR="006E052A" w:rsidRPr="00BE5472" w:rsidRDefault="006E052A" w:rsidP="00120B4F">
      <w:pPr>
        <w:numPr>
          <w:ilvl w:val="0"/>
          <w:numId w:val="54"/>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Komplementarna sinergija</w:t>
      </w:r>
      <w:r w:rsidRPr="00BE5472">
        <w:rPr>
          <w:rFonts w:ascii="Times New Roman" w:hAnsi="Times New Roman" w:cs="Times New Roman"/>
          <w:kern w:val="2"/>
          <w:sz w:val="24"/>
          <w:szCs w:val="24"/>
          <w14:ligatures w14:val="standardContextual"/>
        </w:rPr>
        <w:t xml:space="preserve"> koristi </w:t>
      </w:r>
      <w:r w:rsidR="007742BC" w:rsidRPr="00BE5472">
        <w:rPr>
          <w:rFonts w:ascii="Times New Roman" w:hAnsi="Times New Roman" w:cs="Times New Roman"/>
          <w:kern w:val="2"/>
          <w:sz w:val="24"/>
          <w:szCs w:val="24"/>
          <w14:ligatures w14:val="standardContextual"/>
        </w:rPr>
        <w:t xml:space="preserve">se </w:t>
      </w:r>
      <w:r w:rsidRPr="00BE5472">
        <w:rPr>
          <w:rFonts w:ascii="Times New Roman" w:hAnsi="Times New Roman" w:cs="Times New Roman"/>
          <w:kern w:val="2"/>
          <w:sz w:val="24"/>
          <w:szCs w:val="24"/>
          <w14:ligatures w14:val="standardContextual"/>
        </w:rPr>
        <w:t>snag</w:t>
      </w:r>
      <w:r w:rsidR="007742BC" w:rsidRPr="00BE5472">
        <w:rPr>
          <w:rFonts w:ascii="Times New Roman" w:hAnsi="Times New Roman" w:cs="Times New Roman"/>
          <w:kern w:val="2"/>
          <w:sz w:val="24"/>
          <w:szCs w:val="24"/>
          <w14:ligatures w14:val="standardContextual"/>
        </w:rPr>
        <w:t>ama</w:t>
      </w:r>
      <w:r w:rsidRPr="00BE5472">
        <w:rPr>
          <w:rFonts w:ascii="Times New Roman" w:hAnsi="Times New Roman" w:cs="Times New Roman"/>
          <w:kern w:val="2"/>
          <w:sz w:val="24"/>
          <w:szCs w:val="24"/>
          <w14:ligatures w14:val="standardContextual"/>
        </w:rPr>
        <w:t xml:space="preserve"> međusobno povezanih poduzeća, poput tehnologije ili resursa kupaca. </w:t>
      </w:r>
    </w:p>
    <w:p w14:paraId="7FB137C6" w14:textId="77777777" w:rsidR="006E052A" w:rsidRPr="00BE5472" w:rsidRDefault="006E052A" w:rsidP="00120B4F">
      <w:pPr>
        <w:numPr>
          <w:ilvl w:val="0"/>
          <w:numId w:val="54"/>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Alternativna sinergija</w:t>
      </w:r>
      <w:r w:rsidRPr="00BE5472">
        <w:rPr>
          <w:rFonts w:ascii="Times New Roman" w:hAnsi="Times New Roman" w:cs="Times New Roman"/>
          <w:kern w:val="2"/>
          <w:sz w:val="24"/>
          <w:szCs w:val="24"/>
          <w14:ligatures w14:val="standardContextual"/>
        </w:rPr>
        <w:t xml:space="preserve"> podrazumijeva zamjenu slabijih resursa nadmoćnijim, što rezultira optimalnom alokacijom resursa.</w:t>
      </w:r>
    </w:p>
    <w:p w14:paraId="4CB59F7D"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Carpenter i Sanders (2007) spominju pet izvora sinergije: smanjenje prijetnji iz okruženja, povećana tržišna moć, ušteda troškova, povećana financijska snaga i iskorištavanje sposobnosti. Campbell i Goold (1998) identificiraju šest oblika sinergije: (1) dijeljenje stručnosti (eng. </w:t>
      </w:r>
      <w:r w:rsidRPr="00BE5472">
        <w:rPr>
          <w:rFonts w:ascii="Times New Roman" w:hAnsi="Times New Roman" w:cs="Times New Roman"/>
          <w:i/>
          <w:kern w:val="2"/>
          <w:sz w:val="24"/>
          <w:szCs w:val="24"/>
          <w14:ligatures w14:val="standardContextual"/>
        </w:rPr>
        <w:t>know-how</w:t>
      </w:r>
      <w:r w:rsidRPr="00BE5472">
        <w:rPr>
          <w:rFonts w:ascii="Times New Roman" w:hAnsi="Times New Roman" w:cs="Times New Roman"/>
          <w:kern w:val="2"/>
          <w:sz w:val="24"/>
          <w:szCs w:val="24"/>
          <w14:ligatures w14:val="standardContextual"/>
        </w:rPr>
        <w:t xml:space="preserve">); (2) dijeljenje opipljivih resursa; (3) kombinirana pregovaračka snaga; (4) koordinirane strategije; (5) vertikalna integracija i (6) stvaranje zajedničkih poslova. Canina i Kim (2010) i Kim i Canina (2013: 417) sinergijske učinke u industriji smještaja dijele na: </w:t>
      </w:r>
    </w:p>
    <w:p w14:paraId="6EB46249" w14:textId="2BA132BF" w:rsidR="006E052A" w:rsidRPr="00BE5472" w:rsidRDefault="006E052A" w:rsidP="00120B4F">
      <w:pPr>
        <w:numPr>
          <w:ilvl w:val="0"/>
          <w:numId w:val="53"/>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koluzivni učinci</w:t>
      </w:r>
      <w:r w:rsidRPr="00BE5472">
        <w:rPr>
          <w:rFonts w:ascii="Times New Roman" w:hAnsi="Times New Roman" w:cs="Times New Roman"/>
          <w:kern w:val="2"/>
          <w:sz w:val="24"/>
          <w:szCs w:val="24"/>
          <w14:ligatures w14:val="standardContextual"/>
        </w:rPr>
        <w:t xml:space="preserve"> – odnose se na tržišnu moć na tržištu izlaznih proizvoda i kupovnu moć na tržištu ulaznih proizvoda kada industrija postaje sve više monopolistička</w:t>
      </w:r>
      <w:r w:rsidR="007742BC" w:rsidRPr="00BE5472">
        <w:rPr>
          <w:rFonts w:ascii="Times New Roman" w:hAnsi="Times New Roman" w:cs="Times New Roman"/>
          <w:kern w:val="2"/>
          <w:sz w:val="24"/>
          <w:szCs w:val="24"/>
          <w14:ligatures w14:val="standardContextual"/>
        </w:rPr>
        <w:t>,</w:t>
      </w:r>
    </w:p>
    <w:p w14:paraId="192B8F98" w14:textId="3012D6B6" w:rsidR="006E052A" w:rsidRPr="00BE5472" w:rsidRDefault="006E052A" w:rsidP="00120B4F">
      <w:pPr>
        <w:numPr>
          <w:ilvl w:val="0"/>
          <w:numId w:val="53"/>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lastRenderedPageBreak/>
        <w:t>operativni učinci</w:t>
      </w:r>
      <w:r w:rsidRPr="00BE5472">
        <w:rPr>
          <w:rFonts w:ascii="Times New Roman" w:hAnsi="Times New Roman" w:cs="Times New Roman"/>
          <w:kern w:val="2"/>
          <w:sz w:val="24"/>
          <w:szCs w:val="24"/>
          <w14:ligatures w14:val="standardContextual"/>
        </w:rPr>
        <w:t xml:space="preserve"> – nastaju zbog ekonomija obujma i veće iskoristivosti objekata i osoblja, raspodjele troškova ili prednosti zajedničkih obrazaca učenja</w:t>
      </w:r>
      <w:r w:rsidR="007742BC" w:rsidRPr="00BE5472">
        <w:rPr>
          <w:rFonts w:ascii="Times New Roman" w:hAnsi="Times New Roman" w:cs="Times New Roman"/>
          <w:kern w:val="2"/>
          <w:sz w:val="24"/>
          <w:szCs w:val="24"/>
          <w14:ligatures w14:val="standardContextual"/>
        </w:rPr>
        <w:t>,</w:t>
      </w:r>
    </w:p>
    <w:p w14:paraId="37308479" w14:textId="3E718E50" w:rsidR="006E052A" w:rsidRPr="00BE5472" w:rsidRDefault="006E052A" w:rsidP="00120B4F">
      <w:pPr>
        <w:numPr>
          <w:ilvl w:val="0"/>
          <w:numId w:val="53"/>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menadžerski učinci</w:t>
      </w:r>
      <w:r w:rsidRPr="00BE5472">
        <w:rPr>
          <w:rFonts w:ascii="Times New Roman" w:hAnsi="Times New Roman" w:cs="Times New Roman"/>
          <w:kern w:val="2"/>
          <w:sz w:val="24"/>
          <w:szCs w:val="24"/>
          <w14:ligatures w14:val="standardContextual"/>
        </w:rPr>
        <w:t xml:space="preserve"> – ostvaruju se kada kompetentni menadžment na najbolji mogući način iskombinira najbolje sposobnosti i znanja u poduzeću</w:t>
      </w:r>
      <w:r w:rsidR="007742BC"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w:t>
      </w:r>
    </w:p>
    <w:p w14:paraId="5B56F005" w14:textId="58FFF64F" w:rsidR="006E052A" w:rsidRPr="00BE5472" w:rsidRDefault="006E052A" w:rsidP="00120B4F">
      <w:pPr>
        <w:numPr>
          <w:ilvl w:val="0"/>
          <w:numId w:val="53"/>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financijski učinci</w:t>
      </w:r>
      <w:r w:rsidRPr="00BE5472">
        <w:rPr>
          <w:rFonts w:ascii="Times New Roman" w:hAnsi="Times New Roman" w:cs="Times New Roman"/>
          <w:kern w:val="2"/>
          <w:sz w:val="24"/>
          <w:szCs w:val="24"/>
          <w14:ligatures w14:val="standardContextual"/>
        </w:rPr>
        <w:t xml:space="preserve"> </w:t>
      </w:r>
      <w:r w:rsidR="007742BC"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dobit koja se očekuje od smanjenja troškova kapitala zbog diverzifikacije ili efikasnije strukture kapitala te ušteda na kamatama i drugim porezima koje proizlaze iz spajanja.</w:t>
      </w:r>
    </w:p>
    <w:p w14:paraId="3142D665"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Napier je pak 1989. godine izdvojio dvije opće kategorije pokretača spajanja i preuzimanja: </w:t>
      </w:r>
    </w:p>
    <w:p w14:paraId="6C27ADB7" w14:textId="77777777" w:rsidR="006E052A" w:rsidRPr="00BE5472" w:rsidRDefault="006E052A" w:rsidP="00120B4F">
      <w:pPr>
        <w:numPr>
          <w:ilvl w:val="0"/>
          <w:numId w:val="74"/>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financijski pokretači ili maksimizatori vrijednosti</w:t>
      </w:r>
      <w:r w:rsidRPr="00BE5472">
        <w:rPr>
          <w:rFonts w:ascii="Times New Roman" w:hAnsi="Times New Roman" w:cs="Times New Roman"/>
          <w:kern w:val="2"/>
          <w:sz w:val="24"/>
          <w:szCs w:val="24"/>
          <w14:ligatures w14:val="standardContextual"/>
        </w:rPr>
        <w:t xml:space="preserve"> – povećanje tržišnog udjela i stvaranje vrijednosti za dioničare (povećanje sinergije ekonomijom obujma, smanjenjem transakcijskih troškova, primjena znanja i vještina iz jednog poduzeća u drugo, kontrola menadžmenta poduzeća mete kako bi se utjecalo na rezultate poslovanja u budućnosti) (Fan, 2020, 28). </w:t>
      </w:r>
    </w:p>
    <w:p w14:paraId="49403B31" w14:textId="77777777" w:rsidR="006E052A" w:rsidRPr="00BE5472" w:rsidRDefault="006E052A" w:rsidP="00120B4F">
      <w:pPr>
        <w:numPr>
          <w:ilvl w:val="0"/>
          <w:numId w:val="74"/>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i/>
          <w:kern w:val="2"/>
          <w:sz w:val="24"/>
          <w:szCs w:val="24"/>
          <w14:ligatures w14:val="standardContextual"/>
        </w:rPr>
        <w:t>menadžerski pokretači</w:t>
      </w:r>
      <w:r w:rsidRPr="00BE5472">
        <w:rPr>
          <w:rFonts w:ascii="Times New Roman" w:hAnsi="Times New Roman" w:cs="Times New Roman"/>
          <w:kern w:val="2"/>
          <w:sz w:val="24"/>
          <w:szCs w:val="24"/>
          <w14:ligatures w14:val="standardContextual"/>
        </w:rPr>
        <w:t xml:space="preserve"> – povećanje prihoda od prodaje, povećanje imovine poduzeća, širenje menadžerskih snaga, poboljšanje izgleda karijere glavnog izvršnog direktora, smanjenje nesigurnosti vanjskog okruženja poduzeća (Fan 2020: 28). </w:t>
      </w:r>
    </w:p>
    <w:p w14:paraId="402BAE6D" w14:textId="7883CA2F"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Slično navedenome, Nguyen, Yung i Sun (2012: 1359</w:t>
      </w:r>
      <w:r w:rsidR="00EC6E90"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w:t>
      </w:r>
      <w:r w:rsidR="00EC6E90"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1360) dijele pokretače spajanja i preuzimanja na: </w:t>
      </w:r>
    </w:p>
    <w:p w14:paraId="66CF6D74" w14:textId="6873F5F4" w:rsidR="006E052A" w:rsidRPr="00BE5472" w:rsidRDefault="007742BC" w:rsidP="00120B4F">
      <w:pPr>
        <w:numPr>
          <w:ilvl w:val="0"/>
          <w:numId w:val="5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w:t>
      </w:r>
      <w:r w:rsidR="006E052A" w:rsidRPr="00BE5472">
        <w:rPr>
          <w:rFonts w:ascii="Times New Roman" w:hAnsi="Times New Roman" w:cs="Times New Roman"/>
          <w:kern w:val="2"/>
          <w:sz w:val="24"/>
          <w:szCs w:val="24"/>
          <w14:ligatures w14:val="standardContextual"/>
        </w:rPr>
        <w:t xml:space="preserve">okretače </w:t>
      </w:r>
      <w:r w:rsidR="006E052A" w:rsidRPr="00BE5472">
        <w:rPr>
          <w:rFonts w:ascii="Times New Roman" w:hAnsi="Times New Roman" w:cs="Times New Roman"/>
          <w:i/>
          <w:kern w:val="2"/>
          <w:sz w:val="24"/>
          <w:szCs w:val="24"/>
          <w14:ligatures w14:val="standardContextual"/>
        </w:rPr>
        <w:t>koji doprinose povećanju vrijednosti</w:t>
      </w:r>
      <w:r w:rsidR="006E052A" w:rsidRPr="00BE5472">
        <w:rPr>
          <w:rFonts w:ascii="Times New Roman" w:hAnsi="Times New Roman" w:cs="Times New Roman"/>
          <w:kern w:val="2"/>
          <w:sz w:val="24"/>
          <w:szCs w:val="24"/>
          <w14:ligatures w14:val="standardContextual"/>
        </w:rPr>
        <w:t xml:space="preserve"> spajanja i preuzimanja koja se primarno provode kako bi se iskoristila sinergija kombiniranjem fizičkih operacija dvaju poduzeća (povećanje tržišnog udjela, odgovor na industrijske šokove, ekonomija obujma, financijska sinergija, porezi, iskorištavanje asimetričnih informacija između poduzeća preuzimatelja i poduzeća mete) i  </w:t>
      </w:r>
    </w:p>
    <w:p w14:paraId="3EA6DD86" w14:textId="6B7ED19D" w:rsidR="006E052A" w:rsidRPr="00BE5472" w:rsidRDefault="007742BC" w:rsidP="00120B4F">
      <w:pPr>
        <w:numPr>
          <w:ilvl w:val="0"/>
          <w:numId w:val="51"/>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w:t>
      </w:r>
      <w:r w:rsidR="006E052A" w:rsidRPr="00BE5472">
        <w:rPr>
          <w:rFonts w:ascii="Times New Roman" w:hAnsi="Times New Roman" w:cs="Times New Roman"/>
          <w:kern w:val="2"/>
          <w:sz w:val="24"/>
          <w:szCs w:val="24"/>
          <w14:ligatures w14:val="standardContextual"/>
        </w:rPr>
        <w:t xml:space="preserve">okretače  </w:t>
      </w:r>
      <w:r w:rsidR="006E052A" w:rsidRPr="00BE5472">
        <w:rPr>
          <w:rFonts w:ascii="Times New Roman" w:hAnsi="Times New Roman" w:cs="Times New Roman"/>
          <w:i/>
          <w:kern w:val="2"/>
          <w:sz w:val="24"/>
          <w:szCs w:val="24"/>
          <w14:ligatures w14:val="standardContextual"/>
        </w:rPr>
        <w:t>koji ne doprinose povećanju vrijednosti</w:t>
      </w:r>
      <w:r w:rsidR="006E052A" w:rsidRPr="00BE5472">
        <w:rPr>
          <w:rFonts w:ascii="Times New Roman" w:hAnsi="Times New Roman" w:cs="Times New Roman"/>
          <w:kern w:val="2"/>
          <w:sz w:val="24"/>
          <w:szCs w:val="24"/>
          <w14:ligatures w14:val="standardContextual"/>
        </w:rPr>
        <w:t xml:space="preserve"> koje autori povezuju s agencijskom teorijom (kada</w:t>
      </w:r>
      <w:r w:rsidRPr="00BE5472">
        <w:rPr>
          <w:rFonts w:ascii="Times New Roman" w:hAnsi="Times New Roman" w:cs="Times New Roman"/>
          <w:kern w:val="2"/>
          <w:sz w:val="24"/>
          <w:szCs w:val="24"/>
          <w14:ligatures w14:val="standardContextual"/>
        </w:rPr>
        <w:t xml:space="preserve"> se</w:t>
      </w:r>
      <w:r w:rsidR="006E052A" w:rsidRPr="00BE5472">
        <w:rPr>
          <w:rFonts w:ascii="Times New Roman" w:hAnsi="Times New Roman" w:cs="Times New Roman"/>
          <w:kern w:val="2"/>
          <w:sz w:val="24"/>
          <w:szCs w:val="24"/>
          <w14:ligatures w14:val="standardContextual"/>
        </w:rPr>
        <w:t xml:space="preserve"> menadžeri koriste vlastit</w:t>
      </w:r>
      <w:r w:rsidRPr="00BE5472">
        <w:rPr>
          <w:rFonts w:ascii="Times New Roman" w:hAnsi="Times New Roman" w:cs="Times New Roman"/>
          <w:kern w:val="2"/>
          <w:sz w:val="24"/>
          <w:szCs w:val="24"/>
          <w14:ligatures w14:val="standardContextual"/>
        </w:rPr>
        <w:t>im</w:t>
      </w:r>
      <w:r w:rsidR="006E052A" w:rsidRPr="00BE5472">
        <w:rPr>
          <w:rFonts w:ascii="Times New Roman" w:hAnsi="Times New Roman" w:cs="Times New Roman"/>
          <w:kern w:val="2"/>
          <w:sz w:val="24"/>
          <w:szCs w:val="24"/>
          <w14:ligatures w14:val="standardContextual"/>
        </w:rPr>
        <w:t xml:space="preserve"> povlastic</w:t>
      </w:r>
      <w:r w:rsidRPr="00BE5472">
        <w:rPr>
          <w:rFonts w:ascii="Times New Roman" w:hAnsi="Times New Roman" w:cs="Times New Roman"/>
          <w:kern w:val="2"/>
          <w:sz w:val="24"/>
          <w:szCs w:val="24"/>
          <w14:ligatures w14:val="standardContextual"/>
        </w:rPr>
        <w:t>ama</w:t>
      </w:r>
      <w:r w:rsidR="006E052A" w:rsidRPr="00BE5472">
        <w:rPr>
          <w:rFonts w:ascii="Times New Roman" w:hAnsi="Times New Roman" w:cs="Times New Roman"/>
          <w:kern w:val="2"/>
          <w:sz w:val="24"/>
          <w:szCs w:val="24"/>
          <w14:ligatures w14:val="standardContextual"/>
        </w:rPr>
        <w:t xml:space="preserve"> na trošak vlasnika, žele ostvariti osobne interese i sl.), </w:t>
      </w:r>
      <w:r w:rsidR="006E052A" w:rsidRPr="00BE5472">
        <w:rPr>
          <w:rFonts w:ascii="Times New Roman" w:hAnsi="Times New Roman" w:cs="Times New Roman"/>
          <w:i/>
          <w:kern w:val="2"/>
          <w:sz w:val="24"/>
          <w:szCs w:val="24"/>
          <w14:ligatures w14:val="standardContextual"/>
        </w:rPr>
        <w:t>hubrisom</w:t>
      </w:r>
      <w:r w:rsidRPr="00BE5472">
        <w:rPr>
          <w:rFonts w:ascii="Times New Roman" w:hAnsi="Times New Roman" w:cs="Times New Roman"/>
          <w:kern w:val="2"/>
          <w:sz w:val="24"/>
          <w:szCs w:val="24"/>
          <w14:ligatures w14:val="standardContextual"/>
        </w:rPr>
        <w:t>,</w:t>
      </w:r>
      <w:r w:rsidR="006E052A" w:rsidRPr="00BE5472">
        <w:rPr>
          <w:rFonts w:ascii="Times New Roman" w:hAnsi="Times New Roman" w:cs="Times New Roman"/>
          <w:kern w:val="2"/>
          <w:sz w:val="24"/>
          <w:szCs w:val="24"/>
          <w14:ligatures w14:val="standardContextual"/>
        </w:rPr>
        <w:t xml:space="preserve"> odnosno prekomjernom samouvjerenošću ili arogancijom (obično povezanom s preuzimanjem visokog rizika ili neopravdanom sigurnošću u uspjeh) i optimalnim tržišnim trenutkom. Ovo potonje je strategija </w:t>
      </w:r>
      <w:r w:rsidR="006E052A" w:rsidRPr="00BE5472">
        <w:rPr>
          <w:rFonts w:ascii="Times New Roman" w:hAnsi="Times New Roman" w:cs="Times New Roman"/>
          <w:kern w:val="2"/>
          <w:sz w:val="24"/>
          <w:szCs w:val="24"/>
          <w14:ligatures w14:val="standardContextual"/>
        </w:rPr>
        <w:lastRenderedPageBreak/>
        <w:t>investiranja koja uključuje pokušaj predviđanja budućih kretanja na tržištu kako bi se kapital uložio ili povukao u optimalnom trenutku. Ova strategija uključuje procjenu trenut</w:t>
      </w:r>
      <w:r w:rsidR="009F3C04" w:rsidRPr="00BE5472">
        <w:rPr>
          <w:rFonts w:ascii="Times New Roman" w:hAnsi="Times New Roman" w:cs="Times New Roman"/>
          <w:kern w:val="2"/>
          <w:sz w:val="24"/>
          <w:szCs w:val="24"/>
          <w14:ligatures w14:val="standardContextual"/>
        </w:rPr>
        <w:t>ač</w:t>
      </w:r>
      <w:r w:rsidR="006E052A" w:rsidRPr="00BE5472">
        <w:rPr>
          <w:rFonts w:ascii="Times New Roman" w:hAnsi="Times New Roman" w:cs="Times New Roman"/>
          <w:kern w:val="2"/>
          <w:sz w:val="24"/>
          <w:szCs w:val="24"/>
          <w14:ligatures w14:val="standardContextual"/>
        </w:rPr>
        <w:t>nog stanja tržišta i pokušaj pronalaženja povoljnog vremena za kupnju ili prodaju financijskih instrumenata poput dionica ili obveznica (uklapa se u teoriju ponašanja). No, zaključak je njihova istraživanja da je općenito vrlo teško dobiti jasnu sliku pokretača spajanja i preuzimanja jer se motivi koji povećavaju i/ili smanjuju vrijednost mogu pojavljivati istovremeno u procesu.</w:t>
      </w:r>
    </w:p>
    <w:p w14:paraId="228D241D" w14:textId="458AC5C1"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Oprečna su stajališta i zaključci istraživača po pitanjima utjecaja spajanja i preuzimanja na stvaranje i povećanje vrijednosti. Tako je ispitivanje utjecaja spajanja i preuzimanja na bogatstvo dioničara vječno otvoreno pitanje kako navode Hsu i Jang (2007). Brojna su istraživanja pokazala da dioničari preuzetih poduzeća općenito imaju koristi</w:t>
      </w:r>
      <w:r w:rsidR="007742BC"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kern w:val="2"/>
          <w:sz w:val="24"/>
          <w:szCs w:val="24"/>
          <w14:ligatures w14:val="standardContextual"/>
        </w:rPr>
        <w:t xml:space="preserve">od spajanja zbog premije koju dobivaju prodajom svojih dionica (Franks i sur. 1991; Kwansa 1994). S druge strane, pravi dokazi o dobiti koju ostvaruju dioničari poduzeća preuzimatelja nisu jasni. Iako su neka istraživanja ukazala na značajnije negativne abnormalne povrate (Agrawal i sur. 1992; Loderer i Martin 1992), druga su pokazala male ili nikakve abnormalne povrate od spajanja (Amihud, Dodd i Weinstein 1986.; Asquish 1983.). Tako, primjerice, Denis (2001) u svojem istraživanju utvrđuje da spajanja i preuzimanju doprinose porastu vrijednosti kada poduzeće preuzimatelj preuzima poduzeće s lošom upravljačkom strukturom koju zamjenjuje vlastitim menadžmentom. S druge strane, Haleblian i sur. (2009) ukazuju da ovi procesi mogu dovesti i do padanja vrijednosti jer se u praksi reflektira problematika spomenute menadžerske, odnosno agencijske teorije (Jensen i Meckling 1976) pri čemu menadžeri teže ostvarivanju isključivo vlastitog interesa te uz višak slobodnih financijskih sredstava odabiru lošije mogućnosti ulaganja. Jednako se tako pojavljuju kontradikcije oko financijskih koristi i uspješnosti poslovanja između poduzeća preuzimatelja i poduzeća mete prije i nakon spajanja i preuzimanja. Mulherin i sur. (2017) u svojem istraživanju dokazuju da veću korist ostvaruju poduzeća mete. Isto je dokazano istraživanjem koje je proveo Carper (1990) i analizom dostupne literature u području korporativnih spajanja i preuzimanja. Došao je do zaključka da poduzeća koja se uključuju u procese spajanja i preuzimanja kao preuzimatelji u konačnici realiziraju negativne učinke po vlastite dioničare. Zbog toga ovaj autor sugerira pronalazak drugih opravdanih razloga za pokretanje procesa spajanja i preuzimanja radi ostvarivanja mogućih dugoročnijih pozitivnih učinaka ovakvih procesa. Vezano uz hotelijerstvo, Kim i Canina (2013) navode da je stvaranje vrijednosti osnovni pokretač spajanja i preuzimanja u </w:t>
      </w:r>
      <w:r w:rsidRPr="00BE5472">
        <w:rPr>
          <w:rFonts w:ascii="Times New Roman" w:hAnsi="Times New Roman" w:cs="Times New Roman"/>
          <w:kern w:val="2"/>
          <w:sz w:val="24"/>
          <w:szCs w:val="24"/>
          <w14:ligatures w14:val="standardContextual"/>
        </w:rPr>
        <w:lastRenderedPageBreak/>
        <w:t xml:space="preserve">industriji smještaja. Rezultati istraživanja kojeg su proveli Hsu i Jang (2007) ukazali su da dioničari hotelskih poduzeća preuzimatelja nisu ostvarili abnormalne prinose na dionice u kratkom roku, što ukazuje na nedostatak značajnog odnosa između trenutka najave spajanja i promjene u kratkoročnoj vrijednosti dionica. Suprotno općim očekivanjima, njihova studija otkriva da spajanje ima negativan učinak na vrijednost dionica poduzeća preuzimatelja na dugi rok. Slično tome, ROA (stopa povrata na imovinu) i ROE (stopa povrata na kapital) pokazuju značajno smanjenje nakon spajanja. Zaključci njihovog istraživanja ukazuju na činjenicu da dioničari hotelskih poduzeća preuzimatelja nisu imali koristi od spajanja. Diskusija o ovoj problematici nastavlja se i u poglavlju </w:t>
      </w:r>
      <w:r w:rsidR="00F9234E" w:rsidRPr="00BE5472">
        <w:rPr>
          <w:rFonts w:ascii="Times New Roman" w:hAnsi="Times New Roman" w:cs="Times New Roman"/>
          <w:kern w:val="2"/>
          <w:sz w:val="24"/>
          <w:szCs w:val="24"/>
          <w14:ligatures w14:val="standardContextual"/>
        </w:rPr>
        <w:t>5.3</w:t>
      </w:r>
      <w:r w:rsidR="00502D20" w:rsidRPr="00BE5472">
        <w:rPr>
          <w:rFonts w:ascii="Times New Roman" w:hAnsi="Times New Roman" w:cs="Times New Roman"/>
          <w:kern w:val="2"/>
          <w:sz w:val="24"/>
          <w:szCs w:val="24"/>
          <w14:ligatures w14:val="standardContextual"/>
        </w:rPr>
        <w:t xml:space="preserve"> Rezultati kvantitativnog istraživanja</w:t>
      </w:r>
      <w:r w:rsidRPr="00BE5472">
        <w:rPr>
          <w:rFonts w:ascii="Times New Roman" w:hAnsi="Times New Roman" w:cs="Times New Roman"/>
          <w:kern w:val="2"/>
          <w:sz w:val="24"/>
          <w:szCs w:val="24"/>
          <w14:ligatures w14:val="standardContextual"/>
        </w:rPr>
        <w:t xml:space="preserve">. </w:t>
      </w:r>
    </w:p>
    <w:p w14:paraId="1BAF3C7C" w14:textId="77D16436"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Beena (2014) je klasificirala ciljeve spajanja i preuzimanja u četiri kategorije: 1) poboljšanje učinkovitosti, 2) koncentracija i osnaživanje monopola, 3) poboljšanje financijske situacije i 4) poticanje makroekonomskih promjena. Novak (2000: 48) izdvaja sljedeće učinke spajanja i preuzimanja: rast snage poduzeća, povećanje udjela na tržištu, proširenje proizvodnih linija, diverzifikacija koja smanjuje cikličke i operativne utjecaje, lakši pristup kapitalu kada se jedno društvo spoji s drugim koje ima značajna likvidna sredstva i nisku zaduženost, dobar prinos na investicije kada je tržišna vrijednost preuzetog poduzeća značajno niža od troškova njezine zamjene, viša tržišn</w:t>
      </w:r>
      <w:r w:rsidR="00C646AB"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cijen</w:t>
      </w:r>
      <w:r w:rsidR="00C646AB" w:rsidRPr="00BE5472">
        <w:rPr>
          <w:rFonts w:ascii="Times New Roman" w:hAnsi="Times New Roman" w:cs="Times New Roman"/>
          <w:kern w:val="2"/>
          <w:sz w:val="24"/>
          <w:szCs w:val="24"/>
          <w14:ligatures w14:val="standardContextual"/>
        </w:rPr>
        <w:t>a</w:t>
      </w:r>
      <w:r w:rsidRPr="00BE5472">
        <w:rPr>
          <w:rFonts w:ascii="Times New Roman" w:hAnsi="Times New Roman" w:cs="Times New Roman"/>
          <w:kern w:val="2"/>
          <w:sz w:val="24"/>
          <w:szCs w:val="24"/>
          <w14:ligatures w14:val="standardContextual"/>
        </w:rPr>
        <w:t xml:space="preserve"> dionica</w:t>
      </w:r>
      <w:r w:rsidR="00B5755A" w:rsidRPr="00BE5472">
        <w:rPr>
          <w:rFonts w:ascii="Times New Roman" w:hAnsi="Times New Roman" w:cs="Times New Roman"/>
          <w:kern w:val="2"/>
          <w:sz w:val="24"/>
          <w:szCs w:val="24"/>
          <w14:ligatures w14:val="standardContextual"/>
        </w:rPr>
        <w:t>,</w:t>
      </w:r>
      <w:r w:rsidRPr="00BE5472">
        <w:rPr>
          <w:rFonts w:ascii="Times New Roman" w:hAnsi="Times New Roman" w:cs="Times New Roman"/>
          <w:kern w:val="2"/>
          <w:sz w:val="24"/>
          <w:szCs w:val="24"/>
          <w14:ligatures w14:val="standardContextual"/>
        </w:rPr>
        <w:t xml:space="preserve"> što daje veći P/E</w:t>
      </w:r>
      <w:r w:rsidRPr="00BE5472">
        <w:rPr>
          <w:rFonts w:ascii="Times New Roman" w:hAnsi="Times New Roman" w:cs="Times New Roman"/>
          <w:kern w:val="2"/>
          <w:sz w:val="24"/>
          <w:szCs w:val="24"/>
          <w:vertAlign w:val="superscript"/>
          <w14:ligatures w14:val="standardContextual"/>
        </w:rPr>
        <w:footnoteReference w:id="7"/>
      </w:r>
      <w:r w:rsidRPr="00BE5472">
        <w:rPr>
          <w:rFonts w:ascii="Times New Roman" w:hAnsi="Times New Roman" w:cs="Times New Roman"/>
          <w:kern w:val="2"/>
          <w:sz w:val="24"/>
          <w:szCs w:val="24"/>
          <w14:ligatures w14:val="standardContextual"/>
        </w:rPr>
        <w:t xml:space="preserve"> odnos, bolje upravljanje razvojem, ostvarenje sinergijskog učinka. </w:t>
      </w:r>
    </w:p>
    <w:p w14:paraId="2CB0339F"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Pohlman (2017), slijedeći isti smjer, pokretače spajanja i preuzimanja u hotelijerstvu dijeli na:</w:t>
      </w:r>
    </w:p>
    <w:p w14:paraId="7EB914AE" w14:textId="25DD378A" w:rsidR="006E052A" w:rsidRPr="00BE5472" w:rsidRDefault="006E052A" w:rsidP="00120B4F">
      <w:pPr>
        <w:numPr>
          <w:ilvl w:val="0"/>
          <w:numId w:val="5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ofenzivne – primjerice, stjecanje većeg tržišnog udjela</w:t>
      </w:r>
      <w:r w:rsidR="00B5755A" w:rsidRPr="00BE5472">
        <w:rPr>
          <w:rFonts w:ascii="Times New Roman" w:hAnsi="Times New Roman" w:cs="Times New Roman"/>
          <w:kern w:val="2"/>
          <w:sz w:val="24"/>
          <w:szCs w:val="24"/>
          <w14:ligatures w14:val="standardContextual"/>
        </w:rPr>
        <w:t xml:space="preserve"> te</w:t>
      </w:r>
    </w:p>
    <w:p w14:paraId="1D5B40B6" w14:textId="77777777" w:rsidR="006E052A" w:rsidRPr="00BE5472" w:rsidRDefault="006E052A" w:rsidP="00120B4F">
      <w:pPr>
        <w:numPr>
          <w:ilvl w:val="0"/>
          <w:numId w:val="52"/>
        </w:num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obrambene (defenzivne) – primjerice, oni koji poboljšavaju pregovaračku moć hotelijera.</w:t>
      </w:r>
    </w:p>
    <w:p w14:paraId="50CE565D"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r w:rsidRPr="00BE5472">
        <w:rPr>
          <w:rFonts w:ascii="Times New Roman" w:hAnsi="Times New Roman" w:cs="Times New Roman"/>
          <w:kern w:val="2"/>
          <w:sz w:val="24"/>
          <w:szCs w:val="24"/>
          <w14:ligatures w14:val="standardContextual"/>
        </w:rPr>
        <w:t xml:space="preserve">Zaključno se može istaknuti da su pokretači spajanja i preuzimanja kompleksni, raznoliki i zapravo uzrokovani istovremenim djelovanjem više različitih motiva (Kummer i Steger, 2008, 45). </w:t>
      </w:r>
    </w:p>
    <w:p w14:paraId="16D41C3B" w14:textId="77777777" w:rsidR="006E052A" w:rsidRPr="00BE5472" w:rsidRDefault="006E052A" w:rsidP="006E052A">
      <w:pPr>
        <w:spacing w:line="360" w:lineRule="auto"/>
        <w:jc w:val="both"/>
        <w:rPr>
          <w:rFonts w:ascii="Times New Roman" w:hAnsi="Times New Roman" w:cs="Times New Roman"/>
          <w:kern w:val="2"/>
          <w:sz w:val="24"/>
          <w:szCs w:val="24"/>
          <w14:ligatures w14:val="standardContextual"/>
        </w:rPr>
      </w:pPr>
    </w:p>
    <w:p w14:paraId="21E7400B" w14:textId="77777777" w:rsidR="007B10FE" w:rsidRDefault="007B10FE" w:rsidP="003D13C0">
      <w:pPr>
        <w:pStyle w:val="Heading3"/>
        <w:rPr>
          <w:rFonts w:ascii="Times New Roman" w:hAnsi="Times New Roman" w:cs="Times New Roman"/>
        </w:rPr>
        <w:sectPr w:rsidR="007B10FE" w:rsidSect="00D03C2F">
          <w:pgSz w:w="12240" w:h="15840"/>
          <w:pgMar w:top="1440" w:right="1440" w:bottom="1440" w:left="1440" w:header="708" w:footer="708" w:gutter="0"/>
          <w:cols w:space="708"/>
          <w:docGrid w:linePitch="360"/>
        </w:sectPr>
      </w:pPr>
      <w:bookmarkStart w:id="119" w:name="_Toc210381425"/>
    </w:p>
    <w:p w14:paraId="624BD33B" w14:textId="1EA637C9" w:rsidR="006E052A" w:rsidRPr="00BE5472" w:rsidRDefault="006E052A" w:rsidP="003D13C0">
      <w:pPr>
        <w:pStyle w:val="Heading3"/>
        <w:rPr>
          <w:rFonts w:ascii="Times New Roman" w:hAnsi="Times New Roman" w:cs="Times New Roman"/>
        </w:rPr>
      </w:pPr>
      <w:bookmarkStart w:id="120" w:name="_Toc241865149"/>
      <w:r w:rsidRPr="00BE5472">
        <w:rPr>
          <w:rFonts w:ascii="Times New Roman" w:hAnsi="Times New Roman" w:cs="Times New Roman"/>
        </w:rPr>
        <w:lastRenderedPageBreak/>
        <w:t>3.4.2. Valovi spajanja i preuzimanja u hotelskom sektoru</w:t>
      </w:r>
      <w:bookmarkEnd w:id="119"/>
      <w:bookmarkEnd w:id="120"/>
    </w:p>
    <w:p w14:paraId="69B6D356" w14:textId="77777777" w:rsidR="00BC3443" w:rsidRPr="00BE5472" w:rsidRDefault="00BC3443" w:rsidP="00BC3443">
      <w:pPr>
        <w:rPr>
          <w:rFonts w:ascii="Times New Roman" w:hAnsi="Times New Roman" w:cs="Times New Roman"/>
        </w:rPr>
      </w:pPr>
    </w:p>
    <w:p w14:paraId="11F3696F" w14:textId="10B7F0D8"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Neujednačena distribucija ukupne aktivnosti spajanja i preuzimanja  u vremenu sugerira prisutnost valova spajanja i preuzimanja. Valovi spajanja i preuzimanja mogu se opisati kao značajan porast učestalosti i vrijednosti transakcija spajanja i preuzimanja tijekom određenog razdoblja na razini industrije, nacionalnoj i globalnoj razini (Martynova i Renneboog 2008).</w:t>
      </w:r>
      <w:r w:rsidRPr="00BE5472">
        <w:rPr>
          <w:rFonts w:ascii="Times New Roman" w:hAnsi="Times New Roman" w:cs="Times New Roman"/>
        </w:rPr>
        <w:t xml:space="preserve"> </w:t>
      </w:r>
      <w:r w:rsidRPr="00BE5472">
        <w:rPr>
          <w:rFonts w:ascii="Times New Roman" w:hAnsi="Times New Roman" w:cs="Times New Roman"/>
          <w:sz w:val="24"/>
          <w:szCs w:val="24"/>
        </w:rPr>
        <w:t>Istraživači procesa spajanja i preuzimanja se slažu oko izdvajanja šest tipičnih valova koji su se događali tijekom povijesti (uz eventualne rasprave oko početnih i krajnjih godina svakog vala)</w:t>
      </w:r>
      <w:r w:rsidR="00B5755A"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ilustrirano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6A7D13" w:rsidRPr="00BE5472">
        <w:rPr>
          <w:rFonts w:ascii="Times New Roman" w:hAnsi="Times New Roman" w:cs="Times New Roman"/>
          <w:sz w:val="24"/>
          <w:szCs w:val="24"/>
        </w:rPr>
        <w:t>10</w:t>
      </w:r>
      <w:r w:rsidRPr="00BE5472">
        <w:rPr>
          <w:rFonts w:ascii="Times New Roman" w:hAnsi="Times New Roman" w:cs="Times New Roman"/>
          <w:sz w:val="24"/>
          <w:szCs w:val="24"/>
        </w:rPr>
        <w:t xml:space="preserve">. </w:t>
      </w:r>
    </w:p>
    <w:p w14:paraId="754742CB" w14:textId="324AFE90" w:rsidR="006E052A" w:rsidRPr="001B337F" w:rsidRDefault="001B337F" w:rsidP="001B337F">
      <w:pPr>
        <w:pStyle w:val="Caption"/>
        <w:rPr>
          <w:rFonts w:ascii="Times New Roman" w:hAnsi="Times New Roman" w:cs="Times New Roman"/>
          <w:sz w:val="24"/>
          <w:szCs w:val="24"/>
        </w:rPr>
      </w:pPr>
      <w:bookmarkStart w:id="121" w:name="_Toc241865204"/>
      <w:r w:rsidRPr="001B337F">
        <w:rPr>
          <w:rFonts w:ascii="Times New Roman" w:hAnsi="Times New Roman" w:cs="Times New Roman"/>
          <w:sz w:val="24"/>
          <w:szCs w:val="24"/>
        </w:rPr>
        <w:t xml:space="preserve">Tablica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Tablica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10</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Valovi spajanja i preuzimanja od 19. do 21. stoljeća</w:t>
      </w:r>
      <w:bookmarkEnd w:id="121"/>
    </w:p>
    <w:tbl>
      <w:tblPr>
        <w:tblStyle w:val="Svijetlatablicareetke11"/>
        <w:tblW w:w="0" w:type="auto"/>
        <w:tblLook w:val="04A0" w:firstRow="1" w:lastRow="0" w:firstColumn="1" w:lastColumn="0" w:noHBand="0" w:noVBand="1"/>
      </w:tblPr>
      <w:tblGrid>
        <w:gridCol w:w="2263"/>
        <w:gridCol w:w="7087"/>
      </w:tblGrid>
      <w:tr w:rsidR="006E052A" w:rsidRPr="00BE5472" w14:paraId="3988CF41" w14:textId="77777777" w:rsidTr="007201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9DA6367" w14:textId="77777777" w:rsidR="006E052A" w:rsidRPr="00BE5472" w:rsidRDefault="006E052A" w:rsidP="006E052A">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VALOVI</w:t>
            </w:r>
          </w:p>
        </w:tc>
        <w:tc>
          <w:tcPr>
            <w:tcW w:w="7087" w:type="dxa"/>
          </w:tcPr>
          <w:p w14:paraId="5A24316B" w14:textId="77777777" w:rsidR="006E052A" w:rsidRPr="00BE5472" w:rsidRDefault="006E052A" w:rsidP="006E052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KARAKTERISTIKE</w:t>
            </w:r>
          </w:p>
        </w:tc>
      </w:tr>
      <w:tr w:rsidR="006E052A" w:rsidRPr="00BE5472" w14:paraId="06A0BF86"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5083D458" w14:textId="77777777"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Prvi val</w:t>
            </w:r>
          </w:p>
        </w:tc>
        <w:tc>
          <w:tcPr>
            <w:tcW w:w="7087" w:type="dxa"/>
          </w:tcPr>
          <w:p w14:paraId="6C7604BD"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 xml:space="preserve">Obuhvaća razdoblje od 1897. do 1907. godine kada se bilježi rast aktivnosti spajanja i preuzimanja kod onih poduzeća koja su težila ostvarivanju koristi iz vlastite proizvodnje na način da postanu jedini ponuđač određenih proizvoda ili usluga na tržištu (npr. željeznice, električna energija i sl.). U tom se razdoblju bilježe horizontalna spajanja i preuzimanja. Većina je transakcija, nažalost, bila neuspješna jer se spajanjima i preuzimanjima nisu ostvarili željeni ciljevi. </w:t>
            </w:r>
          </w:p>
        </w:tc>
      </w:tr>
      <w:tr w:rsidR="006E052A" w:rsidRPr="00BE5472" w14:paraId="01E47BF1"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5FE02AB4" w14:textId="77777777"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Drugi val</w:t>
            </w:r>
          </w:p>
        </w:tc>
        <w:tc>
          <w:tcPr>
            <w:tcW w:w="7087" w:type="dxa"/>
          </w:tcPr>
          <w:p w14:paraId="35D32FFB"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 xml:space="preserve">Obuhvaća razdoblje od 1916. do 1929. godine. Poduzeća koja su se odlučila na provođenje spajanja i preuzimanja kao odabranih strategija vanjskog rasta odlučila su to kako bi postala oligopolisti na tržištu, a najčešće se radilo o poduzećima koja su eksploatirala rude i minerale, hranu, naftu, kemikalije, ali bilo je i prijevoznika. Paralelno se u ovom razdoblju događala ekspanzija tehnologije i sve snažniji razvoj željeznica. U tom se razdoblju bilježe horizontalna i konglomeratska spajanja i preuzimanja. Banke su u ovom razdoblju već imale snažnu ulogu jer su odobravale kredite za provođenje ovakvih transakcija. </w:t>
            </w:r>
          </w:p>
        </w:tc>
      </w:tr>
      <w:tr w:rsidR="006E052A" w:rsidRPr="00BE5472" w14:paraId="0A5FCE9B"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3573722A" w14:textId="77777777"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Treći  val</w:t>
            </w:r>
          </w:p>
        </w:tc>
        <w:tc>
          <w:tcPr>
            <w:tcW w:w="7087" w:type="dxa"/>
          </w:tcPr>
          <w:p w14:paraId="28EF9625" w14:textId="042E6DB9"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Obuhvaća razdoblje od 1965. do 1969. godine. U ovom se razdoblju bilježe konglomeratska spajanja i preuzimanja.  Aktivnosti spajanja i preuzimanja financirale su se kapitalom vlasnika</w:t>
            </w:r>
            <w:r w:rsidR="00B5755A" w:rsidRPr="00BE5472">
              <w:rPr>
                <w:rFonts w:ascii="Times New Roman" w:hAnsi="Times New Roman" w:cs="Times New Roman"/>
                <w:sz w:val="24"/>
                <w:szCs w:val="24"/>
              </w:rPr>
              <w:t>,</w:t>
            </w:r>
            <w:r w:rsidRPr="00BE5472">
              <w:rPr>
                <w:rFonts w:ascii="Times New Roman" w:hAnsi="Times New Roman" w:cs="Times New Roman"/>
                <w:sz w:val="24"/>
                <w:szCs w:val="24"/>
              </w:rPr>
              <w:t xml:space="preserve"> tako da banke više </w:t>
            </w:r>
            <w:r w:rsidRPr="00BE5472">
              <w:rPr>
                <w:rFonts w:ascii="Times New Roman" w:hAnsi="Times New Roman" w:cs="Times New Roman"/>
                <w:sz w:val="24"/>
                <w:szCs w:val="24"/>
              </w:rPr>
              <w:lastRenderedPageBreak/>
              <w:t xml:space="preserve">nisu imale značajnu ulogu u podržavanju transakcija. Nažalost, konsolidacija vrlo različitih poduzeća se pokazala neuspješnom. </w:t>
            </w:r>
          </w:p>
        </w:tc>
      </w:tr>
      <w:tr w:rsidR="006E052A" w:rsidRPr="00BE5472" w14:paraId="19AE740C"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1885B686" w14:textId="77777777"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lastRenderedPageBreak/>
              <w:t>Četvrti val</w:t>
            </w:r>
          </w:p>
        </w:tc>
        <w:tc>
          <w:tcPr>
            <w:tcW w:w="7087" w:type="dxa"/>
          </w:tcPr>
          <w:p w14:paraId="5CB7FE95" w14:textId="3E712015"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Obuhvaća razdoblje od 1981. do 1989. godine. Karakteristika ovog razdoblja su neprijateljska spajanja i preuzimanja koja postaju prihvatljiv tip rasta poduzeća pa su tako špekulativne aktivnosti zapravo postale prihvatljiv oblik poslovanja jer su poduzeća preuzimatelji snažno profitirala u vrlo kratkom razdoblju. Spajanja i preuzimanja su inicirala poduzeća iz naftnog sektora, farmaceutskog</w:t>
            </w:r>
            <w:r w:rsidR="00B5755A" w:rsidRPr="00BE5472">
              <w:rPr>
                <w:rFonts w:ascii="Times New Roman" w:hAnsi="Times New Roman" w:cs="Times New Roman"/>
                <w:sz w:val="24"/>
                <w:szCs w:val="24"/>
              </w:rPr>
              <w:t xml:space="preserve"> i</w:t>
            </w:r>
            <w:r w:rsidRPr="00BE5472">
              <w:rPr>
                <w:rFonts w:ascii="Times New Roman" w:hAnsi="Times New Roman" w:cs="Times New Roman"/>
                <w:sz w:val="24"/>
                <w:szCs w:val="24"/>
              </w:rPr>
              <w:t xml:space="preserve"> bankarskog, ali bilo je evidentirano spajanja i preuzimanja zračnih p</w:t>
            </w:r>
            <w:r w:rsidR="0085056F" w:rsidRPr="00BE5472">
              <w:rPr>
                <w:rFonts w:ascii="Times New Roman" w:hAnsi="Times New Roman" w:cs="Times New Roman"/>
                <w:sz w:val="24"/>
                <w:szCs w:val="24"/>
              </w:rPr>
              <w:t>rijevoznika</w:t>
            </w:r>
            <w:r w:rsidRPr="00BE5472">
              <w:rPr>
                <w:rFonts w:ascii="Times New Roman" w:hAnsi="Times New Roman" w:cs="Times New Roman"/>
                <w:sz w:val="24"/>
                <w:szCs w:val="24"/>
              </w:rPr>
              <w:t>. Gaughan (2015: 4) poduzeća koja poduzimaju ovakva neprijateljska i spekulativna preuzimanja naziva „korporativnim pljačkašima“ (eng. c</w:t>
            </w:r>
            <w:r w:rsidRPr="00BE5472">
              <w:rPr>
                <w:rFonts w:ascii="Times New Roman" w:hAnsi="Times New Roman" w:cs="Times New Roman"/>
                <w:i/>
                <w:sz w:val="24"/>
                <w:szCs w:val="24"/>
              </w:rPr>
              <w:t>orporate raiders</w:t>
            </w:r>
            <w:r w:rsidRPr="00BE5472">
              <w:rPr>
                <w:rFonts w:ascii="Times New Roman" w:hAnsi="Times New Roman" w:cs="Times New Roman"/>
                <w:sz w:val="24"/>
                <w:szCs w:val="24"/>
              </w:rPr>
              <w:t xml:space="preserve">). Tipičan primjer pokušaja neprijateljskog spajanja koje se dogodilo 1984. godine u hotelijerskoj industriji je preuzimanje </w:t>
            </w:r>
            <w:r w:rsidRPr="00BE5472">
              <w:rPr>
                <w:rFonts w:ascii="Times New Roman" w:hAnsi="Times New Roman" w:cs="Times New Roman"/>
                <w:i/>
                <w:iCs/>
                <w:sz w:val="24"/>
                <w:szCs w:val="24"/>
              </w:rPr>
              <w:t>Walt Disneya</w:t>
            </w:r>
            <w:r w:rsidRPr="00BE5472">
              <w:rPr>
                <w:rFonts w:ascii="Times New Roman" w:hAnsi="Times New Roman" w:cs="Times New Roman"/>
                <w:sz w:val="24"/>
                <w:szCs w:val="24"/>
              </w:rPr>
              <w:t xml:space="preserve"> od strane </w:t>
            </w:r>
            <w:r w:rsidRPr="00BE5472">
              <w:rPr>
                <w:rFonts w:ascii="Times New Roman" w:hAnsi="Times New Roman" w:cs="Times New Roman"/>
                <w:i/>
                <w:iCs/>
                <w:sz w:val="24"/>
                <w:szCs w:val="24"/>
              </w:rPr>
              <w:t>Steinberga</w:t>
            </w:r>
            <w:r w:rsidRPr="00BE5472">
              <w:rPr>
                <w:rFonts w:ascii="Times New Roman" w:hAnsi="Times New Roman" w:cs="Times New Roman"/>
                <w:sz w:val="24"/>
                <w:szCs w:val="24"/>
              </w:rPr>
              <w:t xml:space="preserve">. Poduzeće </w:t>
            </w:r>
            <w:r w:rsidRPr="00BE5472">
              <w:rPr>
                <w:rFonts w:ascii="Times New Roman" w:hAnsi="Times New Roman" w:cs="Times New Roman"/>
                <w:i/>
                <w:iCs/>
                <w:sz w:val="24"/>
                <w:szCs w:val="24"/>
              </w:rPr>
              <w:t>Walt Disney</w:t>
            </w:r>
            <w:r w:rsidRPr="00BE5472">
              <w:rPr>
                <w:rFonts w:ascii="Times New Roman" w:hAnsi="Times New Roman" w:cs="Times New Roman"/>
                <w:sz w:val="24"/>
                <w:szCs w:val="24"/>
              </w:rPr>
              <w:t xml:space="preserve"> je tek vještim manevriranjem u obliku korporativnog restrukturiranja uspjelo izbjeći neželjeno preuzimanje (</w:t>
            </w:r>
            <w:bookmarkStart w:id="122" w:name="_Hlk160612516"/>
            <w:r w:rsidRPr="00BE5472">
              <w:rPr>
                <w:rFonts w:ascii="Times New Roman" w:hAnsi="Times New Roman" w:cs="Times New Roman"/>
                <w:sz w:val="24"/>
                <w:szCs w:val="24"/>
              </w:rPr>
              <w:t>Visagie, Poggenpoel i Myburgh</w:t>
            </w:r>
            <w:bookmarkEnd w:id="122"/>
            <w:r w:rsidRPr="00BE5472">
              <w:rPr>
                <w:rFonts w:ascii="Times New Roman" w:hAnsi="Times New Roman" w:cs="Times New Roman"/>
                <w:sz w:val="24"/>
                <w:szCs w:val="24"/>
              </w:rPr>
              <w:t xml:space="preserve"> 2016).</w:t>
            </w:r>
          </w:p>
        </w:tc>
      </w:tr>
      <w:tr w:rsidR="006E052A" w:rsidRPr="00BE5472" w14:paraId="59E38FA5"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54A6A2A3" w14:textId="5AFC8C10"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Peti val</w:t>
            </w:r>
          </w:p>
        </w:tc>
        <w:tc>
          <w:tcPr>
            <w:tcW w:w="7087" w:type="dxa"/>
          </w:tcPr>
          <w:p w14:paraId="17BA1C7C" w14:textId="7341F012"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E5472">
              <w:rPr>
                <w:rFonts w:ascii="Times New Roman" w:hAnsi="Times New Roman" w:cs="Times New Roman"/>
                <w:sz w:val="24"/>
                <w:szCs w:val="24"/>
              </w:rPr>
              <w:t xml:space="preserve">Obuhvaća razdoblje od 1992. do 2000. godine. To je razdoblje rasta i </w:t>
            </w:r>
            <w:r w:rsidR="00F22DAD" w:rsidRPr="00BE5472">
              <w:rPr>
                <w:rFonts w:ascii="Times New Roman" w:hAnsi="Times New Roman" w:cs="Times New Roman"/>
                <w:sz w:val="24"/>
                <w:szCs w:val="24"/>
              </w:rPr>
              <w:t>prosperiteta</w:t>
            </w:r>
            <w:r w:rsidRPr="00BE5472">
              <w:rPr>
                <w:rFonts w:ascii="Times New Roman" w:hAnsi="Times New Roman" w:cs="Times New Roman"/>
                <w:sz w:val="24"/>
                <w:szCs w:val="24"/>
              </w:rPr>
              <w:t xml:space="preserve"> tržišta dionica i popraćenog snažnom tržišnom deregulacijom i liberalizacijom. Najčešći sudionici spajanja i preuzimanja u ovom su razdoblju bile banke i telekomunikacijska poduzeća. Transakcije se financiranju kapitalom vlasnika. </w:t>
            </w:r>
          </w:p>
        </w:tc>
      </w:tr>
      <w:tr w:rsidR="006E052A" w:rsidRPr="00BE5472" w14:paraId="47029B9E" w14:textId="77777777" w:rsidTr="0085056F">
        <w:tc>
          <w:tcPr>
            <w:cnfStyle w:val="001000000000" w:firstRow="0" w:lastRow="0" w:firstColumn="1" w:lastColumn="0" w:oddVBand="0" w:evenVBand="0" w:oddHBand="0" w:evenHBand="0" w:firstRowFirstColumn="0" w:firstRowLastColumn="0" w:lastRowFirstColumn="0" w:lastRowLastColumn="0"/>
            <w:tcW w:w="2263" w:type="dxa"/>
            <w:vAlign w:val="center"/>
          </w:tcPr>
          <w:p w14:paraId="0A0A9B8A" w14:textId="25963461" w:rsidR="006E052A" w:rsidRPr="00BE5472" w:rsidRDefault="006E052A" w:rsidP="0085056F">
            <w:pPr>
              <w:spacing w:line="360" w:lineRule="auto"/>
              <w:jc w:val="center"/>
              <w:rPr>
                <w:rFonts w:ascii="Times New Roman" w:hAnsi="Times New Roman" w:cs="Times New Roman"/>
                <w:sz w:val="24"/>
                <w:szCs w:val="24"/>
              </w:rPr>
            </w:pPr>
            <w:r w:rsidRPr="00BE5472">
              <w:rPr>
                <w:rFonts w:ascii="Times New Roman" w:hAnsi="Times New Roman" w:cs="Times New Roman"/>
                <w:sz w:val="24"/>
                <w:szCs w:val="24"/>
              </w:rPr>
              <w:t>Šesti val</w:t>
            </w:r>
          </w:p>
        </w:tc>
        <w:tc>
          <w:tcPr>
            <w:tcW w:w="7087" w:type="dxa"/>
          </w:tcPr>
          <w:p w14:paraId="53FDB481" w14:textId="77777777" w:rsidR="006E052A" w:rsidRPr="00BE5472" w:rsidRDefault="006E052A" w:rsidP="006E052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BE5472">
              <w:rPr>
                <w:rFonts w:ascii="Times New Roman" w:hAnsi="Times New Roman" w:cs="Times New Roman"/>
                <w:sz w:val="24"/>
                <w:szCs w:val="24"/>
              </w:rPr>
              <w:t xml:space="preserve">Obuhvaća razdoblje od 2003. do 2007. godine. Ovom valu spajanja i preuzimanja doprinijela je globalizacija, ekonomski šokovi i potpora vlasti u zemljama poput Francuske, Italije i Rusije. Poduzeća koja se uključuju u procese spajanja i preuzimanja najčešće su iz naftnih, metalnih industrija, telekomunikacijski operateri, banke i zdravstvenog sektora. </w:t>
            </w:r>
            <w:r w:rsidRPr="00BE5472">
              <w:rPr>
                <w:rFonts w:ascii="Times New Roman" w:hAnsi="Times New Roman" w:cs="Times New Roman"/>
                <w:sz w:val="24"/>
                <w:szCs w:val="24"/>
                <w:lang w:val="it-IT"/>
              </w:rPr>
              <w:t>Transakcije su financirane privatnim kapitalom uz potporu banaka po niskim kamatnim stopama. U početku se bilježi pad aktivnosti spajanja i preuzimanja kao rezultat ekonomske nesigurnosti, no od 2004. godine se procesi intenziviraju potaknuti privatizacijom.</w:t>
            </w:r>
          </w:p>
        </w:tc>
      </w:tr>
    </w:tbl>
    <w:p w14:paraId="4A18E5AC"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Izvor: Prilagođeno prema: Malik, M. F. et al. (2014). Mergers and Acquisitions: A Conceptional Review. </w:t>
      </w:r>
      <w:r w:rsidRPr="00BE5472">
        <w:rPr>
          <w:rFonts w:ascii="Times New Roman" w:hAnsi="Times New Roman" w:cs="Times New Roman"/>
          <w:i/>
          <w:sz w:val="24"/>
          <w:szCs w:val="24"/>
        </w:rPr>
        <w:t>International Journal of Accounting and Financial Reporting</w:t>
      </w:r>
      <w:r w:rsidRPr="00BE5472">
        <w:rPr>
          <w:rFonts w:ascii="Times New Roman" w:hAnsi="Times New Roman" w:cs="Times New Roman"/>
          <w:sz w:val="24"/>
          <w:szCs w:val="24"/>
        </w:rPr>
        <w:t xml:space="preserve">, 4(2), str. 522 – 523. i Visagie, R. G., Poggenpoel, M. P. i Myburgh, C. P. H. (2016). An Appreciative Merger and Acquisition Team Coaching Strategy for the South African Hotel Industry. </w:t>
      </w:r>
      <w:r w:rsidRPr="00BE5472">
        <w:rPr>
          <w:rFonts w:ascii="Times New Roman" w:hAnsi="Times New Roman" w:cs="Times New Roman"/>
          <w:i/>
          <w:sz w:val="24"/>
          <w:szCs w:val="24"/>
        </w:rPr>
        <w:t xml:space="preserve">African Journal of Hospitality, Tourism and Leisure, </w:t>
      </w:r>
      <w:r w:rsidRPr="00BE5472">
        <w:rPr>
          <w:rFonts w:ascii="Times New Roman" w:hAnsi="Times New Roman" w:cs="Times New Roman"/>
          <w:sz w:val="24"/>
          <w:szCs w:val="24"/>
        </w:rPr>
        <w:t xml:space="preserve">5(1), str. 4 – 5. </w:t>
      </w:r>
    </w:p>
    <w:p w14:paraId="382FD931"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Gugler i sur. (2012) značajni su znanstveni napori uloženi u identifikaciju determinanti valova spajanja i preuzimanja, uključujući primjenu bihevioralnih i neoklasičnih pristupa. Tako Kim, Zheng i Arendt (2019: 250) izdvajaju nekoliko ključnih pristupa:</w:t>
      </w:r>
    </w:p>
    <w:p w14:paraId="1EAC013F" w14:textId="77777777" w:rsidR="006E052A" w:rsidRPr="00BE5472" w:rsidRDefault="006E052A" w:rsidP="00120B4F">
      <w:pPr>
        <w:numPr>
          <w:ilvl w:val="0"/>
          <w:numId w:val="5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Makroekonomski pristup</w:t>
      </w:r>
      <w:r w:rsidRPr="00BE5472">
        <w:rPr>
          <w:rFonts w:ascii="Times New Roman" w:hAnsi="Times New Roman" w:cs="Times New Roman"/>
          <w:sz w:val="24"/>
          <w:szCs w:val="24"/>
        </w:rPr>
        <w:t xml:space="preserve"> koji podrazumijeva istraživanje odnosa između makroekonomskih uvjeta i ukupne aktivnosti spajanja i preuzimanja. Značajne makroekonomske determinante valova mogu se koristiti za identifikaciju razdoblja svakog vala. Oni smatraju da se spajanja i preuzimanja grupiraju kada su gospodarski uvjeti povoljni, pa, shodno tome, transakcije spajanja i preuzimanja stvaraju višu vrijednost u takvom razdoblju od onih koja se poduzimaju kada su makroekonomski uvjeti manje povoljni.  </w:t>
      </w:r>
    </w:p>
    <w:p w14:paraId="47B89C90" w14:textId="4B9C2949" w:rsidR="006E052A" w:rsidRPr="00BE5472" w:rsidRDefault="006E052A" w:rsidP="00120B4F">
      <w:pPr>
        <w:numPr>
          <w:ilvl w:val="0"/>
          <w:numId w:val="5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Istovremeno grupiranje aktivnosti spajanja i preuzimanja u nekoliko industrija</w:t>
      </w:r>
      <w:r w:rsidRPr="00BE5472">
        <w:rPr>
          <w:rFonts w:ascii="Times New Roman" w:hAnsi="Times New Roman" w:cs="Times New Roman"/>
          <w:sz w:val="24"/>
          <w:szCs w:val="24"/>
        </w:rPr>
        <w:t>, a industrije koje stvaraju opće valove spajanja i preuzimanja su različite tijekom vremena. Primjerice, industrija električne energije šezdesetih godina i industrij</w:t>
      </w:r>
      <w:r w:rsidR="00B7773A" w:rsidRPr="00BE5472">
        <w:rPr>
          <w:rFonts w:ascii="Times New Roman" w:hAnsi="Times New Roman" w:cs="Times New Roman"/>
          <w:sz w:val="24"/>
          <w:szCs w:val="24"/>
        </w:rPr>
        <w:t>a</w:t>
      </w:r>
      <w:r w:rsidRPr="00BE5472">
        <w:rPr>
          <w:rFonts w:ascii="Times New Roman" w:hAnsi="Times New Roman" w:cs="Times New Roman"/>
          <w:sz w:val="24"/>
          <w:szCs w:val="24"/>
        </w:rPr>
        <w:t xml:space="preserve"> proizvodnje nafte/plina osamdesetih godina predvodile su opće valove u to vrijeme. Od tada, uslužne industrije poput bankarstva i medija/telekomunikacija predvode procese spajanja i preuzimanja.</w:t>
      </w:r>
    </w:p>
    <w:p w14:paraId="105B0F84" w14:textId="77777777" w:rsidR="006E052A" w:rsidRPr="00BE5472" w:rsidRDefault="006E052A" w:rsidP="006E052A">
      <w:pPr>
        <w:spacing w:line="360" w:lineRule="auto"/>
        <w:jc w:val="both"/>
        <w:rPr>
          <w:rFonts w:ascii="Times New Roman" w:hAnsi="Times New Roman" w:cs="Times New Roman"/>
          <w:sz w:val="24"/>
          <w:szCs w:val="24"/>
        </w:rPr>
      </w:pPr>
    </w:p>
    <w:p w14:paraId="106EEE35" w14:textId="5BF98AE8"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Spomenuti autori ipak zaključuju da je postojanje neusklađenih makroekonomski determinanti rezultat specifičnosti različitih industrija koje potiču valove spajanja i preuzimanja. Drugim riječima, neke industrije su više pogođene određenim makroekonomskim uvjetima od drugih, a makroekonomski uvjeti i dalje se mijenjaju, što dovodi do neusklađenih ishoda. Stoga je ključno ponovno razmotriti determinante valova spajanja i preuzimanja te identificirati značajne makroekonomske uvjete na razini industrije. Navedeno je cilj istraživanja koje su proveli Kim, Zheng i Arendt (2019: 265 - 267) na uzorku ugostiteljskih poduzeća (restorani, smještajni objekti i ostali ugostiteljski objekti) u Sjedinjenim Američkim Državama. Autori su identificirali </w:t>
      </w:r>
      <w:r w:rsidRPr="00BE5472">
        <w:rPr>
          <w:rFonts w:ascii="Times New Roman" w:hAnsi="Times New Roman" w:cs="Times New Roman"/>
          <w:sz w:val="24"/>
          <w:szCs w:val="24"/>
        </w:rPr>
        <w:lastRenderedPageBreak/>
        <w:t xml:space="preserve">postojanje sedam valova spajanja i preuzimanja tipičnih za restorane i industriju smještaja koji se pojavljuju od 1981. do 2010. godine. </w:t>
      </w:r>
    </w:p>
    <w:p w14:paraId="0AB52406" w14:textId="0C7022DA" w:rsidR="006E052A" w:rsidRPr="001B337F" w:rsidRDefault="001B337F" w:rsidP="001B337F">
      <w:pPr>
        <w:pStyle w:val="Caption"/>
        <w:rPr>
          <w:rFonts w:ascii="Times New Roman" w:hAnsi="Times New Roman" w:cs="Times New Roman"/>
          <w:sz w:val="24"/>
          <w:szCs w:val="24"/>
        </w:rPr>
      </w:pPr>
      <w:bookmarkStart w:id="123" w:name="_Toc241865205"/>
      <w:r w:rsidRPr="001B337F">
        <w:rPr>
          <w:rFonts w:ascii="Times New Roman" w:hAnsi="Times New Roman" w:cs="Times New Roman"/>
          <w:sz w:val="24"/>
          <w:szCs w:val="24"/>
        </w:rPr>
        <w:t xml:space="preserve">Tablica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Tablica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11</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Valovi spajanja i preuzimanja u restoranima i industriji smještaja od 1981. do 2010. godine</w:t>
      </w:r>
      <w:r w:rsidR="00256A73" w:rsidRPr="001B337F">
        <w:rPr>
          <w:rFonts w:ascii="Times New Roman" w:hAnsi="Times New Roman" w:cs="Times New Roman"/>
          <w:sz w:val="24"/>
          <w:szCs w:val="24"/>
        </w:rPr>
        <w:t xml:space="preserve"> na području SAD-a</w:t>
      </w:r>
      <w:bookmarkEnd w:id="123"/>
    </w:p>
    <w:tbl>
      <w:tblPr>
        <w:tblStyle w:val="Reetkatablice1"/>
        <w:tblW w:w="0" w:type="auto"/>
        <w:tblLook w:val="04A0" w:firstRow="1" w:lastRow="0" w:firstColumn="1" w:lastColumn="0" w:noHBand="0" w:noVBand="1"/>
      </w:tblPr>
      <w:tblGrid>
        <w:gridCol w:w="1129"/>
        <w:gridCol w:w="1274"/>
        <w:gridCol w:w="1333"/>
        <w:gridCol w:w="1340"/>
        <w:gridCol w:w="1328"/>
        <w:gridCol w:w="1328"/>
        <w:gridCol w:w="1328"/>
      </w:tblGrid>
      <w:tr w:rsidR="006E052A" w:rsidRPr="00BE5472" w14:paraId="2EB8B01F" w14:textId="77777777" w:rsidTr="00E369D1">
        <w:trPr>
          <w:trHeight w:val="259"/>
        </w:trPr>
        <w:tc>
          <w:tcPr>
            <w:tcW w:w="1129" w:type="dxa"/>
            <w:noWrap/>
            <w:hideMark/>
          </w:tcPr>
          <w:p w14:paraId="6233B991"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3947" w:type="dxa"/>
            <w:gridSpan w:val="3"/>
            <w:noWrap/>
            <w:vAlign w:val="center"/>
            <w:hideMark/>
          </w:tcPr>
          <w:p w14:paraId="7562E323" w14:textId="77777777" w:rsidR="006E052A" w:rsidRPr="00BE5472" w:rsidRDefault="006E052A" w:rsidP="00411D69">
            <w:pPr>
              <w:spacing w:line="360" w:lineRule="auto"/>
              <w:jc w:val="center"/>
              <w:rPr>
                <w:rFonts w:ascii="Times New Roman" w:hAnsi="Times New Roman" w:cs="Times New Roman"/>
                <w:b/>
                <w:bCs/>
              </w:rPr>
            </w:pPr>
            <w:r w:rsidRPr="00BE5472">
              <w:rPr>
                <w:rFonts w:ascii="Times New Roman" w:hAnsi="Times New Roman" w:cs="Times New Roman"/>
                <w:b/>
                <w:bCs/>
              </w:rPr>
              <w:t>RESTORAN</w:t>
            </w:r>
          </w:p>
        </w:tc>
        <w:tc>
          <w:tcPr>
            <w:tcW w:w="3984" w:type="dxa"/>
            <w:gridSpan w:val="3"/>
            <w:noWrap/>
            <w:vAlign w:val="center"/>
            <w:hideMark/>
          </w:tcPr>
          <w:p w14:paraId="6DB0B265" w14:textId="77777777" w:rsidR="006E052A" w:rsidRPr="00BE5472" w:rsidRDefault="006E052A" w:rsidP="00411D69">
            <w:pPr>
              <w:spacing w:line="360" w:lineRule="auto"/>
              <w:jc w:val="center"/>
              <w:rPr>
                <w:rFonts w:ascii="Times New Roman" w:hAnsi="Times New Roman" w:cs="Times New Roman"/>
                <w:b/>
                <w:bCs/>
              </w:rPr>
            </w:pPr>
            <w:r w:rsidRPr="00BE5472">
              <w:rPr>
                <w:rFonts w:ascii="Times New Roman" w:hAnsi="Times New Roman" w:cs="Times New Roman"/>
                <w:b/>
                <w:bCs/>
              </w:rPr>
              <w:t>SMJEŠTAJ</w:t>
            </w:r>
          </w:p>
        </w:tc>
      </w:tr>
      <w:tr w:rsidR="006E052A" w:rsidRPr="00BE5472" w14:paraId="044558D2" w14:textId="77777777" w:rsidTr="00B86E84">
        <w:trPr>
          <w:trHeight w:val="300"/>
        </w:trPr>
        <w:tc>
          <w:tcPr>
            <w:tcW w:w="1129" w:type="dxa"/>
            <w:noWrap/>
            <w:hideMark/>
          </w:tcPr>
          <w:p w14:paraId="7E497099"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274" w:type="dxa"/>
            <w:noWrap/>
            <w:vAlign w:val="center"/>
            <w:hideMark/>
          </w:tcPr>
          <w:p w14:paraId="62718787" w14:textId="77777777"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1980-e</w:t>
            </w:r>
          </w:p>
        </w:tc>
        <w:tc>
          <w:tcPr>
            <w:tcW w:w="1333" w:type="dxa"/>
            <w:noWrap/>
            <w:vAlign w:val="center"/>
            <w:hideMark/>
          </w:tcPr>
          <w:p w14:paraId="38694040" w14:textId="77777777"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1990-e</w:t>
            </w:r>
          </w:p>
        </w:tc>
        <w:tc>
          <w:tcPr>
            <w:tcW w:w="1340" w:type="dxa"/>
            <w:noWrap/>
            <w:vAlign w:val="center"/>
            <w:hideMark/>
          </w:tcPr>
          <w:p w14:paraId="38D2BAE8" w14:textId="2B8C703F"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2000-</w:t>
            </w:r>
            <w:r w:rsidR="00EC6E90" w:rsidRPr="00BE5472">
              <w:rPr>
                <w:rFonts w:ascii="Times New Roman" w:hAnsi="Times New Roman" w:cs="Times New Roman"/>
                <w:b/>
                <w:bCs/>
              </w:rPr>
              <w:t>t</w:t>
            </w:r>
            <w:r w:rsidRPr="00BE5472">
              <w:rPr>
                <w:rFonts w:ascii="Times New Roman" w:hAnsi="Times New Roman" w:cs="Times New Roman"/>
                <w:b/>
                <w:bCs/>
              </w:rPr>
              <w:t>e</w:t>
            </w:r>
          </w:p>
        </w:tc>
        <w:tc>
          <w:tcPr>
            <w:tcW w:w="1328" w:type="dxa"/>
            <w:noWrap/>
            <w:vAlign w:val="center"/>
            <w:hideMark/>
          </w:tcPr>
          <w:p w14:paraId="07592017" w14:textId="5EF5969F"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1980-e</w:t>
            </w:r>
          </w:p>
        </w:tc>
        <w:tc>
          <w:tcPr>
            <w:tcW w:w="1328" w:type="dxa"/>
            <w:noWrap/>
            <w:vAlign w:val="center"/>
            <w:hideMark/>
          </w:tcPr>
          <w:p w14:paraId="0130C29D" w14:textId="0EA04D19"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1990-e</w:t>
            </w:r>
          </w:p>
        </w:tc>
        <w:tc>
          <w:tcPr>
            <w:tcW w:w="1328" w:type="dxa"/>
            <w:noWrap/>
            <w:vAlign w:val="center"/>
            <w:hideMark/>
          </w:tcPr>
          <w:p w14:paraId="46A6B39D" w14:textId="45BAEB5E"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2000-</w:t>
            </w:r>
            <w:r w:rsidR="00EC6E90" w:rsidRPr="00BE5472">
              <w:rPr>
                <w:rFonts w:ascii="Times New Roman" w:hAnsi="Times New Roman" w:cs="Times New Roman"/>
                <w:b/>
                <w:bCs/>
              </w:rPr>
              <w:t>t</w:t>
            </w:r>
            <w:r w:rsidRPr="00BE5472">
              <w:rPr>
                <w:rFonts w:ascii="Times New Roman" w:hAnsi="Times New Roman" w:cs="Times New Roman"/>
                <w:b/>
                <w:bCs/>
              </w:rPr>
              <w:t>e</w:t>
            </w:r>
          </w:p>
        </w:tc>
      </w:tr>
      <w:tr w:rsidR="006E052A" w:rsidRPr="00BE5472" w14:paraId="6E0A4713" w14:textId="77777777" w:rsidTr="00B86E84">
        <w:trPr>
          <w:trHeight w:val="300"/>
        </w:trPr>
        <w:tc>
          <w:tcPr>
            <w:tcW w:w="1129" w:type="dxa"/>
            <w:noWrap/>
            <w:vAlign w:val="center"/>
            <w:hideMark/>
          </w:tcPr>
          <w:p w14:paraId="736D1381" w14:textId="77777777" w:rsidR="006E052A" w:rsidRPr="00BE5472" w:rsidRDefault="006E052A" w:rsidP="00B86E84">
            <w:pPr>
              <w:spacing w:line="360" w:lineRule="auto"/>
              <w:jc w:val="center"/>
              <w:rPr>
                <w:rFonts w:ascii="Times New Roman" w:hAnsi="Times New Roman" w:cs="Times New Roman"/>
                <w:b/>
                <w:bCs/>
              </w:rPr>
            </w:pPr>
            <w:r w:rsidRPr="00BE5472">
              <w:rPr>
                <w:rFonts w:ascii="Times New Roman" w:hAnsi="Times New Roman" w:cs="Times New Roman"/>
                <w:b/>
                <w:bCs/>
              </w:rPr>
              <w:t>VALOVI</w:t>
            </w:r>
          </w:p>
        </w:tc>
        <w:tc>
          <w:tcPr>
            <w:tcW w:w="1274" w:type="dxa"/>
            <w:noWrap/>
            <w:hideMark/>
          </w:tcPr>
          <w:p w14:paraId="3A9223F0"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1987.(Q3) - 1990.(Q2)</w:t>
            </w:r>
          </w:p>
        </w:tc>
        <w:tc>
          <w:tcPr>
            <w:tcW w:w="1333" w:type="dxa"/>
            <w:noWrap/>
            <w:hideMark/>
          </w:tcPr>
          <w:p w14:paraId="13799392"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1994.(Q4) - 1999.(Q1)</w:t>
            </w:r>
          </w:p>
        </w:tc>
        <w:tc>
          <w:tcPr>
            <w:tcW w:w="1340" w:type="dxa"/>
            <w:noWrap/>
            <w:hideMark/>
          </w:tcPr>
          <w:p w14:paraId="3A1EF24D"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2006.(Q1) - 2008-(Q4)</w:t>
            </w:r>
          </w:p>
        </w:tc>
        <w:tc>
          <w:tcPr>
            <w:tcW w:w="1328" w:type="dxa"/>
            <w:noWrap/>
            <w:hideMark/>
          </w:tcPr>
          <w:p w14:paraId="50423888"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1983.(Q1) - 1985.(Q1)</w:t>
            </w:r>
          </w:p>
        </w:tc>
        <w:tc>
          <w:tcPr>
            <w:tcW w:w="1328" w:type="dxa"/>
            <w:noWrap/>
            <w:hideMark/>
          </w:tcPr>
          <w:p w14:paraId="177F9AF7"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1994.(Q4) - 1999.(Q4)</w:t>
            </w:r>
          </w:p>
        </w:tc>
        <w:tc>
          <w:tcPr>
            <w:tcW w:w="1328" w:type="dxa"/>
            <w:noWrap/>
            <w:hideMark/>
          </w:tcPr>
          <w:p w14:paraId="1568BC3E"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2003.(Q3) - 2009.(Q1)</w:t>
            </w:r>
          </w:p>
        </w:tc>
      </w:tr>
      <w:tr w:rsidR="006E052A" w:rsidRPr="00BE5472" w14:paraId="4FE10C9D" w14:textId="77777777" w:rsidTr="007201FA">
        <w:trPr>
          <w:trHeight w:val="300"/>
        </w:trPr>
        <w:tc>
          <w:tcPr>
            <w:tcW w:w="1129" w:type="dxa"/>
            <w:noWrap/>
            <w:hideMark/>
          </w:tcPr>
          <w:p w14:paraId="1B5598B8"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274" w:type="dxa"/>
            <w:noWrap/>
            <w:hideMark/>
          </w:tcPr>
          <w:p w14:paraId="3DD08537"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333" w:type="dxa"/>
            <w:noWrap/>
            <w:hideMark/>
          </w:tcPr>
          <w:p w14:paraId="03935591"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340" w:type="dxa"/>
            <w:noWrap/>
            <w:hideMark/>
          </w:tcPr>
          <w:p w14:paraId="46465333"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328" w:type="dxa"/>
            <w:noWrap/>
            <w:hideMark/>
          </w:tcPr>
          <w:p w14:paraId="12F295DC"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1987.(Q4) - 1989.(Q3)</w:t>
            </w:r>
          </w:p>
        </w:tc>
        <w:tc>
          <w:tcPr>
            <w:tcW w:w="1328" w:type="dxa"/>
            <w:noWrap/>
            <w:hideMark/>
          </w:tcPr>
          <w:p w14:paraId="7F6BD396"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c>
          <w:tcPr>
            <w:tcW w:w="1328" w:type="dxa"/>
            <w:noWrap/>
            <w:hideMark/>
          </w:tcPr>
          <w:p w14:paraId="66A12A4F"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rPr>
              <w:t> </w:t>
            </w:r>
          </w:p>
        </w:tc>
      </w:tr>
    </w:tbl>
    <w:p w14:paraId="07ADBCCE" w14:textId="77777777"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sz w:val="24"/>
          <w:szCs w:val="24"/>
        </w:rPr>
        <w:t xml:space="preserve">Izvor: </w:t>
      </w:r>
      <w:r w:rsidRPr="00BE5472">
        <w:rPr>
          <w:rFonts w:ascii="Times New Roman" w:hAnsi="Times New Roman" w:cs="Times New Roman"/>
          <w:bCs/>
          <w:sz w:val="24"/>
          <w:szCs w:val="24"/>
        </w:rPr>
        <w:t>Kim, J., Zheng, T. i Arendt, S. W. (2019). Identification of Merger and Acquisition Waves and Their Macroeconomic Determinants in the Hospitality Industry</w:t>
      </w:r>
      <w:r w:rsidRPr="00BE5472">
        <w:rPr>
          <w:rFonts w:ascii="Times New Roman" w:hAnsi="Times New Roman" w:cs="Times New Roman"/>
          <w:bCs/>
          <w:i/>
          <w:sz w:val="24"/>
          <w:szCs w:val="24"/>
        </w:rPr>
        <w:t xml:space="preserve">. Journal of Hospitality &amp; Tourism Research, </w:t>
      </w:r>
      <w:r w:rsidRPr="00BE5472">
        <w:rPr>
          <w:rFonts w:ascii="Times New Roman" w:hAnsi="Times New Roman" w:cs="Times New Roman"/>
          <w:bCs/>
          <w:sz w:val="24"/>
          <w:szCs w:val="24"/>
        </w:rPr>
        <w:t>43(2), str. 260.</w:t>
      </w:r>
    </w:p>
    <w:p w14:paraId="2F30CF2D" w14:textId="65A2E902"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Temeljna istraživačka pitanja od kojih su oni pošli jesu: (1) Mogu li se izdvojiti valovi spajanja i preuzimanja u ugostiteljskoj industriji ili valovi nastaju slučajno? (2) Da li makroekonomski uvjeti utječu na pojavu valova u ugostiteljskoj industriji? (3) </w:t>
      </w:r>
      <w:r w:rsidR="00F87611" w:rsidRPr="00BE5472">
        <w:rPr>
          <w:rFonts w:ascii="Times New Roman" w:hAnsi="Times New Roman" w:cs="Times New Roman"/>
          <w:sz w:val="24"/>
          <w:szCs w:val="24"/>
        </w:rPr>
        <w:t>A</w:t>
      </w:r>
      <w:r w:rsidRPr="00BE5472">
        <w:rPr>
          <w:rFonts w:ascii="Times New Roman" w:hAnsi="Times New Roman" w:cs="Times New Roman"/>
          <w:sz w:val="24"/>
          <w:szCs w:val="24"/>
        </w:rPr>
        <w:t>ko makroekonomski uvjeti utječu na pojavu valova u ugostiteljskoj industriji, koji su to utjecajni uvjeti/determinante?</w:t>
      </w:r>
    </w:p>
    <w:p w14:paraId="7E88CEDB"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Pokušavajući doći do odgovora na navedena istraživačka pitanja provođenjem situacijske, faktorske analize i analize vremenskih serija, autori dolaze do sljedećih rezultata i zaključaka: </w:t>
      </w:r>
    </w:p>
    <w:p w14:paraId="61749BC5" w14:textId="2EE43DC1"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Povećanje cijena dionica prethodi pojavi valova spajanja i preuzimanja pa stoga cijene dionica mogu biti značajan prediktor valova.</w:t>
      </w:r>
    </w:p>
    <w:p w14:paraId="5188CA47" w14:textId="77777777"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Veće procijenjene vrijednosti poduzeća mete mogu poduzeće preuzimatelja potaknuti da odustane od spajanja i preuzimanja ili se okrenu povoljnijim metama, što pak smanjuje ukupnu učestalost aktivnosti spajanja i preuzimanja. Previsoka procijenjena vrijednost poduzeća mete smanjuje povrate na ulaganja (ROI), čineći poslove manje privlačnim ili čak štetnim za poduzeće preuzimatelja. </w:t>
      </w:r>
    </w:p>
    <w:p w14:paraId="07C4ED59" w14:textId="0521EF55"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Cijena duga ima značajan utjecaj na valove spajanja i preuzimanja u restoranima, hotelijerstvu i ostalim ugostiteljskim djelatnostima</w:t>
      </w:r>
      <w:r w:rsidR="00EC6E90"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se povezuje s preferiranim načinom plaćanja. Utjecaj je negativan na dugi rok. </w:t>
      </w:r>
    </w:p>
    <w:p w14:paraId="28D223DC" w14:textId="77777777"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Zakašnjeli makroekonomski čimbenici utječu na valove spajanja i preuzimanja. Značajne se promjene u makroekonomskim uvjetima mogu uočiti čak jedan do četiri kvartala prije pojave vala. </w:t>
      </w:r>
    </w:p>
    <w:p w14:paraId="20B66F10" w14:textId="77777777"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Od početnih faza procesa spajanja i preuzimanja, poduzeća, poglavito restorani i smještajni objekti, kontinuirano razmatraju promjene u ključnim makroekonomskim uvjetima kako bi donosili informiranije odluke o spajanju i preuzimanju.</w:t>
      </w:r>
    </w:p>
    <w:p w14:paraId="11CF7EE0" w14:textId="77777777"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 kratkom roku nijedan značajan makroekonomski čimbenik ne utječe na učestalost spajanja i preuzimanja, dok u dugom roku svi čimbenici imaju značajan utjecaj.</w:t>
      </w:r>
    </w:p>
    <w:p w14:paraId="6043047B" w14:textId="01E737AC" w:rsidR="006E052A" w:rsidRPr="00BE5472" w:rsidRDefault="006E052A" w:rsidP="00120B4F">
      <w:pPr>
        <w:numPr>
          <w:ilvl w:val="0"/>
          <w:numId w:val="56"/>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Pružatelji usluga smještaja osjetljiviji su na promjene cijena od restorana</w:t>
      </w:r>
      <w:r w:rsidR="00EC6E90" w:rsidRPr="00BE5472">
        <w:rPr>
          <w:rFonts w:ascii="Times New Roman" w:hAnsi="Times New Roman" w:cs="Times New Roman"/>
          <w:sz w:val="24"/>
          <w:szCs w:val="24"/>
        </w:rPr>
        <w:t>,</w:t>
      </w:r>
      <w:r w:rsidRPr="00BE5472">
        <w:rPr>
          <w:rFonts w:ascii="Times New Roman" w:hAnsi="Times New Roman" w:cs="Times New Roman"/>
          <w:sz w:val="24"/>
          <w:szCs w:val="24"/>
        </w:rPr>
        <w:t xml:space="preserve"> tako da se inflacija smatra značajnim čimbenikom koji utječe na procese spajanja i preuzimanja u hotelijerstvu. </w:t>
      </w:r>
    </w:p>
    <w:p w14:paraId="060FC9DD" w14:textId="77777777" w:rsidR="006E052A" w:rsidRPr="00BE5472" w:rsidRDefault="006E052A" w:rsidP="006E052A">
      <w:pPr>
        <w:spacing w:line="360" w:lineRule="auto"/>
        <w:jc w:val="both"/>
        <w:rPr>
          <w:rFonts w:ascii="Times New Roman" w:hAnsi="Times New Roman" w:cs="Times New Roman"/>
          <w:sz w:val="24"/>
          <w:szCs w:val="24"/>
        </w:rPr>
      </w:pPr>
    </w:p>
    <w:p w14:paraId="26BFDB55" w14:textId="51D0DBC0"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Kad se promatraju hoteli i ostali oblika smještaja, u razdoblju od 1985. godine pa do 29. veljače 2024. godine</w:t>
      </w:r>
      <w:r w:rsidR="00EC6E90" w:rsidRPr="00BE5472">
        <w:rPr>
          <w:rFonts w:ascii="Times New Roman" w:hAnsi="Times New Roman" w:cs="Times New Roman"/>
          <w:sz w:val="24"/>
          <w:szCs w:val="24"/>
        </w:rPr>
        <w:t>,</w:t>
      </w:r>
      <w:r w:rsidRPr="00BE5472">
        <w:rPr>
          <w:rFonts w:ascii="Times New Roman" w:hAnsi="Times New Roman" w:cs="Times New Roman"/>
          <w:sz w:val="24"/>
          <w:szCs w:val="24"/>
        </w:rPr>
        <w:t xml:space="preserve"> realizirano je ukupno 13.846 transakcija ukupne vrijednosti 677.67 milijardi </w:t>
      </w:r>
      <w:r w:rsidR="00EC6E90" w:rsidRPr="00BE5472">
        <w:rPr>
          <w:rFonts w:ascii="Times New Roman" w:hAnsi="Times New Roman" w:cs="Times New Roman"/>
          <w:sz w:val="24"/>
          <w:szCs w:val="24"/>
        </w:rPr>
        <w:t>e</w:t>
      </w:r>
      <w:r w:rsidRPr="00BE5472">
        <w:rPr>
          <w:rFonts w:ascii="Times New Roman" w:hAnsi="Times New Roman" w:cs="Times New Roman"/>
          <w:sz w:val="24"/>
          <w:szCs w:val="24"/>
        </w:rPr>
        <w:t xml:space="preserve">ura (IMMA 2024). </w:t>
      </w:r>
    </w:p>
    <w:p w14:paraId="294E20A0" w14:textId="114438B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Intercontinental Hotel Group</w:t>
      </w:r>
      <w:r w:rsidRPr="00BE5472">
        <w:rPr>
          <w:rFonts w:ascii="Times New Roman" w:hAnsi="Times New Roman" w:cs="Times New Roman"/>
          <w:sz w:val="24"/>
          <w:szCs w:val="24"/>
        </w:rPr>
        <w:t xml:space="preserve"> (IHG) je 2014. godine kupio </w:t>
      </w:r>
      <w:r w:rsidRPr="00BE5472">
        <w:rPr>
          <w:rFonts w:ascii="Times New Roman" w:hAnsi="Times New Roman" w:cs="Times New Roman"/>
          <w:i/>
          <w:iCs/>
          <w:sz w:val="24"/>
          <w:szCs w:val="24"/>
        </w:rPr>
        <w:t>Kimpton Hotels &amp; Restaurants</w:t>
      </w:r>
      <w:r w:rsidRPr="00BE5472">
        <w:rPr>
          <w:rFonts w:ascii="Times New Roman" w:hAnsi="Times New Roman" w:cs="Times New Roman"/>
          <w:sz w:val="24"/>
          <w:szCs w:val="24"/>
        </w:rPr>
        <w:t xml:space="preserve"> za 430 milijuna dolara gotovine. </w:t>
      </w:r>
      <w:r w:rsidR="00CF4810">
        <w:rPr>
          <w:rFonts w:ascii="Times New Roman" w:hAnsi="Times New Roman" w:cs="Times New Roman"/>
          <w:sz w:val="24"/>
          <w:szCs w:val="24"/>
        </w:rPr>
        <w:t>Prema poda</w:t>
      </w:r>
      <w:r w:rsidR="000E3AE1">
        <w:rPr>
          <w:rFonts w:ascii="Times New Roman" w:hAnsi="Times New Roman" w:cs="Times New Roman"/>
          <w:sz w:val="24"/>
          <w:szCs w:val="24"/>
        </w:rPr>
        <w:t>cima</w:t>
      </w:r>
      <w:r w:rsidR="00CF4810">
        <w:rPr>
          <w:rFonts w:ascii="Times New Roman" w:hAnsi="Times New Roman" w:cs="Times New Roman"/>
          <w:sz w:val="24"/>
          <w:szCs w:val="24"/>
        </w:rPr>
        <w:t xml:space="preserve"> iz 2014. godine </w:t>
      </w:r>
      <w:r w:rsidRPr="00BE5472">
        <w:rPr>
          <w:rFonts w:ascii="Times New Roman" w:hAnsi="Times New Roman" w:cs="Times New Roman"/>
          <w:sz w:val="24"/>
          <w:szCs w:val="24"/>
        </w:rPr>
        <w:t xml:space="preserve">IHG </w:t>
      </w:r>
      <w:r w:rsidR="00CF4810">
        <w:rPr>
          <w:rFonts w:ascii="Times New Roman" w:hAnsi="Times New Roman" w:cs="Times New Roman"/>
          <w:sz w:val="24"/>
          <w:szCs w:val="24"/>
        </w:rPr>
        <w:t>je</w:t>
      </w:r>
      <w:r w:rsidRPr="00BE5472">
        <w:rPr>
          <w:rFonts w:ascii="Times New Roman" w:hAnsi="Times New Roman" w:cs="Times New Roman"/>
          <w:sz w:val="24"/>
          <w:szCs w:val="24"/>
        </w:rPr>
        <w:t xml:space="preserve"> upravlja</w:t>
      </w:r>
      <w:r w:rsidR="00CF4810">
        <w:rPr>
          <w:rFonts w:ascii="Times New Roman" w:hAnsi="Times New Roman" w:cs="Times New Roman"/>
          <w:sz w:val="24"/>
          <w:szCs w:val="24"/>
        </w:rPr>
        <w:t>o</w:t>
      </w:r>
      <w:r w:rsidRPr="00BE5472">
        <w:rPr>
          <w:rFonts w:ascii="Times New Roman" w:hAnsi="Times New Roman" w:cs="Times New Roman"/>
          <w:sz w:val="24"/>
          <w:szCs w:val="24"/>
        </w:rPr>
        <w:t xml:space="preserve"> s 5.000 hotela u gotovo </w:t>
      </w:r>
      <w:r w:rsidR="00EC6E90" w:rsidRPr="00BE5472">
        <w:rPr>
          <w:rFonts w:ascii="Times New Roman" w:hAnsi="Times New Roman" w:cs="Times New Roman"/>
          <w:sz w:val="24"/>
          <w:szCs w:val="24"/>
        </w:rPr>
        <w:t>stotinu</w:t>
      </w:r>
      <w:r w:rsidRPr="00BE5472">
        <w:rPr>
          <w:rFonts w:ascii="Times New Roman" w:hAnsi="Times New Roman" w:cs="Times New Roman"/>
          <w:sz w:val="24"/>
          <w:szCs w:val="24"/>
        </w:rPr>
        <w:t xml:space="preserve"> zemalja i teritorija, s više od 744.000 soba. IHG-ovi 12 marki pokrivaju segmente od srednje klase do luksuza. Program nagrađivanja IHG-a ima više od </w:t>
      </w:r>
      <w:r w:rsidR="00EC6E90" w:rsidRPr="00BE5472">
        <w:rPr>
          <w:rFonts w:ascii="Times New Roman" w:hAnsi="Times New Roman" w:cs="Times New Roman"/>
          <w:sz w:val="24"/>
          <w:szCs w:val="24"/>
        </w:rPr>
        <w:t xml:space="preserve">stotinu </w:t>
      </w:r>
      <w:r w:rsidRPr="00BE5472">
        <w:rPr>
          <w:rFonts w:ascii="Times New Roman" w:hAnsi="Times New Roman" w:cs="Times New Roman"/>
          <w:sz w:val="24"/>
          <w:szCs w:val="24"/>
        </w:rPr>
        <w:t>milijuna članova.</w:t>
      </w:r>
      <w:r w:rsidRPr="00BE5472">
        <w:rPr>
          <w:rFonts w:ascii="Times New Roman" w:hAnsi="Times New Roman" w:cs="Times New Roman"/>
        </w:rPr>
        <w:t xml:space="preserve"> </w:t>
      </w:r>
      <w:r w:rsidRPr="00BE5472">
        <w:rPr>
          <w:rFonts w:ascii="Times New Roman" w:hAnsi="Times New Roman" w:cs="Times New Roman"/>
          <w:sz w:val="24"/>
          <w:szCs w:val="24"/>
        </w:rPr>
        <w:t xml:space="preserve">Ovo preuzimanje predstavlja još jedan korak </w:t>
      </w:r>
      <w:r w:rsidR="00EC6E90" w:rsidRPr="00BE5472">
        <w:rPr>
          <w:rFonts w:ascii="Times New Roman" w:hAnsi="Times New Roman" w:cs="Times New Roman"/>
          <w:sz w:val="24"/>
          <w:szCs w:val="24"/>
        </w:rPr>
        <w:t>prema</w:t>
      </w:r>
      <w:r w:rsidRPr="00BE5472">
        <w:rPr>
          <w:rFonts w:ascii="Times New Roman" w:hAnsi="Times New Roman" w:cs="Times New Roman"/>
          <w:sz w:val="24"/>
          <w:szCs w:val="24"/>
        </w:rPr>
        <w:t xml:space="preserve"> dobro uspostavljenoj strategiji IHG-a usmjerenoj na imovinu s malim opterećenjem ulaganja u visokokvalitetan rast, nadograđujući snažan dosadašnji niz razvoja kultnih globalnih marki. Iskoristit će tako svoj obujam i </w:t>
      </w:r>
      <w:r w:rsidR="00EC6E90" w:rsidRPr="00BE5472">
        <w:rPr>
          <w:rFonts w:ascii="Times New Roman" w:hAnsi="Times New Roman" w:cs="Times New Roman"/>
          <w:sz w:val="24"/>
          <w:szCs w:val="24"/>
        </w:rPr>
        <w:t>rasprostranjenost</w:t>
      </w:r>
      <w:r w:rsidRPr="00BE5472">
        <w:rPr>
          <w:rFonts w:ascii="Times New Roman" w:hAnsi="Times New Roman" w:cs="Times New Roman"/>
          <w:sz w:val="24"/>
          <w:szCs w:val="24"/>
        </w:rPr>
        <w:t xml:space="preserve">, mrežu odnosa s vlasnicima i moćne digitalne platforme kako bi ubrzali rast </w:t>
      </w:r>
      <w:r w:rsidRPr="00BE5472">
        <w:rPr>
          <w:rFonts w:ascii="Times New Roman" w:hAnsi="Times New Roman" w:cs="Times New Roman"/>
          <w:i/>
          <w:iCs/>
          <w:sz w:val="24"/>
          <w:szCs w:val="24"/>
        </w:rPr>
        <w:t>Kimptona</w:t>
      </w:r>
      <w:r w:rsidRPr="00BE5472">
        <w:rPr>
          <w:rFonts w:ascii="Times New Roman" w:hAnsi="Times New Roman" w:cs="Times New Roman"/>
          <w:sz w:val="24"/>
          <w:szCs w:val="24"/>
        </w:rPr>
        <w:t xml:space="preserve"> kako u SAD-u tako i u inozemstvu (</w:t>
      </w:r>
      <w:r w:rsidRPr="00BE5472">
        <w:rPr>
          <w:rFonts w:ascii="Times New Roman" w:hAnsi="Times New Roman" w:cs="Times New Roman"/>
          <w:i/>
          <w:iCs/>
          <w:sz w:val="24"/>
          <w:szCs w:val="24"/>
        </w:rPr>
        <w:t>IHG Hotel and Resorts</w:t>
      </w:r>
      <w:r w:rsidRPr="00BE5472">
        <w:rPr>
          <w:rFonts w:ascii="Times New Roman" w:hAnsi="Times New Roman" w:cs="Times New Roman"/>
          <w:sz w:val="24"/>
          <w:szCs w:val="24"/>
        </w:rPr>
        <w:t xml:space="preserve"> 2014).</w:t>
      </w:r>
    </w:p>
    <w:p w14:paraId="35465E50" w14:textId="64D6904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dostupnim informacijama (</w:t>
      </w:r>
      <w:r w:rsidRPr="00BE5472">
        <w:rPr>
          <w:rFonts w:ascii="Times New Roman" w:hAnsi="Times New Roman" w:cs="Times New Roman"/>
          <w:i/>
          <w:iCs/>
          <w:sz w:val="24"/>
          <w:szCs w:val="24"/>
        </w:rPr>
        <w:t>Marriot</w:t>
      </w:r>
      <w:r w:rsidRPr="00BE5472">
        <w:rPr>
          <w:rFonts w:ascii="Times New Roman" w:hAnsi="Times New Roman" w:cs="Times New Roman"/>
          <w:sz w:val="24"/>
          <w:szCs w:val="24"/>
        </w:rPr>
        <w:t xml:space="preserve"> 2016) u studenom 2015., </w:t>
      </w:r>
      <w:r w:rsidRPr="00BE5472">
        <w:rPr>
          <w:rFonts w:ascii="Times New Roman" w:hAnsi="Times New Roman" w:cs="Times New Roman"/>
          <w:i/>
          <w:iCs/>
          <w:sz w:val="24"/>
          <w:szCs w:val="24"/>
        </w:rPr>
        <w:t>Marriott International</w:t>
      </w:r>
      <w:r w:rsidRPr="00BE5472">
        <w:rPr>
          <w:rFonts w:ascii="Times New Roman" w:hAnsi="Times New Roman" w:cs="Times New Roman"/>
          <w:sz w:val="24"/>
          <w:szCs w:val="24"/>
        </w:rPr>
        <w:t xml:space="preserve"> je objavio plan o preuzimanju </w:t>
      </w:r>
      <w:r w:rsidRPr="00BE5472">
        <w:rPr>
          <w:rFonts w:ascii="Times New Roman" w:hAnsi="Times New Roman" w:cs="Times New Roman"/>
          <w:i/>
          <w:iCs/>
          <w:sz w:val="24"/>
          <w:szCs w:val="24"/>
        </w:rPr>
        <w:t>Starwood Hotels &amp; Resorts Worldwide</w:t>
      </w:r>
      <w:r w:rsidRPr="00BE5472">
        <w:rPr>
          <w:rFonts w:ascii="Times New Roman" w:hAnsi="Times New Roman" w:cs="Times New Roman"/>
          <w:sz w:val="24"/>
          <w:szCs w:val="24"/>
        </w:rPr>
        <w:t xml:space="preserve">, a u travnju 2016. dioničari </w:t>
      </w:r>
      <w:r w:rsidRPr="00BE5472">
        <w:rPr>
          <w:rFonts w:ascii="Times New Roman" w:hAnsi="Times New Roman" w:cs="Times New Roman"/>
          <w:i/>
          <w:iCs/>
          <w:sz w:val="24"/>
          <w:szCs w:val="24"/>
        </w:rPr>
        <w:t>Marriott Internationala</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Starwood Hotels &amp; Resorts Worldwide</w:t>
      </w:r>
      <w:r w:rsidRPr="00BE5472">
        <w:rPr>
          <w:rFonts w:ascii="Times New Roman" w:hAnsi="Times New Roman" w:cs="Times New Roman"/>
          <w:sz w:val="24"/>
          <w:szCs w:val="24"/>
        </w:rPr>
        <w:t xml:space="preserve"> odobrili su spajanje. Transakcija je zaključena u rujnu 2016. godine. Najveći hotelski lanac na svijetu, </w:t>
      </w:r>
      <w:r w:rsidRPr="00BE5472">
        <w:rPr>
          <w:rFonts w:ascii="Times New Roman" w:hAnsi="Times New Roman" w:cs="Times New Roman"/>
          <w:i/>
          <w:iCs/>
          <w:sz w:val="24"/>
          <w:szCs w:val="24"/>
        </w:rPr>
        <w:t>Marriott International</w:t>
      </w:r>
      <w:r w:rsidRPr="00BE5472">
        <w:rPr>
          <w:rFonts w:ascii="Times New Roman" w:hAnsi="Times New Roman" w:cs="Times New Roman"/>
          <w:sz w:val="24"/>
          <w:szCs w:val="24"/>
        </w:rPr>
        <w:t xml:space="preserve">, posluje u više od 6.400 hotela u 126 zemalja te nakon spajanja s </w:t>
      </w:r>
      <w:r w:rsidRPr="00BE5472">
        <w:rPr>
          <w:rFonts w:ascii="Times New Roman" w:hAnsi="Times New Roman" w:cs="Times New Roman"/>
          <w:i/>
          <w:iCs/>
          <w:sz w:val="24"/>
          <w:szCs w:val="24"/>
        </w:rPr>
        <w:t>Starwood Hotels and Resorts</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Marriottov</w:t>
      </w:r>
      <w:r w:rsidRPr="00BE5472">
        <w:rPr>
          <w:rFonts w:ascii="Times New Roman" w:hAnsi="Times New Roman" w:cs="Times New Roman"/>
          <w:sz w:val="24"/>
          <w:szCs w:val="24"/>
        </w:rPr>
        <w:t xml:space="preserve"> portfelj uključuje 30 marki, uglavnom usredotočenih na gornje srednje klase, luksuz i </w:t>
      </w:r>
      <w:r w:rsidRPr="00BE5472">
        <w:rPr>
          <w:rFonts w:ascii="Times New Roman" w:hAnsi="Times New Roman" w:cs="Times New Roman"/>
          <w:sz w:val="24"/>
          <w:szCs w:val="24"/>
        </w:rPr>
        <w:lastRenderedPageBreak/>
        <w:t xml:space="preserve">visoku klasu. Ukupno raspolaže s 1,2 milijuna soba. Poduzeće ima više od </w:t>
      </w:r>
      <w:r w:rsidR="00EC6E90" w:rsidRPr="00BE5472">
        <w:rPr>
          <w:rFonts w:ascii="Times New Roman" w:hAnsi="Times New Roman" w:cs="Times New Roman"/>
          <w:sz w:val="24"/>
          <w:szCs w:val="24"/>
        </w:rPr>
        <w:t>stotinu</w:t>
      </w:r>
      <w:r w:rsidRPr="00BE5472">
        <w:rPr>
          <w:rFonts w:ascii="Times New Roman" w:hAnsi="Times New Roman" w:cs="Times New Roman"/>
          <w:sz w:val="24"/>
          <w:szCs w:val="24"/>
        </w:rPr>
        <w:t xml:space="preserve"> milijuna kombiniranih članova vjernosti. Ova je transakcija zasigurno jedna od najvećih u povijesti spajanja i preuzimanja u hotelijerstvu i o njoj se najviše pisalo i nju se najviše i analiziralo.</w:t>
      </w:r>
    </w:p>
    <w:p w14:paraId="679CE1C7" w14:textId="0E78B1A2"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i/>
          <w:iCs/>
          <w:sz w:val="24"/>
          <w:szCs w:val="24"/>
        </w:rPr>
        <w:t>AccorHotels</w:t>
      </w:r>
      <w:r w:rsidRPr="00BE5472">
        <w:rPr>
          <w:rFonts w:ascii="Times New Roman" w:hAnsi="Times New Roman" w:cs="Times New Roman"/>
          <w:sz w:val="24"/>
          <w:szCs w:val="24"/>
        </w:rPr>
        <w:t xml:space="preserve"> je 2016. godine preuzeo </w:t>
      </w:r>
      <w:r w:rsidRPr="00BE5472">
        <w:rPr>
          <w:rFonts w:ascii="Times New Roman" w:hAnsi="Times New Roman" w:cs="Times New Roman"/>
          <w:i/>
          <w:iCs/>
          <w:sz w:val="24"/>
          <w:szCs w:val="24"/>
        </w:rPr>
        <w:t>Fairmont Raffles Hotels International</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Fairmont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Raffles</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Swissôtel</w:t>
      </w:r>
      <w:r w:rsidRPr="00BE5472">
        <w:rPr>
          <w:rFonts w:ascii="Times New Roman" w:hAnsi="Times New Roman" w:cs="Times New Roman"/>
          <w:sz w:val="24"/>
          <w:szCs w:val="24"/>
        </w:rPr>
        <w:t xml:space="preserve">) za 2,7 milijardi dolara i </w:t>
      </w:r>
      <w:r w:rsidRPr="00BE5472">
        <w:rPr>
          <w:rFonts w:ascii="Times New Roman" w:hAnsi="Times New Roman" w:cs="Times New Roman"/>
          <w:i/>
          <w:iCs/>
          <w:sz w:val="24"/>
          <w:szCs w:val="24"/>
        </w:rPr>
        <w:t>One fine stay</w:t>
      </w:r>
      <w:r w:rsidRPr="00BE5472">
        <w:rPr>
          <w:rFonts w:ascii="Times New Roman" w:hAnsi="Times New Roman" w:cs="Times New Roman"/>
          <w:sz w:val="24"/>
          <w:szCs w:val="24"/>
        </w:rPr>
        <w:t xml:space="preserve"> za 168 milijuna dolara</w:t>
      </w:r>
      <w:r w:rsidRPr="0097734C">
        <w:rPr>
          <w:rFonts w:ascii="Times New Roman" w:hAnsi="Times New Roman" w:cs="Times New Roman"/>
          <w:sz w:val="24"/>
          <w:szCs w:val="24"/>
        </w:rPr>
        <w:t xml:space="preserve">. </w:t>
      </w:r>
      <w:r w:rsidR="0097734C" w:rsidRPr="0097734C">
        <w:rPr>
          <w:rFonts w:ascii="Times New Roman" w:hAnsi="Times New Roman" w:cs="Times New Roman"/>
          <w:sz w:val="24"/>
          <w:szCs w:val="24"/>
        </w:rPr>
        <w:t xml:space="preserve">Prema </w:t>
      </w:r>
      <w:r w:rsidR="0097734C">
        <w:rPr>
          <w:rFonts w:ascii="Times New Roman" w:hAnsi="Times New Roman" w:cs="Times New Roman"/>
          <w:sz w:val="24"/>
          <w:szCs w:val="24"/>
        </w:rPr>
        <w:t>dostupnom</w:t>
      </w:r>
      <w:r w:rsidR="0097734C" w:rsidRPr="0097734C">
        <w:rPr>
          <w:rFonts w:ascii="Times New Roman" w:hAnsi="Times New Roman" w:cs="Times New Roman"/>
          <w:sz w:val="24"/>
          <w:szCs w:val="24"/>
        </w:rPr>
        <w:t xml:space="preserve"> izvoru, </w:t>
      </w:r>
      <w:r w:rsidR="0097734C" w:rsidRPr="0097734C">
        <w:rPr>
          <w:rFonts w:ascii="Times New Roman" w:hAnsi="Times New Roman" w:cs="Times New Roman"/>
          <w:i/>
          <w:iCs/>
          <w:sz w:val="24"/>
          <w:szCs w:val="24"/>
        </w:rPr>
        <w:t>Accor Hotels Group</w:t>
      </w:r>
      <w:r w:rsidR="0097734C" w:rsidRPr="0097734C">
        <w:rPr>
          <w:rFonts w:ascii="Times New Roman" w:hAnsi="Times New Roman" w:cs="Times New Roman"/>
          <w:sz w:val="24"/>
          <w:szCs w:val="24"/>
        </w:rPr>
        <w:t xml:space="preserve"> je 2016. godine upravljao s više od 4.200 hotela u 95 zemalja, koji su zajedno raspolagali s približno 600.000 soba.</w:t>
      </w:r>
      <w:r w:rsidRPr="00BE5472">
        <w:rPr>
          <w:rFonts w:ascii="Times New Roman" w:hAnsi="Times New Roman" w:cs="Times New Roman"/>
          <w:sz w:val="24"/>
          <w:szCs w:val="24"/>
        </w:rPr>
        <w:t xml:space="preserve"> Portfelj poduzeća uključuje </w:t>
      </w:r>
      <w:r w:rsidR="00EC6E90" w:rsidRPr="00BE5472">
        <w:rPr>
          <w:rFonts w:ascii="Times New Roman" w:hAnsi="Times New Roman" w:cs="Times New Roman"/>
          <w:sz w:val="24"/>
          <w:szCs w:val="24"/>
        </w:rPr>
        <w:t xml:space="preserve">više od </w:t>
      </w:r>
      <w:r w:rsidRPr="00BE5472">
        <w:rPr>
          <w:rFonts w:ascii="Times New Roman" w:hAnsi="Times New Roman" w:cs="Times New Roman"/>
          <w:sz w:val="24"/>
          <w:szCs w:val="24"/>
        </w:rPr>
        <w:t>20</w:t>
      </w:r>
      <w:r w:rsidR="00EC6E90"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marki s raznolikim proizvodima. Program vjernosti </w:t>
      </w:r>
      <w:r w:rsidRPr="00BE5472">
        <w:rPr>
          <w:rFonts w:ascii="Times New Roman" w:hAnsi="Times New Roman" w:cs="Times New Roman"/>
          <w:i/>
          <w:iCs/>
          <w:sz w:val="24"/>
          <w:szCs w:val="24"/>
        </w:rPr>
        <w:t>Accor Hotelsa</w:t>
      </w:r>
      <w:r w:rsidRPr="00BE5472">
        <w:rPr>
          <w:rFonts w:ascii="Times New Roman" w:hAnsi="Times New Roman" w:cs="Times New Roman"/>
          <w:sz w:val="24"/>
          <w:szCs w:val="24"/>
        </w:rPr>
        <w:t xml:space="preserve"> ima oko 27 milijuna članova.</w:t>
      </w:r>
      <w:r w:rsidRPr="00BE5472">
        <w:rPr>
          <w:rFonts w:ascii="Times New Roman" w:hAnsi="Times New Roman" w:cs="Times New Roman"/>
        </w:rPr>
        <w:t xml:space="preserve"> </w:t>
      </w:r>
      <w:r w:rsidRPr="00BE5472">
        <w:rPr>
          <w:rFonts w:ascii="Times New Roman" w:hAnsi="Times New Roman" w:cs="Times New Roman"/>
          <w:i/>
          <w:iCs/>
          <w:sz w:val="24"/>
          <w:szCs w:val="24"/>
        </w:rPr>
        <w:t xml:space="preserve">AccorHotels </w:t>
      </w:r>
      <w:r w:rsidRPr="00BE5472">
        <w:rPr>
          <w:rFonts w:ascii="Times New Roman" w:hAnsi="Times New Roman" w:cs="Times New Roman"/>
          <w:sz w:val="24"/>
          <w:szCs w:val="24"/>
        </w:rPr>
        <w:t xml:space="preserve">planira stvoriti oko 65 milijuna eura u prihodima i uštedama zahvaljujući kombinaciji marki, maksimizaciji prihoda hotela, povećanoj učinkovitosti marketinških, prodajnih distribucijskih </w:t>
      </w:r>
      <w:r w:rsidR="008552B9" w:rsidRPr="00BE5472">
        <w:rPr>
          <w:rFonts w:ascii="Times New Roman" w:hAnsi="Times New Roman" w:cs="Times New Roman"/>
          <w:sz w:val="24"/>
          <w:szCs w:val="24"/>
        </w:rPr>
        <w:t>inicijativa</w:t>
      </w:r>
      <w:r w:rsidRPr="00BE5472">
        <w:rPr>
          <w:rFonts w:ascii="Times New Roman" w:hAnsi="Times New Roman" w:cs="Times New Roman"/>
          <w:sz w:val="24"/>
          <w:szCs w:val="24"/>
        </w:rPr>
        <w:t xml:space="preserve"> te optimizaciji troškova podrške. Također će se znatno unaprijediti podaci o kupcima zahvaljujući integraciji korisničke baze FRHI</w:t>
      </w:r>
      <w:r w:rsidR="00EC6E90" w:rsidRPr="00BE5472">
        <w:rPr>
          <w:rFonts w:ascii="Times New Roman" w:hAnsi="Times New Roman" w:cs="Times New Roman"/>
          <w:sz w:val="24"/>
          <w:szCs w:val="24"/>
        </w:rPr>
        <w:t>,</w:t>
      </w:r>
      <w:r w:rsidRPr="00BE5472">
        <w:rPr>
          <w:rFonts w:ascii="Times New Roman" w:hAnsi="Times New Roman" w:cs="Times New Roman"/>
          <w:sz w:val="24"/>
          <w:szCs w:val="24"/>
        </w:rPr>
        <w:t xml:space="preserve"> koja uključuje tri milijuna članova vjernosti, od kojih je 75 posto u Sjevernoj Americi (Accor 2016). Većina od 154 hotela i ljetovališta </w:t>
      </w:r>
      <w:r w:rsidRPr="00BE5472">
        <w:rPr>
          <w:rFonts w:ascii="Times New Roman" w:hAnsi="Times New Roman" w:cs="Times New Roman"/>
          <w:i/>
          <w:iCs/>
          <w:sz w:val="24"/>
          <w:szCs w:val="24"/>
        </w:rPr>
        <w:t>Fairmont, Raffles</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Swissôtel</w:t>
      </w:r>
      <w:r w:rsidRPr="00BE5472">
        <w:rPr>
          <w:rFonts w:ascii="Times New Roman" w:hAnsi="Times New Roman" w:cs="Times New Roman"/>
          <w:sz w:val="24"/>
          <w:szCs w:val="24"/>
        </w:rPr>
        <w:t xml:space="preserve"> (od kojih je 40 u razvoju) i 56.000 soba koje se nalaze na 34 zemlje i na pet kontinenata posluju pod dugoročnim upravljačkim ugovorima, s prosječnim rokom od gotovo 30 godina; šest hotela je zakupljeno, a jedan hotel je u vlasništvu. Marke </w:t>
      </w:r>
      <w:r w:rsidRPr="00BE5472">
        <w:rPr>
          <w:rFonts w:ascii="Times New Roman" w:hAnsi="Times New Roman" w:cs="Times New Roman"/>
          <w:i/>
          <w:iCs/>
          <w:sz w:val="24"/>
          <w:szCs w:val="24"/>
        </w:rPr>
        <w:t>Fairmont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Raffles</w:t>
      </w:r>
      <w:r w:rsidRPr="00BE5472">
        <w:rPr>
          <w:rFonts w:ascii="Times New Roman" w:hAnsi="Times New Roman" w:cs="Times New Roman"/>
          <w:sz w:val="24"/>
          <w:szCs w:val="24"/>
        </w:rPr>
        <w:t xml:space="preserve"> i </w:t>
      </w:r>
      <w:r w:rsidRPr="00BE5472">
        <w:rPr>
          <w:rFonts w:ascii="Times New Roman" w:hAnsi="Times New Roman" w:cs="Times New Roman"/>
          <w:i/>
          <w:iCs/>
          <w:sz w:val="24"/>
          <w:szCs w:val="24"/>
        </w:rPr>
        <w:t>Swissôtel</w:t>
      </w:r>
      <w:r w:rsidRPr="00BE5472">
        <w:rPr>
          <w:rFonts w:ascii="Times New Roman" w:hAnsi="Times New Roman" w:cs="Times New Roman"/>
          <w:sz w:val="24"/>
          <w:szCs w:val="24"/>
        </w:rPr>
        <w:t xml:space="preserve"> zapošljavaju više od 45.000 ljudi diljem svijeta.</w:t>
      </w:r>
    </w:p>
    <w:p w14:paraId="5A94ECD3" w14:textId="35F9564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Značajne transakcije poput </w:t>
      </w:r>
      <w:r w:rsidRPr="00BE5472">
        <w:rPr>
          <w:rFonts w:ascii="Times New Roman" w:hAnsi="Times New Roman" w:cs="Times New Roman"/>
          <w:i/>
          <w:iCs/>
          <w:sz w:val="24"/>
          <w:szCs w:val="24"/>
        </w:rPr>
        <w:t>Marriottovog</w:t>
      </w:r>
      <w:r w:rsidRPr="00BE5472">
        <w:rPr>
          <w:rFonts w:ascii="Times New Roman" w:hAnsi="Times New Roman" w:cs="Times New Roman"/>
          <w:sz w:val="24"/>
          <w:szCs w:val="24"/>
        </w:rPr>
        <w:t xml:space="preserve"> preuzimanja </w:t>
      </w:r>
      <w:r w:rsidRPr="00BE5472">
        <w:rPr>
          <w:rFonts w:ascii="Times New Roman" w:hAnsi="Times New Roman" w:cs="Times New Roman"/>
          <w:i/>
          <w:iCs/>
          <w:sz w:val="24"/>
          <w:szCs w:val="24"/>
        </w:rPr>
        <w:t>Starwood</w:t>
      </w:r>
      <w:r w:rsidRPr="00BE5472">
        <w:rPr>
          <w:rFonts w:ascii="Times New Roman" w:hAnsi="Times New Roman" w:cs="Times New Roman"/>
          <w:sz w:val="24"/>
          <w:szCs w:val="24"/>
        </w:rPr>
        <w:t xml:space="preserve"> grupe i </w:t>
      </w:r>
      <w:r w:rsidRPr="00BE5472">
        <w:rPr>
          <w:rFonts w:ascii="Times New Roman" w:hAnsi="Times New Roman" w:cs="Times New Roman"/>
          <w:i/>
          <w:iCs/>
          <w:sz w:val="24"/>
          <w:szCs w:val="24"/>
        </w:rPr>
        <w:t>Accorovog</w:t>
      </w:r>
      <w:r w:rsidRPr="00BE5472">
        <w:rPr>
          <w:rFonts w:ascii="Times New Roman" w:hAnsi="Times New Roman" w:cs="Times New Roman"/>
          <w:sz w:val="24"/>
          <w:szCs w:val="24"/>
        </w:rPr>
        <w:t xml:space="preserve"> preuzimanja </w:t>
      </w:r>
      <w:r w:rsidRPr="00BE5472">
        <w:rPr>
          <w:rFonts w:ascii="Times New Roman" w:hAnsi="Times New Roman" w:cs="Times New Roman"/>
          <w:i/>
          <w:iCs/>
          <w:sz w:val="24"/>
          <w:szCs w:val="24"/>
        </w:rPr>
        <w:t>Fairmont Hotels &amp; Resorts</w:t>
      </w:r>
      <w:r w:rsidRPr="00BE5472">
        <w:rPr>
          <w:rFonts w:ascii="Times New Roman" w:hAnsi="Times New Roman" w:cs="Times New Roman"/>
          <w:sz w:val="24"/>
          <w:szCs w:val="24"/>
        </w:rPr>
        <w:t xml:space="preserve"> doprinijeli su ukupnoj vrijednost transakcija 2016. godine s oko 200,3 milijardi američkih dolara (Haddad 2018). Isti izvor navodi kako se nakon toga bilježi svojevrsno smirivanje tempa provedbe i veličine transakcija spajanja i preuzimanja. Godine 2017. ukupna vrijednost transakcija dostigla je 69 milijardi američkih dolara. Broj transakcija i dalje ostaje relativno visok prema povijesnim standardima. Od 2014. godine svake je godine obavljeno više od 300 transakcija. No, zapazilo se da su investitori pratili manja, ciljana preuzimanja kako bi proširili svoje poslovanje uz bolju kontrolu. U nastavku se izdvajaju značajnija spajanja i preuzimanja u hotelskom sektoru na globalnoj razini u razdoblju od 2020. do 2024. godine. </w:t>
      </w:r>
    </w:p>
    <w:p w14:paraId="3F90A815" w14:textId="77777777" w:rsidR="007B10FE" w:rsidRDefault="007B10FE" w:rsidP="006E052A">
      <w:pPr>
        <w:spacing w:line="360" w:lineRule="auto"/>
        <w:jc w:val="both"/>
        <w:rPr>
          <w:rFonts w:ascii="Times New Roman" w:hAnsi="Times New Roman" w:cs="Times New Roman"/>
          <w:sz w:val="24"/>
          <w:szCs w:val="24"/>
        </w:rPr>
        <w:sectPr w:rsidR="007B10FE" w:rsidSect="00D03C2F">
          <w:pgSz w:w="12240" w:h="15840"/>
          <w:pgMar w:top="1440" w:right="1440" w:bottom="1440" w:left="1440" w:header="708" w:footer="708" w:gutter="0"/>
          <w:cols w:space="708"/>
          <w:docGrid w:linePitch="360"/>
        </w:sectPr>
      </w:pPr>
    </w:p>
    <w:p w14:paraId="1E4E3AB6" w14:textId="5D9BDD19" w:rsidR="006E052A" w:rsidRPr="001B337F" w:rsidRDefault="001B337F" w:rsidP="001B337F">
      <w:pPr>
        <w:pStyle w:val="Caption"/>
        <w:rPr>
          <w:rFonts w:ascii="Times New Roman" w:hAnsi="Times New Roman" w:cs="Times New Roman"/>
          <w:sz w:val="24"/>
          <w:szCs w:val="24"/>
        </w:rPr>
      </w:pPr>
      <w:bookmarkStart w:id="124" w:name="_Toc241865206"/>
      <w:r w:rsidRPr="001B337F">
        <w:rPr>
          <w:rFonts w:ascii="Times New Roman" w:hAnsi="Times New Roman" w:cs="Times New Roman"/>
          <w:sz w:val="24"/>
          <w:szCs w:val="24"/>
        </w:rPr>
        <w:lastRenderedPageBreak/>
        <w:t xml:space="preserve">Tablica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Tablica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12</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Spajanja i preuzimanja u hotelskom sektoru od 2020. do 2024. godine</w:t>
      </w:r>
      <w:bookmarkEnd w:id="124"/>
    </w:p>
    <w:tbl>
      <w:tblPr>
        <w:tblStyle w:val="Reetkatablice2"/>
        <w:tblW w:w="0" w:type="auto"/>
        <w:tblLook w:val="04A0" w:firstRow="1" w:lastRow="0" w:firstColumn="1" w:lastColumn="0" w:noHBand="0" w:noVBand="1"/>
      </w:tblPr>
      <w:tblGrid>
        <w:gridCol w:w="2856"/>
        <w:gridCol w:w="1819"/>
        <w:gridCol w:w="2722"/>
        <w:gridCol w:w="1953"/>
      </w:tblGrid>
      <w:tr w:rsidR="006E052A" w:rsidRPr="00BE5472" w14:paraId="3ED31EBB" w14:textId="77777777" w:rsidTr="007201FA">
        <w:tc>
          <w:tcPr>
            <w:tcW w:w="9350" w:type="dxa"/>
            <w:gridSpan w:val="4"/>
            <w:shd w:val="clear" w:color="auto" w:fill="E7E6E6" w:themeFill="background2"/>
          </w:tcPr>
          <w:p w14:paraId="3A2F2CB6" w14:textId="77777777"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2024.</w:t>
            </w:r>
          </w:p>
        </w:tc>
      </w:tr>
      <w:tr w:rsidR="006E052A" w:rsidRPr="00BE5472" w14:paraId="3BA26E5C" w14:textId="77777777" w:rsidTr="00E6765E">
        <w:tc>
          <w:tcPr>
            <w:tcW w:w="2856" w:type="dxa"/>
            <w:vAlign w:val="center"/>
          </w:tcPr>
          <w:p w14:paraId="444EB2E4" w14:textId="77777777" w:rsidR="006E052A" w:rsidRPr="00BE5472" w:rsidRDefault="006E052A" w:rsidP="00E6765E">
            <w:pPr>
              <w:spacing w:line="360" w:lineRule="auto"/>
              <w:jc w:val="center"/>
              <w:rPr>
                <w:rFonts w:ascii="Times New Roman" w:hAnsi="Times New Roman" w:cs="Times New Roman"/>
                <w:b/>
                <w:lang w:val="en-US"/>
              </w:rPr>
            </w:pPr>
            <w:r w:rsidRPr="00BE5472">
              <w:rPr>
                <w:rFonts w:ascii="Times New Roman" w:hAnsi="Times New Roman" w:cs="Times New Roman"/>
                <w:b/>
                <w:lang w:val="en-US"/>
              </w:rPr>
              <w:t>PODUZEĆE PREUZIMATELJ</w:t>
            </w:r>
          </w:p>
        </w:tc>
        <w:tc>
          <w:tcPr>
            <w:tcW w:w="1819" w:type="dxa"/>
            <w:vAlign w:val="center"/>
          </w:tcPr>
          <w:p w14:paraId="1A31AF32" w14:textId="77777777" w:rsidR="006E052A" w:rsidRPr="00BE5472" w:rsidRDefault="006E052A" w:rsidP="00E6765E">
            <w:pPr>
              <w:spacing w:line="360" w:lineRule="auto"/>
              <w:jc w:val="center"/>
              <w:rPr>
                <w:rFonts w:ascii="Times New Roman" w:hAnsi="Times New Roman" w:cs="Times New Roman"/>
                <w:b/>
                <w:lang w:val="en-US"/>
              </w:rPr>
            </w:pPr>
            <w:r w:rsidRPr="00BE5472">
              <w:rPr>
                <w:rFonts w:ascii="Times New Roman" w:hAnsi="Times New Roman" w:cs="Times New Roman"/>
                <w:b/>
                <w:lang w:val="en-US"/>
              </w:rPr>
              <w:t>PODUZEĆE META</w:t>
            </w:r>
          </w:p>
        </w:tc>
        <w:tc>
          <w:tcPr>
            <w:tcW w:w="2722" w:type="dxa"/>
            <w:vAlign w:val="center"/>
          </w:tcPr>
          <w:p w14:paraId="7F1AC6E2" w14:textId="77777777" w:rsidR="006E052A" w:rsidRPr="00BE5472" w:rsidRDefault="006E052A" w:rsidP="00E6765E">
            <w:pPr>
              <w:spacing w:line="360" w:lineRule="auto"/>
              <w:jc w:val="center"/>
              <w:rPr>
                <w:rFonts w:ascii="Times New Roman" w:hAnsi="Times New Roman" w:cs="Times New Roman"/>
                <w:b/>
                <w:lang w:val="en-US"/>
              </w:rPr>
            </w:pPr>
            <w:r w:rsidRPr="00BE5472">
              <w:rPr>
                <w:rFonts w:ascii="Times New Roman" w:hAnsi="Times New Roman" w:cs="Times New Roman"/>
                <w:b/>
                <w:lang w:val="en-US"/>
              </w:rPr>
              <w:t>OPIS TRANSAKCIJE</w:t>
            </w:r>
          </w:p>
        </w:tc>
        <w:tc>
          <w:tcPr>
            <w:tcW w:w="1953" w:type="dxa"/>
            <w:vAlign w:val="center"/>
          </w:tcPr>
          <w:p w14:paraId="414CD55F" w14:textId="77777777" w:rsidR="006E052A" w:rsidRPr="00BE5472" w:rsidRDefault="006E052A" w:rsidP="00E6765E">
            <w:pPr>
              <w:spacing w:line="360" w:lineRule="auto"/>
              <w:jc w:val="center"/>
              <w:rPr>
                <w:rFonts w:ascii="Times New Roman" w:hAnsi="Times New Roman" w:cs="Times New Roman"/>
                <w:b/>
                <w:lang w:val="en-US"/>
              </w:rPr>
            </w:pPr>
            <w:r w:rsidRPr="00BE5472">
              <w:rPr>
                <w:rFonts w:ascii="Times New Roman" w:hAnsi="Times New Roman" w:cs="Times New Roman"/>
                <w:b/>
                <w:lang w:val="en-US"/>
              </w:rPr>
              <w:t>VRIJEDNOST TRANSAKCIJE</w:t>
            </w:r>
          </w:p>
        </w:tc>
      </w:tr>
      <w:tr w:rsidR="006E052A" w:rsidRPr="00BE5472" w14:paraId="3706190F" w14:textId="77777777" w:rsidTr="007201FA">
        <w:tc>
          <w:tcPr>
            <w:tcW w:w="2856" w:type="dxa"/>
          </w:tcPr>
          <w:p w14:paraId="617098E2"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Starwood Capital Group</w:t>
            </w:r>
            <w:r w:rsidRPr="00BE5472">
              <w:rPr>
                <w:rFonts w:ascii="Times New Roman" w:hAnsi="Times New Roman" w:cs="Times New Roman"/>
                <w:lang w:val="en-US"/>
              </w:rPr>
              <w:t xml:space="preserve"> (privatno investicijsko poduzeće specijalizirano za nekretnine)</w:t>
            </w:r>
            <w:r w:rsidRPr="00BE5472">
              <w:rPr>
                <w:rFonts w:ascii="Times New Roman" w:hAnsi="Times New Roman" w:cs="Times New Roman"/>
                <w:vertAlign w:val="superscript"/>
                <w:lang w:val="en-US"/>
              </w:rPr>
              <w:footnoteReference w:id="8"/>
            </w:r>
          </w:p>
        </w:tc>
        <w:tc>
          <w:tcPr>
            <w:tcW w:w="1819" w:type="dxa"/>
          </w:tcPr>
          <w:p w14:paraId="37A611A9" w14:textId="77777777" w:rsidR="006E052A" w:rsidRPr="00BE5472" w:rsidRDefault="006E052A" w:rsidP="006E052A">
            <w:pPr>
              <w:spacing w:line="360" w:lineRule="auto"/>
              <w:jc w:val="both"/>
              <w:rPr>
                <w:rFonts w:ascii="Times New Roman" w:hAnsi="Times New Roman" w:cs="Times New Roman"/>
                <w:bCs/>
                <w:i/>
                <w:iCs/>
                <w:lang w:val="en-US"/>
              </w:rPr>
            </w:pPr>
            <w:r w:rsidRPr="00BE5472">
              <w:rPr>
                <w:rFonts w:ascii="Times New Roman" w:hAnsi="Times New Roman" w:cs="Times New Roman"/>
                <w:bCs/>
                <w:i/>
                <w:iCs/>
                <w:lang w:val="en-US"/>
              </w:rPr>
              <w:t>Edwardian Group</w:t>
            </w:r>
          </w:p>
          <w:p w14:paraId="79004806" w14:textId="77777777" w:rsidR="006E052A" w:rsidRPr="00BE5472" w:rsidRDefault="006E052A" w:rsidP="006E052A">
            <w:pPr>
              <w:spacing w:line="360" w:lineRule="auto"/>
              <w:jc w:val="both"/>
              <w:rPr>
                <w:rFonts w:ascii="Times New Roman" w:hAnsi="Times New Roman" w:cs="Times New Roman"/>
                <w:b/>
                <w:lang w:val="en-US"/>
              </w:rPr>
            </w:pPr>
          </w:p>
        </w:tc>
        <w:tc>
          <w:tcPr>
            <w:tcW w:w="2722" w:type="dxa"/>
          </w:tcPr>
          <w:p w14:paraId="1AD800E6" w14:textId="2C9C9BE5" w:rsidR="006E052A" w:rsidRPr="00BE5472" w:rsidRDefault="00AC423C"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P</w:t>
            </w:r>
            <w:r w:rsidR="006E052A" w:rsidRPr="00BE5472">
              <w:rPr>
                <w:rFonts w:ascii="Times New Roman" w:hAnsi="Times New Roman" w:cs="Times New Roman"/>
                <w:lang w:val="en-US"/>
              </w:rPr>
              <w:t xml:space="preserve">reuzima se portfelj od </w:t>
            </w:r>
            <w:r w:rsidR="00EC6E90" w:rsidRPr="00BE5472">
              <w:rPr>
                <w:rFonts w:ascii="Times New Roman" w:hAnsi="Times New Roman" w:cs="Times New Roman"/>
                <w:lang w:val="en-US"/>
              </w:rPr>
              <w:t>deset</w:t>
            </w:r>
            <w:r w:rsidR="006E052A" w:rsidRPr="00BE5472">
              <w:rPr>
                <w:rFonts w:ascii="Times New Roman" w:hAnsi="Times New Roman" w:cs="Times New Roman"/>
                <w:lang w:val="en-US"/>
              </w:rPr>
              <w:t xml:space="preserve"> hotela (</w:t>
            </w:r>
            <w:r w:rsidR="006E052A" w:rsidRPr="00BE5472">
              <w:rPr>
                <w:rFonts w:ascii="Times New Roman" w:hAnsi="Times New Roman" w:cs="Times New Roman"/>
                <w:i/>
                <w:iCs/>
                <w:lang w:val="en-US"/>
              </w:rPr>
              <w:t>Radisson Blu Edwardian Hampshire Hotel, Radisson Blu Edwardian Mercer Street Hotel, Radisson Blu Edwardian Bloomsbury Street Hotel, Radisson Blu Edwardian Berkshire Hotel, Radisson Blu Edwardian Kenilworth Hotel, Radisson Blu Edwardian Grafton Hotel, Radisson Blu</w:t>
            </w:r>
            <w:r w:rsidR="006E052A" w:rsidRPr="00BE5472">
              <w:rPr>
                <w:rFonts w:ascii="Times New Roman" w:hAnsi="Times New Roman" w:cs="Times New Roman"/>
                <w:lang w:val="en-US"/>
              </w:rPr>
              <w:t xml:space="preserve"> </w:t>
            </w:r>
            <w:r w:rsidR="006E052A" w:rsidRPr="00BE5472">
              <w:rPr>
                <w:rFonts w:ascii="Times New Roman" w:hAnsi="Times New Roman" w:cs="Times New Roman"/>
                <w:i/>
                <w:iCs/>
                <w:lang w:val="en-US"/>
              </w:rPr>
              <w:t>Edwardian Vanderbilt Hotel, Radisson Blu Edwardian Hotel New Providence Wharf, Radisson Blu Edwardian Heathrow Hotel &amp; Conference Centre, Radisson Blu Edwardian Sussex Hotel</w:t>
            </w:r>
            <w:r w:rsidR="006E052A" w:rsidRPr="00BE5472">
              <w:rPr>
                <w:rFonts w:ascii="Times New Roman" w:hAnsi="Times New Roman" w:cs="Times New Roman"/>
                <w:lang w:val="en-US"/>
              </w:rPr>
              <w:t>) s ukupno 2.053 sobe</w:t>
            </w:r>
            <w:r w:rsidR="00973AE4" w:rsidRPr="00BE5472">
              <w:rPr>
                <w:rFonts w:ascii="Times New Roman" w:hAnsi="Times New Roman" w:cs="Times New Roman"/>
                <w:lang w:val="en-US"/>
              </w:rPr>
              <w:t>.</w:t>
            </w:r>
          </w:p>
          <w:p w14:paraId="6BA72EA0"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Ovim preuzimanjem jača se prisutnost poduzeća </w:t>
            </w:r>
            <w:r w:rsidRPr="00BE5472">
              <w:rPr>
                <w:rFonts w:ascii="Times New Roman" w:hAnsi="Times New Roman" w:cs="Times New Roman"/>
                <w:i/>
                <w:iCs/>
                <w:lang w:val="en-US"/>
              </w:rPr>
              <w:t>Starwood Capital</w:t>
            </w:r>
            <w:r w:rsidRPr="00BE5472">
              <w:rPr>
                <w:rFonts w:ascii="Times New Roman" w:hAnsi="Times New Roman" w:cs="Times New Roman"/>
                <w:lang w:val="en-US"/>
              </w:rPr>
              <w:t xml:space="preserve"> na europskom hotelskom tržištu, čime se ukupan broj </w:t>
            </w:r>
            <w:r w:rsidRPr="00BE5472">
              <w:rPr>
                <w:rFonts w:ascii="Times New Roman" w:hAnsi="Times New Roman" w:cs="Times New Roman"/>
                <w:lang w:val="en-US"/>
              </w:rPr>
              <w:lastRenderedPageBreak/>
              <w:t>hotela na kontinentu povećava na 47, s oko 10.000 soba.</w:t>
            </w:r>
          </w:p>
        </w:tc>
        <w:tc>
          <w:tcPr>
            <w:tcW w:w="1953" w:type="dxa"/>
          </w:tcPr>
          <w:p w14:paraId="07B49D60" w14:textId="28C8F3A3"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lastRenderedPageBreak/>
              <w:t>Oko 800 milijuna</w:t>
            </w:r>
            <w:r w:rsidR="00973AE4" w:rsidRPr="00BE5472">
              <w:rPr>
                <w:rFonts w:ascii="Times New Roman" w:hAnsi="Times New Roman" w:cs="Times New Roman"/>
                <w:lang w:val="en-US"/>
              </w:rPr>
              <w:t xml:space="preserve"> funti</w:t>
            </w:r>
          </w:p>
        </w:tc>
      </w:tr>
      <w:tr w:rsidR="006E052A" w:rsidRPr="00BE5472" w14:paraId="22F18914" w14:textId="77777777" w:rsidTr="007201FA">
        <w:tc>
          <w:tcPr>
            <w:tcW w:w="2856" w:type="dxa"/>
          </w:tcPr>
          <w:p w14:paraId="7FFC1C3A"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Travelodge</w:t>
            </w:r>
            <w:r w:rsidRPr="00BE5472">
              <w:rPr>
                <w:rFonts w:ascii="Times New Roman" w:hAnsi="Times New Roman" w:cs="Times New Roman"/>
                <w:lang w:val="en-US"/>
              </w:rPr>
              <w:t xml:space="preserve"> (marka hotela s pristupačnim cijenama u Velikoj Britaniji)</w:t>
            </w:r>
            <w:r w:rsidRPr="00BE5472">
              <w:rPr>
                <w:rFonts w:ascii="Times New Roman" w:hAnsi="Times New Roman" w:cs="Times New Roman"/>
                <w:vertAlign w:val="superscript"/>
                <w:lang w:val="en-US"/>
              </w:rPr>
              <w:footnoteReference w:id="9"/>
            </w:r>
            <w:r w:rsidRPr="00BE5472">
              <w:rPr>
                <w:rFonts w:ascii="Times New Roman" w:hAnsi="Times New Roman" w:cs="Times New Roman"/>
                <w:lang w:val="en-US"/>
              </w:rPr>
              <w:t xml:space="preserve"> </w:t>
            </w:r>
          </w:p>
        </w:tc>
        <w:tc>
          <w:tcPr>
            <w:tcW w:w="1819" w:type="dxa"/>
          </w:tcPr>
          <w:p w14:paraId="05D3DDBA"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LXi REIT plc</w:t>
            </w:r>
          </w:p>
        </w:tc>
        <w:tc>
          <w:tcPr>
            <w:tcW w:w="2722" w:type="dxa"/>
          </w:tcPr>
          <w:p w14:paraId="2BEDD767" w14:textId="60E8BF49" w:rsidR="006E052A" w:rsidRPr="00BE5472" w:rsidRDefault="00973AE4"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P</w:t>
            </w:r>
            <w:r w:rsidR="006E052A" w:rsidRPr="00BE5472">
              <w:rPr>
                <w:rFonts w:ascii="Times New Roman" w:hAnsi="Times New Roman" w:cs="Times New Roman"/>
                <w:lang w:val="en-US"/>
              </w:rPr>
              <w:t>reuzima se portfelj od 66 hotela (London, Birmingham, Bath, Leeds, Liverpool)</w:t>
            </w:r>
            <w:r w:rsidR="00AC29E3" w:rsidRPr="00BE5472">
              <w:rPr>
                <w:rFonts w:ascii="Times New Roman" w:hAnsi="Times New Roman" w:cs="Times New Roman"/>
                <w:lang w:val="en-US"/>
              </w:rPr>
              <w:t>.</w:t>
            </w:r>
          </w:p>
        </w:tc>
        <w:tc>
          <w:tcPr>
            <w:tcW w:w="1953" w:type="dxa"/>
          </w:tcPr>
          <w:p w14:paraId="5E6D520C" w14:textId="493CBC6B"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210 milijuna</w:t>
            </w:r>
            <w:r w:rsidR="00AC29E3" w:rsidRPr="00BE5472">
              <w:rPr>
                <w:rFonts w:ascii="Times New Roman" w:hAnsi="Times New Roman" w:cs="Times New Roman"/>
                <w:lang w:val="en-US"/>
              </w:rPr>
              <w:t xml:space="preserve"> funti</w:t>
            </w:r>
          </w:p>
        </w:tc>
      </w:tr>
      <w:tr w:rsidR="006E052A" w:rsidRPr="00BE5472" w14:paraId="1F8F0D29" w14:textId="77777777" w:rsidTr="007201FA">
        <w:tc>
          <w:tcPr>
            <w:tcW w:w="2856" w:type="dxa"/>
          </w:tcPr>
          <w:p w14:paraId="27247B4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Grupo Statuto</w:t>
            </w:r>
            <w:r w:rsidRPr="00BE5472">
              <w:rPr>
                <w:rFonts w:ascii="Times New Roman" w:hAnsi="Times New Roman" w:cs="Times New Roman"/>
                <w:vertAlign w:val="superscript"/>
                <w:lang w:val="en-US"/>
              </w:rPr>
              <w:footnoteReference w:id="10"/>
            </w:r>
            <w:r w:rsidRPr="00BE5472">
              <w:rPr>
                <w:rFonts w:ascii="Times New Roman" w:hAnsi="Times New Roman" w:cs="Times New Roman"/>
                <w:lang w:val="en-US"/>
              </w:rPr>
              <w:t xml:space="preserve"> </w:t>
            </w:r>
          </w:p>
        </w:tc>
        <w:tc>
          <w:tcPr>
            <w:tcW w:w="1819" w:type="dxa"/>
          </w:tcPr>
          <w:p w14:paraId="3D999F9E"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Mandarin Oriental Paris</w:t>
            </w:r>
          </w:p>
        </w:tc>
        <w:tc>
          <w:tcPr>
            <w:tcW w:w="2722" w:type="dxa"/>
          </w:tcPr>
          <w:p w14:paraId="498D47EA" w14:textId="5BFF3C7E" w:rsidR="006E052A" w:rsidRPr="00BE5472" w:rsidRDefault="00AC29E3" w:rsidP="006E052A">
            <w:pPr>
              <w:spacing w:line="360" w:lineRule="auto"/>
              <w:jc w:val="both"/>
              <w:rPr>
                <w:rFonts w:ascii="Times New Roman" w:hAnsi="Times New Roman" w:cs="Times New Roman"/>
                <w:lang w:val="it-IT"/>
              </w:rPr>
            </w:pPr>
            <w:r w:rsidRPr="00BE5472">
              <w:rPr>
                <w:rFonts w:ascii="Times New Roman" w:hAnsi="Times New Roman" w:cs="Times New Roman"/>
                <w:lang w:val="it-IT"/>
              </w:rPr>
              <w:t>P</w:t>
            </w:r>
            <w:r w:rsidR="006E052A" w:rsidRPr="00BE5472">
              <w:rPr>
                <w:rFonts w:ascii="Times New Roman" w:hAnsi="Times New Roman" w:cs="Times New Roman"/>
                <w:lang w:val="it-IT"/>
              </w:rPr>
              <w:t>reuzima se hotel sa 135 soba</w:t>
            </w:r>
            <w:r w:rsidRPr="00BE5472">
              <w:rPr>
                <w:rFonts w:ascii="Times New Roman" w:hAnsi="Times New Roman" w:cs="Times New Roman"/>
                <w:lang w:val="it-IT"/>
              </w:rPr>
              <w:t>.</w:t>
            </w:r>
          </w:p>
        </w:tc>
        <w:tc>
          <w:tcPr>
            <w:tcW w:w="1953" w:type="dxa"/>
          </w:tcPr>
          <w:p w14:paraId="4C0CBBD7" w14:textId="505D0583"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205 milijuna </w:t>
            </w:r>
            <w:r w:rsidR="00AC29E3" w:rsidRPr="00BE5472">
              <w:rPr>
                <w:rFonts w:ascii="Times New Roman" w:hAnsi="Times New Roman" w:cs="Times New Roman"/>
                <w:lang w:val="en-US"/>
              </w:rPr>
              <w:t>eura</w:t>
            </w:r>
          </w:p>
        </w:tc>
      </w:tr>
      <w:tr w:rsidR="006E052A" w:rsidRPr="00BE5472" w14:paraId="490A26CB" w14:textId="77777777" w:rsidTr="007201FA">
        <w:tc>
          <w:tcPr>
            <w:tcW w:w="2856" w:type="dxa"/>
          </w:tcPr>
          <w:p w14:paraId="4DF8A081" w14:textId="77777777" w:rsidR="006E052A" w:rsidRPr="00BE5472" w:rsidRDefault="006E052A" w:rsidP="006E052A">
            <w:pPr>
              <w:spacing w:line="360" w:lineRule="auto"/>
              <w:jc w:val="both"/>
              <w:rPr>
                <w:rFonts w:ascii="Times New Roman" w:hAnsi="Times New Roman" w:cs="Times New Roman"/>
                <w:lang w:val="en-US"/>
              </w:rPr>
            </w:pPr>
          </w:p>
        </w:tc>
        <w:tc>
          <w:tcPr>
            <w:tcW w:w="1819" w:type="dxa"/>
          </w:tcPr>
          <w:p w14:paraId="5632610F" w14:textId="77777777" w:rsidR="006E052A" w:rsidRPr="00BE5472" w:rsidRDefault="006E052A" w:rsidP="006E052A">
            <w:pPr>
              <w:spacing w:line="360" w:lineRule="auto"/>
              <w:jc w:val="both"/>
              <w:rPr>
                <w:rFonts w:ascii="Times New Roman" w:hAnsi="Times New Roman" w:cs="Times New Roman"/>
                <w:b/>
                <w:lang w:val="en-US"/>
              </w:rPr>
            </w:pPr>
          </w:p>
        </w:tc>
        <w:tc>
          <w:tcPr>
            <w:tcW w:w="2722" w:type="dxa"/>
          </w:tcPr>
          <w:p w14:paraId="65C26160" w14:textId="77777777" w:rsidR="006E052A" w:rsidRPr="00BE5472" w:rsidRDefault="006E052A" w:rsidP="006E052A">
            <w:pPr>
              <w:spacing w:line="360" w:lineRule="auto"/>
              <w:jc w:val="both"/>
              <w:rPr>
                <w:rFonts w:ascii="Times New Roman" w:hAnsi="Times New Roman" w:cs="Times New Roman"/>
                <w:b/>
                <w:lang w:val="en-US"/>
              </w:rPr>
            </w:pPr>
          </w:p>
        </w:tc>
        <w:tc>
          <w:tcPr>
            <w:tcW w:w="1953" w:type="dxa"/>
          </w:tcPr>
          <w:p w14:paraId="6D1E9369" w14:textId="77777777" w:rsidR="006E052A" w:rsidRPr="00BE5472" w:rsidRDefault="006E052A" w:rsidP="006E052A">
            <w:pPr>
              <w:spacing w:line="360" w:lineRule="auto"/>
              <w:jc w:val="both"/>
              <w:rPr>
                <w:rFonts w:ascii="Times New Roman" w:hAnsi="Times New Roman" w:cs="Times New Roman"/>
                <w:b/>
                <w:lang w:val="en-US"/>
              </w:rPr>
            </w:pPr>
          </w:p>
        </w:tc>
      </w:tr>
      <w:tr w:rsidR="006E052A" w:rsidRPr="00BE5472" w14:paraId="17F3E999" w14:textId="77777777" w:rsidTr="007201FA">
        <w:tc>
          <w:tcPr>
            <w:tcW w:w="9350" w:type="dxa"/>
            <w:gridSpan w:val="4"/>
            <w:shd w:val="clear" w:color="auto" w:fill="E7E6E6" w:themeFill="background2"/>
          </w:tcPr>
          <w:p w14:paraId="257F1922" w14:textId="77777777"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2023.</w:t>
            </w:r>
          </w:p>
        </w:tc>
      </w:tr>
      <w:tr w:rsidR="006E052A" w:rsidRPr="00BE5472" w14:paraId="6185D59E" w14:textId="77777777" w:rsidTr="007201FA">
        <w:tc>
          <w:tcPr>
            <w:tcW w:w="2856" w:type="dxa"/>
          </w:tcPr>
          <w:p w14:paraId="0355478F"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Hilton Grand Vacations</w:t>
            </w:r>
            <w:r w:rsidRPr="00BE5472">
              <w:rPr>
                <w:rFonts w:ascii="Times New Roman" w:hAnsi="Times New Roman" w:cs="Times New Roman"/>
                <w:lang w:val="en-US"/>
              </w:rPr>
              <w:t xml:space="preserve"> (HGV)</w:t>
            </w:r>
            <w:r w:rsidRPr="00BE5472">
              <w:rPr>
                <w:rFonts w:ascii="Times New Roman" w:hAnsi="Times New Roman" w:cs="Times New Roman"/>
                <w:vertAlign w:val="superscript"/>
                <w:lang w:val="en-US"/>
              </w:rPr>
              <w:footnoteReference w:id="11"/>
            </w:r>
          </w:p>
        </w:tc>
        <w:tc>
          <w:tcPr>
            <w:tcW w:w="1819" w:type="dxa"/>
          </w:tcPr>
          <w:p w14:paraId="79A6FC88"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Bluegreen Vacations</w:t>
            </w:r>
          </w:p>
        </w:tc>
        <w:tc>
          <w:tcPr>
            <w:tcW w:w="2722" w:type="dxa"/>
          </w:tcPr>
          <w:p w14:paraId="1632E778"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Portfelj poduzeća HGV značajno će se proširiti, s 150 na gotovo 200 objekata u 14 novih geografskih lokacija koje obuhvaćaju osam novih država.</w:t>
            </w:r>
          </w:p>
        </w:tc>
        <w:tc>
          <w:tcPr>
            <w:tcW w:w="1953" w:type="dxa"/>
          </w:tcPr>
          <w:p w14:paraId="39E6ACF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75 USD po dionici</w:t>
            </w:r>
          </w:p>
        </w:tc>
      </w:tr>
      <w:tr w:rsidR="006E052A" w:rsidRPr="00BE5472" w14:paraId="3C4DDAED" w14:textId="77777777" w:rsidTr="007201FA">
        <w:tc>
          <w:tcPr>
            <w:tcW w:w="2856" w:type="dxa"/>
          </w:tcPr>
          <w:p w14:paraId="66610B7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Hyatt Hotels Corp</w:t>
            </w:r>
            <w:r w:rsidRPr="00BE5472">
              <w:rPr>
                <w:rFonts w:ascii="Times New Roman" w:hAnsi="Times New Roman" w:cs="Times New Roman"/>
                <w:vertAlign w:val="superscript"/>
                <w:lang w:val="en-US"/>
              </w:rPr>
              <w:footnoteReference w:id="12"/>
            </w:r>
          </w:p>
        </w:tc>
        <w:tc>
          <w:tcPr>
            <w:tcW w:w="1819" w:type="dxa"/>
          </w:tcPr>
          <w:p w14:paraId="3401410D"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Dream Hotel Group</w:t>
            </w:r>
          </w:p>
        </w:tc>
        <w:tc>
          <w:tcPr>
            <w:tcW w:w="2722" w:type="dxa"/>
          </w:tcPr>
          <w:p w14:paraId="2F295662"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Preuzimanje 36 hotela od čega  12 hotela kojima se upravlja ili su pod franšizom te menadžerske ugovore za 24 objekta. Ova transakcija proširuje </w:t>
            </w:r>
            <w:r w:rsidRPr="00BE5472">
              <w:rPr>
                <w:rFonts w:ascii="Times New Roman" w:hAnsi="Times New Roman" w:cs="Times New Roman"/>
                <w:i/>
                <w:iCs/>
                <w:lang w:val="en-US"/>
              </w:rPr>
              <w:t>Hyattov</w:t>
            </w:r>
            <w:r w:rsidRPr="00BE5472">
              <w:rPr>
                <w:rFonts w:ascii="Times New Roman" w:hAnsi="Times New Roman" w:cs="Times New Roman"/>
                <w:lang w:val="en-US"/>
              </w:rPr>
              <w:t xml:space="preserve"> portfelj za više od 1.700 soba i povećava broj soba u New Yorku za više od 30 posto.</w:t>
            </w:r>
          </w:p>
        </w:tc>
        <w:tc>
          <w:tcPr>
            <w:tcW w:w="1953" w:type="dxa"/>
          </w:tcPr>
          <w:p w14:paraId="5FE3AC17" w14:textId="34A56911"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300 milijuna</w:t>
            </w:r>
            <w:r w:rsidR="004A7985" w:rsidRPr="00BE5472">
              <w:rPr>
                <w:rFonts w:ascii="Times New Roman" w:hAnsi="Times New Roman" w:cs="Times New Roman"/>
                <w:lang w:val="en-US"/>
              </w:rPr>
              <w:t xml:space="preserve"> dolara</w:t>
            </w:r>
          </w:p>
        </w:tc>
      </w:tr>
      <w:tr w:rsidR="006E052A" w:rsidRPr="00BE5472" w14:paraId="483C59E7" w14:textId="77777777" w:rsidTr="007201FA">
        <w:tc>
          <w:tcPr>
            <w:tcW w:w="2856" w:type="dxa"/>
          </w:tcPr>
          <w:p w14:paraId="11D49782"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lastRenderedPageBreak/>
              <w:t>Mohari Hospitality</w:t>
            </w:r>
            <w:r w:rsidRPr="00BE5472">
              <w:rPr>
                <w:rFonts w:ascii="Times New Roman" w:hAnsi="Times New Roman" w:cs="Times New Roman"/>
                <w:vertAlign w:val="superscript"/>
                <w:lang w:val="en-US"/>
              </w:rPr>
              <w:footnoteReference w:id="13"/>
            </w:r>
          </w:p>
        </w:tc>
        <w:tc>
          <w:tcPr>
            <w:tcW w:w="1819" w:type="dxa"/>
          </w:tcPr>
          <w:p w14:paraId="23C50ECD"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Tao Group Hospitality</w:t>
            </w:r>
          </w:p>
        </w:tc>
        <w:tc>
          <w:tcPr>
            <w:tcW w:w="2722" w:type="dxa"/>
          </w:tcPr>
          <w:p w14:paraId="59D58744" w14:textId="46DA291F"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Ova strateška investicija, finalizirana u svibnju, ne samo da je proširila portfelj poduzeća </w:t>
            </w:r>
            <w:r w:rsidRPr="00BE5472">
              <w:rPr>
                <w:rFonts w:ascii="Times New Roman" w:hAnsi="Times New Roman" w:cs="Times New Roman"/>
                <w:i/>
                <w:iCs/>
                <w:lang w:val="en-US"/>
              </w:rPr>
              <w:t>Mohari</w:t>
            </w:r>
            <w:r w:rsidRPr="00BE5472">
              <w:rPr>
                <w:rFonts w:ascii="Times New Roman" w:hAnsi="Times New Roman" w:cs="Times New Roman"/>
                <w:lang w:val="en-US"/>
              </w:rPr>
              <w:t xml:space="preserve">, već je i pozicionirala poduzeće na putanju ubrzanog rasta. </w:t>
            </w:r>
            <w:r w:rsidR="00706C31" w:rsidRPr="00BE5472">
              <w:rPr>
                <w:rFonts w:ascii="Times New Roman" w:hAnsi="Times New Roman" w:cs="Times New Roman"/>
                <w:lang w:val="en-US"/>
              </w:rPr>
              <w:t>P</w:t>
            </w:r>
            <w:r w:rsidRPr="00BE5472">
              <w:rPr>
                <w:rFonts w:ascii="Times New Roman" w:hAnsi="Times New Roman" w:cs="Times New Roman"/>
                <w:lang w:val="en-US"/>
              </w:rPr>
              <w:t xml:space="preserve">reuzimanje globalno priznatih marki </w:t>
            </w:r>
            <w:r w:rsidRPr="00BE5472">
              <w:rPr>
                <w:rFonts w:ascii="Times New Roman" w:hAnsi="Times New Roman" w:cs="Times New Roman"/>
                <w:i/>
                <w:iCs/>
                <w:lang w:val="en-US"/>
              </w:rPr>
              <w:t>Tao Groupa</w:t>
            </w:r>
            <w:r w:rsidRPr="00BE5472">
              <w:rPr>
                <w:rFonts w:ascii="Times New Roman" w:hAnsi="Times New Roman" w:cs="Times New Roman"/>
                <w:lang w:val="en-US"/>
              </w:rPr>
              <w:t xml:space="preserve">, uključujući </w:t>
            </w:r>
            <w:r w:rsidRPr="00BE5472">
              <w:rPr>
                <w:rFonts w:ascii="Times New Roman" w:hAnsi="Times New Roman" w:cs="Times New Roman"/>
                <w:i/>
                <w:iCs/>
                <w:lang w:val="en-US"/>
              </w:rPr>
              <w:t>TAO</w:t>
            </w:r>
            <w:r w:rsidRPr="00BE5472">
              <w:rPr>
                <w:rFonts w:ascii="Times New Roman" w:hAnsi="Times New Roman" w:cs="Times New Roman"/>
                <w:lang w:val="en-US"/>
              </w:rPr>
              <w:t xml:space="preserve"> i </w:t>
            </w:r>
            <w:r w:rsidRPr="00BE5472">
              <w:rPr>
                <w:rFonts w:ascii="Times New Roman" w:hAnsi="Times New Roman" w:cs="Times New Roman"/>
                <w:i/>
                <w:iCs/>
                <w:lang w:val="en-US"/>
              </w:rPr>
              <w:t>Hakkasan</w:t>
            </w:r>
            <w:r w:rsidRPr="00BE5472">
              <w:rPr>
                <w:rFonts w:ascii="Times New Roman" w:hAnsi="Times New Roman" w:cs="Times New Roman"/>
                <w:lang w:val="en-US"/>
              </w:rPr>
              <w:t xml:space="preserve">, dodatno jača prisutnost </w:t>
            </w:r>
            <w:r w:rsidRPr="00BE5472">
              <w:rPr>
                <w:rFonts w:ascii="Times New Roman" w:hAnsi="Times New Roman" w:cs="Times New Roman"/>
                <w:i/>
                <w:iCs/>
                <w:lang w:val="en-US"/>
              </w:rPr>
              <w:t>Moharija</w:t>
            </w:r>
            <w:r w:rsidRPr="00BE5472">
              <w:rPr>
                <w:rFonts w:ascii="Times New Roman" w:hAnsi="Times New Roman" w:cs="Times New Roman"/>
                <w:lang w:val="en-US"/>
              </w:rPr>
              <w:t xml:space="preserve"> u vodećim turističkim destinacijama.</w:t>
            </w:r>
          </w:p>
        </w:tc>
        <w:tc>
          <w:tcPr>
            <w:tcW w:w="1953" w:type="dxa"/>
          </w:tcPr>
          <w:p w14:paraId="6FB32FC4" w14:textId="62C750D3"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550 milijuna</w:t>
            </w:r>
            <w:r w:rsidR="004A7985" w:rsidRPr="00BE5472">
              <w:rPr>
                <w:rFonts w:ascii="Times New Roman" w:hAnsi="Times New Roman" w:cs="Times New Roman"/>
                <w:lang w:val="en-US"/>
              </w:rPr>
              <w:t xml:space="preserve"> dolara</w:t>
            </w:r>
          </w:p>
        </w:tc>
      </w:tr>
      <w:tr w:rsidR="006E052A" w:rsidRPr="00BE5472" w14:paraId="5166C8E1" w14:textId="77777777" w:rsidTr="007201FA">
        <w:tc>
          <w:tcPr>
            <w:tcW w:w="2856" w:type="dxa"/>
          </w:tcPr>
          <w:p w14:paraId="4E51DBBE"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Qatar Investment Authority</w:t>
            </w:r>
            <w:r w:rsidRPr="00BE5472">
              <w:rPr>
                <w:rFonts w:ascii="Times New Roman" w:hAnsi="Times New Roman" w:cs="Times New Roman"/>
                <w:lang w:val="en-US"/>
              </w:rPr>
              <w:t xml:space="preserve"> (QIA)</w:t>
            </w:r>
            <w:r w:rsidRPr="00BE5472">
              <w:rPr>
                <w:rFonts w:ascii="Times New Roman" w:hAnsi="Times New Roman" w:cs="Times New Roman"/>
                <w:vertAlign w:val="superscript"/>
                <w:lang w:val="en-US"/>
              </w:rPr>
              <w:footnoteReference w:id="14"/>
            </w:r>
          </w:p>
        </w:tc>
        <w:tc>
          <w:tcPr>
            <w:tcW w:w="1819" w:type="dxa"/>
          </w:tcPr>
          <w:p w14:paraId="3567E649"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 xml:space="preserve">Park Lane Hotel New York </w:t>
            </w:r>
          </w:p>
        </w:tc>
        <w:tc>
          <w:tcPr>
            <w:tcW w:w="2722" w:type="dxa"/>
          </w:tcPr>
          <w:p w14:paraId="6DFA4553"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Značaj leži ne samo u obimu investicije, već i u povijesnom kontekstu nekretnine.</w:t>
            </w:r>
          </w:p>
        </w:tc>
        <w:tc>
          <w:tcPr>
            <w:tcW w:w="1953" w:type="dxa"/>
          </w:tcPr>
          <w:p w14:paraId="354273F2" w14:textId="75643B94"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623 milijuna</w:t>
            </w:r>
            <w:r w:rsidR="004A7985" w:rsidRPr="00BE5472">
              <w:rPr>
                <w:rFonts w:ascii="Times New Roman" w:hAnsi="Times New Roman" w:cs="Times New Roman"/>
                <w:lang w:val="en-US"/>
              </w:rPr>
              <w:t xml:space="preserve"> dolara</w:t>
            </w:r>
          </w:p>
        </w:tc>
      </w:tr>
      <w:tr w:rsidR="006E052A" w:rsidRPr="00BE5472" w14:paraId="384A8FA9" w14:textId="77777777" w:rsidTr="007201FA">
        <w:tc>
          <w:tcPr>
            <w:tcW w:w="2856" w:type="dxa"/>
          </w:tcPr>
          <w:p w14:paraId="6F3541E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Saudi Arabia’s Public Investment Fund</w:t>
            </w:r>
            <w:r w:rsidRPr="00BE5472">
              <w:rPr>
                <w:rFonts w:ascii="Times New Roman" w:hAnsi="Times New Roman" w:cs="Times New Roman"/>
                <w:lang w:val="en-US"/>
              </w:rPr>
              <w:t xml:space="preserve"> (PIF)</w:t>
            </w:r>
            <w:r w:rsidRPr="00BE5472">
              <w:rPr>
                <w:rFonts w:ascii="Times New Roman" w:hAnsi="Times New Roman" w:cs="Times New Roman"/>
                <w:vertAlign w:val="superscript"/>
                <w:lang w:val="en-US"/>
              </w:rPr>
              <w:footnoteReference w:id="15"/>
            </w:r>
          </w:p>
        </w:tc>
        <w:tc>
          <w:tcPr>
            <w:tcW w:w="1819" w:type="dxa"/>
          </w:tcPr>
          <w:p w14:paraId="692DC615"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Rocco Forte Hotels</w:t>
            </w:r>
          </w:p>
        </w:tc>
        <w:tc>
          <w:tcPr>
            <w:tcW w:w="2722" w:type="dxa"/>
          </w:tcPr>
          <w:p w14:paraId="6A48A1DE" w14:textId="4E6EF946" w:rsidR="006E052A" w:rsidRPr="00BE5472" w:rsidRDefault="006E052A" w:rsidP="006E052A">
            <w:pPr>
              <w:spacing w:line="360" w:lineRule="auto"/>
              <w:jc w:val="both"/>
              <w:rPr>
                <w:rFonts w:ascii="Times New Roman" w:hAnsi="Times New Roman" w:cs="Times New Roman"/>
                <w:lang w:val="it-IT"/>
              </w:rPr>
            </w:pPr>
            <w:r w:rsidRPr="00BE5472">
              <w:rPr>
                <w:rFonts w:ascii="Times New Roman" w:hAnsi="Times New Roman" w:cs="Times New Roman"/>
                <w:lang w:val="it-IT"/>
              </w:rPr>
              <w:t>Preuzimanje 49</w:t>
            </w:r>
            <w:r w:rsidR="000C441D" w:rsidRPr="00BE5472">
              <w:rPr>
                <w:rFonts w:ascii="Times New Roman" w:hAnsi="Times New Roman" w:cs="Times New Roman"/>
                <w:lang w:val="it-IT"/>
              </w:rPr>
              <w:t xml:space="preserve"> </w:t>
            </w:r>
            <w:r w:rsidRPr="00BE5472">
              <w:rPr>
                <w:rFonts w:ascii="Times New Roman" w:hAnsi="Times New Roman" w:cs="Times New Roman"/>
                <w:lang w:val="it-IT"/>
              </w:rPr>
              <w:t>% dionica poduzeća</w:t>
            </w:r>
            <w:r w:rsidR="00706C31" w:rsidRPr="00BE5472">
              <w:rPr>
                <w:rFonts w:ascii="Times New Roman" w:hAnsi="Times New Roman" w:cs="Times New Roman"/>
                <w:lang w:val="it-IT"/>
              </w:rPr>
              <w:t xml:space="preserve"> i</w:t>
            </w:r>
            <w:r w:rsidR="00CA356D" w:rsidRPr="00BE5472">
              <w:rPr>
                <w:rFonts w:ascii="Times New Roman" w:hAnsi="Times New Roman" w:cs="Times New Roman"/>
                <w:lang w:val="it-IT"/>
              </w:rPr>
              <w:t xml:space="preserve"> </w:t>
            </w:r>
            <w:r w:rsidRPr="00BE5472">
              <w:rPr>
                <w:rFonts w:ascii="Times New Roman" w:hAnsi="Times New Roman" w:cs="Times New Roman"/>
                <w:lang w:val="it-IT"/>
              </w:rPr>
              <w:t>14 hotela u Europi.</w:t>
            </w:r>
          </w:p>
          <w:p w14:paraId="7F76A85F" w14:textId="77777777" w:rsidR="006E052A" w:rsidRPr="00BE5472" w:rsidRDefault="006E052A" w:rsidP="006E052A">
            <w:pPr>
              <w:spacing w:line="360" w:lineRule="auto"/>
              <w:jc w:val="both"/>
              <w:rPr>
                <w:rFonts w:ascii="Times New Roman" w:hAnsi="Times New Roman" w:cs="Times New Roman"/>
                <w:lang w:val="it-IT"/>
              </w:rPr>
            </w:pPr>
            <w:r w:rsidRPr="00BE5472">
              <w:rPr>
                <w:rFonts w:ascii="Times New Roman" w:hAnsi="Times New Roman" w:cs="Times New Roman"/>
                <w:lang w:val="it-IT"/>
              </w:rPr>
              <w:t xml:space="preserve">Ova suradnja ne samo da odražava povjerenje PIF-a u marku </w:t>
            </w:r>
            <w:r w:rsidRPr="00BE5472">
              <w:rPr>
                <w:rFonts w:ascii="Times New Roman" w:hAnsi="Times New Roman" w:cs="Times New Roman"/>
                <w:i/>
                <w:iCs/>
                <w:lang w:val="it-IT"/>
              </w:rPr>
              <w:t>Rocco Forte</w:t>
            </w:r>
            <w:r w:rsidRPr="00BE5472">
              <w:rPr>
                <w:rFonts w:ascii="Times New Roman" w:hAnsi="Times New Roman" w:cs="Times New Roman"/>
                <w:lang w:val="it-IT"/>
              </w:rPr>
              <w:t>, već postavlja temelje za značajna proširenja na Bliskom istoku, u Italiji i SAD-u.</w:t>
            </w:r>
          </w:p>
          <w:p w14:paraId="062645D8" w14:textId="77777777" w:rsidR="006E052A" w:rsidRPr="00BE5472" w:rsidRDefault="006E052A" w:rsidP="006E052A">
            <w:pPr>
              <w:spacing w:line="360" w:lineRule="auto"/>
              <w:jc w:val="both"/>
              <w:rPr>
                <w:rFonts w:ascii="Times New Roman" w:hAnsi="Times New Roman" w:cs="Times New Roman"/>
                <w:lang w:val="it-IT"/>
              </w:rPr>
            </w:pPr>
          </w:p>
        </w:tc>
        <w:tc>
          <w:tcPr>
            <w:tcW w:w="1953" w:type="dxa"/>
          </w:tcPr>
          <w:p w14:paraId="0552105E" w14:textId="7DB3B7F5"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1.30 milijarde</w:t>
            </w:r>
            <w:r w:rsidR="00706C31" w:rsidRPr="00BE5472">
              <w:rPr>
                <w:rFonts w:ascii="Times New Roman" w:hAnsi="Times New Roman" w:cs="Times New Roman"/>
                <w:lang w:val="en-US"/>
              </w:rPr>
              <w:t xml:space="preserve"> dolara</w:t>
            </w:r>
          </w:p>
        </w:tc>
      </w:tr>
      <w:tr w:rsidR="006E052A" w:rsidRPr="00BE5472" w14:paraId="0F9D480B" w14:textId="77777777" w:rsidTr="007201FA">
        <w:tc>
          <w:tcPr>
            <w:tcW w:w="9350" w:type="dxa"/>
            <w:gridSpan w:val="4"/>
            <w:shd w:val="clear" w:color="auto" w:fill="E7E6E6" w:themeFill="background2"/>
          </w:tcPr>
          <w:p w14:paraId="1F761200" w14:textId="77777777" w:rsidR="006E052A" w:rsidRPr="00BE5472" w:rsidRDefault="006E052A" w:rsidP="006E052A">
            <w:pPr>
              <w:spacing w:line="360" w:lineRule="auto"/>
              <w:jc w:val="center"/>
              <w:rPr>
                <w:rFonts w:ascii="Times New Roman" w:hAnsi="Times New Roman" w:cs="Times New Roman"/>
                <w:lang w:val="en-US"/>
              </w:rPr>
            </w:pPr>
            <w:r w:rsidRPr="00BE5472">
              <w:rPr>
                <w:rFonts w:ascii="Times New Roman" w:hAnsi="Times New Roman" w:cs="Times New Roman"/>
                <w:b/>
                <w:sz w:val="24"/>
                <w:szCs w:val="24"/>
                <w:lang w:val="en-US"/>
              </w:rPr>
              <w:lastRenderedPageBreak/>
              <w:t>2022.</w:t>
            </w:r>
          </w:p>
        </w:tc>
      </w:tr>
      <w:tr w:rsidR="006E052A" w:rsidRPr="00BE5472" w14:paraId="6E5250C1" w14:textId="77777777" w:rsidTr="007201FA">
        <w:tc>
          <w:tcPr>
            <w:tcW w:w="2856" w:type="dxa"/>
          </w:tcPr>
          <w:p w14:paraId="1FE190C2"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Century Casinos</w:t>
            </w:r>
            <w:r w:rsidRPr="00BE5472">
              <w:rPr>
                <w:rFonts w:ascii="Times New Roman" w:hAnsi="Times New Roman" w:cs="Times New Roman"/>
                <w:lang w:val="en-US"/>
              </w:rPr>
              <w:t xml:space="preserve"> </w:t>
            </w:r>
            <w:r w:rsidRPr="00BE5472">
              <w:rPr>
                <w:rFonts w:ascii="Times New Roman" w:hAnsi="Times New Roman" w:cs="Times New Roman"/>
                <w:vertAlign w:val="superscript"/>
                <w:lang w:val="en-US"/>
              </w:rPr>
              <w:footnoteReference w:id="16"/>
            </w:r>
            <w:r w:rsidRPr="00BE5472">
              <w:rPr>
                <w:rFonts w:ascii="Times New Roman" w:hAnsi="Times New Roman" w:cs="Times New Roman"/>
                <w:lang w:val="en-US"/>
              </w:rPr>
              <w:t xml:space="preserve"> </w:t>
            </w:r>
            <w:r w:rsidRPr="00BE5472">
              <w:rPr>
                <w:rFonts w:ascii="Times New Roman" w:hAnsi="Times New Roman" w:cs="Times New Roman"/>
                <w:vertAlign w:val="superscript"/>
                <w:lang w:val="en-US"/>
              </w:rPr>
              <w:footnoteReference w:id="17"/>
            </w:r>
          </w:p>
        </w:tc>
        <w:tc>
          <w:tcPr>
            <w:tcW w:w="1819" w:type="dxa"/>
          </w:tcPr>
          <w:p w14:paraId="2B7B363F"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 xml:space="preserve">Nugget Casino Resort </w:t>
            </w:r>
          </w:p>
        </w:tc>
        <w:tc>
          <w:tcPr>
            <w:tcW w:w="2722" w:type="dxa"/>
          </w:tcPr>
          <w:p w14:paraId="30DCEB93" w14:textId="023B1719"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Ovo preuzimanje proširuje portfelj igara </w:t>
            </w:r>
            <w:r w:rsidRPr="00BE5472">
              <w:rPr>
                <w:rFonts w:ascii="Times New Roman" w:hAnsi="Times New Roman" w:cs="Times New Roman"/>
                <w:i/>
                <w:iCs/>
                <w:lang w:val="en-US"/>
              </w:rPr>
              <w:t>Century Casina</w:t>
            </w:r>
            <w:r w:rsidRPr="00BE5472">
              <w:rPr>
                <w:rFonts w:ascii="Times New Roman" w:hAnsi="Times New Roman" w:cs="Times New Roman"/>
                <w:lang w:val="en-US"/>
              </w:rPr>
              <w:t xml:space="preserve"> na globalnoj razini na 128 casina, s ukupno 6.955 igraćih aparata, 249 stolnih igara i više od 3.100 radnika na puno radno vrijeme</w:t>
            </w:r>
            <w:r w:rsidR="002251B5" w:rsidRPr="00BE5472">
              <w:rPr>
                <w:rFonts w:ascii="Times New Roman" w:hAnsi="Times New Roman" w:cs="Times New Roman"/>
                <w:lang w:val="en-US"/>
              </w:rPr>
              <w:t>,</w:t>
            </w:r>
            <w:r w:rsidRPr="00BE5472">
              <w:rPr>
                <w:rFonts w:ascii="Times New Roman" w:hAnsi="Times New Roman" w:cs="Times New Roman"/>
                <w:lang w:val="en-US"/>
              </w:rPr>
              <w:t xml:space="preserve"> kao i novih 1.382 hotelskih soba.</w:t>
            </w:r>
          </w:p>
        </w:tc>
        <w:tc>
          <w:tcPr>
            <w:tcW w:w="1953" w:type="dxa"/>
          </w:tcPr>
          <w:p w14:paraId="26463454" w14:textId="285D1CFB"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195 milijuna</w:t>
            </w:r>
            <w:r w:rsidR="00CA356D" w:rsidRPr="00BE5472">
              <w:rPr>
                <w:rFonts w:ascii="Times New Roman" w:hAnsi="Times New Roman" w:cs="Times New Roman"/>
                <w:lang w:val="en-US"/>
              </w:rPr>
              <w:t xml:space="preserve"> dolara</w:t>
            </w:r>
          </w:p>
        </w:tc>
      </w:tr>
      <w:tr w:rsidR="006E052A" w:rsidRPr="00BE5472" w14:paraId="59CCF639" w14:textId="77777777" w:rsidTr="007201FA">
        <w:tc>
          <w:tcPr>
            <w:tcW w:w="2856" w:type="dxa"/>
          </w:tcPr>
          <w:p w14:paraId="66F0FEF0" w14:textId="77777777" w:rsidR="006E052A" w:rsidRPr="00BE5472" w:rsidRDefault="006E052A" w:rsidP="006E052A">
            <w:pPr>
              <w:spacing w:line="360" w:lineRule="auto"/>
              <w:jc w:val="both"/>
              <w:rPr>
                <w:rFonts w:ascii="Times New Roman" w:hAnsi="Times New Roman" w:cs="Times New Roman"/>
              </w:rPr>
            </w:pPr>
            <w:r w:rsidRPr="00BE5472">
              <w:rPr>
                <w:rFonts w:ascii="Times New Roman" w:hAnsi="Times New Roman" w:cs="Times New Roman"/>
                <w:i/>
                <w:iCs/>
              </w:rPr>
              <w:t>Alloggio Group</w:t>
            </w:r>
            <w:r w:rsidRPr="00BE5472">
              <w:rPr>
                <w:rFonts w:ascii="Times New Roman" w:hAnsi="Times New Roman" w:cs="Times New Roman"/>
              </w:rPr>
              <w:t xml:space="preserve"> (vodeći operater smještaja za kratkoročni najam (STRA) u Australiji i regiji APAC)</w:t>
            </w:r>
            <w:r w:rsidRPr="00BE5472">
              <w:rPr>
                <w:rFonts w:ascii="Times New Roman" w:hAnsi="Times New Roman" w:cs="Times New Roman"/>
                <w:vertAlign w:val="superscript"/>
                <w:lang w:val="en-US"/>
              </w:rPr>
              <w:footnoteReference w:id="18"/>
            </w:r>
            <w:r w:rsidRPr="00BE5472">
              <w:rPr>
                <w:rFonts w:ascii="Times New Roman" w:hAnsi="Times New Roman" w:cs="Times New Roman"/>
              </w:rPr>
              <w:t xml:space="preserve"> </w:t>
            </w:r>
          </w:p>
        </w:tc>
        <w:tc>
          <w:tcPr>
            <w:tcW w:w="1819" w:type="dxa"/>
          </w:tcPr>
          <w:p w14:paraId="46711CB9"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Best of Magnetic</w:t>
            </w:r>
            <w:r w:rsidRPr="00BE5472">
              <w:rPr>
                <w:rFonts w:ascii="Times New Roman" w:hAnsi="Times New Roman" w:cs="Times New Roman"/>
                <w:lang w:val="en-US"/>
              </w:rPr>
              <w:t xml:space="preserve"> (poduzeće za nekretnine i pružanje usluga smještaja u Australiji)</w:t>
            </w:r>
          </w:p>
        </w:tc>
        <w:tc>
          <w:tcPr>
            <w:tcW w:w="2722" w:type="dxa"/>
          </w:tcPr>
          <w:p w14:paraId="7C67AF62" w14:textId="77777777" w:rsidR="006E052A" w:rsidRPr="00BE5472" w:rsidRDefault="006E052A" w:rsidP="006E052A">
            <w:pPr>
              <w:spacing w:line="360" w:lineRule="auto"/>
              <w:jc w:val="both"/>
              <w:rPr>
                <w:rFonts w:ascii="Times New Roman" w:hAnsi="Times New Roman" w:cs="Times New Roman"/>
                <w:lang w:val="en-US"/>
              </w:rPr>
            </w:pPr>
          </w:p>
        </w:tc>
        <w:tc>
          <w:tcPr>
            <w:tcW w:w="1953" w:type="dxa"/>
          </w:tcPr>
          <w:p w14:paraId="30C03C10" w14:textId="25E0FBB7" w:rsidR="006E052A" w:rsidRPr="00BE5472" w:rsidRDefault="006E052A" w:rsidP="007802AC">
            <w:pPr>
              <w:spacing w:line="360" w:lineRule="auto"/>
              <w:rPr>
                <w:rFonts w:ascii="Times New Roman" w:hAnsi="Times New Roman" w:cs="Times New Roman"/>
                <w:lang w:val="en-US"/>
              </w:rPr>
            </w:pPr>
            <w:r w:rsidRPr="00BE5472">
              <w:rPr>
                <w:rFonts w:ascii="Times New Roman" w:hAnsi="Times New Roman" w:cs="Times New Roman"/>
                <w:lang w:val="en-US"/>
              </w:rPr>
              <w:t>2.09</w:t>
            </w:r>
            <w:r w:rsidR="007802AC" w:rsidRPr="00BE5472">
              <w:rPr>
                <w:rFonts w:ascii="Times New Roman" w:hAnsi="Times New Roman" w:cs="Times New Roman"/>
                <w:lang w:val="en-US"/>
              </w:rPr>
              <w:t xml:space="preserve"> </w:t>
            </w:r>
            <w:r w:rsidRPr="00BE5472">
              <w:rPr>
                <w:rFonts w:ascii="Times New Roman" w:hAnsi="Times New Roman" w:cs="Times New Roman"/>
                <w:lang w:val="en-US"/>
              </w:rPr>
              <w:t>milijuna</w:t>
            </w:r>
            <w:r w:rsidR="00CA356D" w:rsidRPr="00BE5472">
              <w:rPr>
                <w:rFonts w:ascii="Times New Roman" w:hAnsi="Times New Roman" w:cs="Times New Roman"/>
                <w:lang w:val="en-US"/>
              </w:rPr>
              <w:t xml:space="preserve"> dolara</w:t>
            </w:r>
          </w:p>
        </w:tc>
      </w:tr>
      <w:tr w:rsidR="006E052A" w:rsidRPr="00BE5472" w14:paraId="0507631D" w14:textId="77777777" w:rsidTr="007201FA">
        <w:tc>
          <w:tcPr>
            <w:tcW w:w="2856" w:type="dxa"/>
          </w:tcPr>
          <w:p w14:paraId="270EBC5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Choice Hotels International,</w:t>
            </w:r>
            <w:r w:rsidRPr="00BE5472">
              <w:rPr>
                <w:rFonts w:ascii="Times New Roman" w:hAnsi="Times New Roman" w:cs="Times New Roman"/>
                <w:lang w:val="en-US"/>
              </w:rPr>
              <w:t xml:space="preserve"> Inc.</w:t>
            </w:r>
            <w:r w:rsidRPr="00BE5472">
              <w:rPr>
                <w:rFonts w:ascii="Times New Roman" w:hAnsi="Times New Roman" w:cs="Times New Roman"/>
                <w:vertAlign w:val="superscript"/>
                <w:lang w:val="en-US"/>
              </w:rPr>
              <w:footnoteReference w:id="19"/>
            </w:r>
          </w:p>
        </w:tc>
        <w:tc>
          <w:tcPr>
            <w:tcW w:w="1819" w:type="dxa"/>
          </w:tcPr>
          <w:p w14:paraId="7B5BB143"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Radisson Hotel Group</w:t>
            </w:r>
          </w:p>
        </w:tc>
        <w:tc>
          <w:tcPr>
            <w:tcW w:w="2722" w:type="dxa"/>
          </w:tcPr>
          <w:p w14:paraId="07AC53E0"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Dodavanje devet hotelskih marki </w:t>
            </w:r>
            <w:r w:rsidRPr="00BE5472">
              <w:rPr>
                <w:rFonts w:ascii="Times New Roman" w:hAnsi="Times New Roman" w:cs="Times New Roman"/>
                <w:i/>
                <w:iCs/>
                <w:lang w:val="en-US"/>
              </w:rPr>
              <w:t>Radissona</w:t>
            </w:r>
            <w:r w:rsidRPr="00BE5472">
              <w:rPr>
                <w:rFonts w:ascii="Times New Roman" w:hAnsi="Times New Roman" w:cs="Times New Roman"/>
                <w:lang w:val="en-US"/>
              </w:rPr>
              <w:t xml:space="preserve"> u Americi najnovije je poglavlje uspješne strategije poduzeća </w:t>
            </w:r>
            <w:r w:rsidRPr="00BE5472">
              <w:rPr>
                <w:rFonts w:ascii="Times New Roman" w:hAnsi="Times New Roman" w:cs="Times New Roman"/>
                <w:i/>
                <w:iCs/>
                <w:lang w:val="en-US"/>
              </w:rPr>
              <w:t>Choice</w:t>
            </w:r>
            <w:r w:rsidRPr="00BE5472">
              <w:rPr>
                <w:rFonts w:ascii="Times New Roman" w:hAnsi="Times New Roman" w:cs="Times New Roman"/>
                <w:lang w:val="en-US"/>
              </w:rPr>
              <w:t xml:space="preserve"> za proširenje prilika za rast. Dodatnih 624 hotela s preko 68.000 soba proširuje prisutnost </w:t>
            </w:r>
            <w:r w:rsidRPr="00BE5472">
              <w:rPr>
                <w:rFonts w:ascii="Times New Roman" w:hAnsi="Times New Roman" w:cs="Times New Roman"/>
                <w:i/>
                <w:iCs/>
                <w:lang w:val="en-US"/>
              </w:rPr>
              <w:t>Choice Hotela</w:t>
            </w:r>
            <w:r w:rsidRPr="00BE5472">
              <w:rPr>
                <w:rFonts w:ascii="Times New Roman" w:hAnsi="Times New Roman" w:cs="Times New Roman"/>
                <w:lang w:val="en-US"/>
              </w:rPr>
              <w:t xml:space="preserve"> u segmentima luksuznih i </w:t>
            </w:r>
            <w:r w:rsidRPr="00BE5472">
              <w:rPr>
                <w:rFonts w:ascii="Times New Roman" w:hAnsi="Times New Roman" w:cs="Times New Roman"/>
                <w:i/>
                <w:lang w:val="en-US"/>
              </w:rPr>
              <w:t>upper</w:t>
            </w:r>
            <w:r w:rsidRPr="00BE5472">
              <w:rPr>
                <w:rFonts w:ascii="Times New Roman" w:hAnsi="Times New Roman" w:cs="Times New Roman"/>
                <w:lang w:val="en-US"/>
              </w:rPr>
              <w:t>-</w:t>
            </w:r>
            <w:r w:rsidRPr="00BE5472">
              <w:rPr>
                <w:rFonts w:ascii="Times New Roman" w:hAnsi="Times New Roman" w:cs="Times New Roman"/>
                <w:i/>
                <w:lang w:val="en-US"/>
              </w:rPr>
              <w:t>middle</w:t>
            </w:r>
            <w:r w:rsidRPr="00BE5472">
              <w:rPr>
                <w:rFonts w:ascii="Times New Roman" w:hAnsi="Times New Roman" w:cs="Times New Roman"/>
                <w:lang w:val="en-US"/>
              </w:rPr>
              <w:t xml:space="preserve"> </w:t>
            </w:r>
            <w:r w:rsidRPr="00BE5472">
              <w:rPr>
                <w:rFonts w:ascii="Times New Roman" w:hAnsi="Times New Roman" w:cs="Times New Roman"/>
                <w:lang w:val="en-US"/>
              </w:rPr>
              <w:lastRenderedPageBreak/>
              <w:t>hotelske ponude, posebno na zapadnoj obali i srednjem zapadu Sjedinjenih Američkih Država.</w:t>
            </w:r>
          </w:p>
        </w:tc>
        <w:tc>
          <w:tcPr>
            <w:tcW w:w="1953" w:type="dxa"/>
          </w:tcPr>
          <w:p w14:paraId="791A67A7" w14:textId="4F856284"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lastRenderedPageBreak/>
              <w:t>675 milijuna</w:t>
            </w:r>
            <w:r w:rsidR="007802AC" w:rsidRPr="00BE5472">
              <w:rPr>
                <w:rFonts w:ascii="Times New Roman" w:hAnsi="Times New Roman" w:cs="Times New Roman"/>
                <w:lang w:val="en-US"/>
              </w:rPr>
              <w:t xml:space="preserve"> dolara</w:t>
            </w:r>
          </w:p>
        </w:tc>
      </w:tr>
      <w:tr w:rsidR="006E052A" w:rsidRPr="00BE5472" w14:paraId="5802569F" w14:textId="77777777" w:rsidTr="007201FA">
        <w:tc>
          <w:tcPr>
            <w:tcW w:w="2856" w:type="dxa"/>
          </w:tcPr>
          <w:p w14:paraId="07720350"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Wyndham Hotels &amp; Resorts</w:t>
            </w:r>
            <w:r w:rsidRPr="00BE5472">
              <w:rPr>
                <w:rFonts w:ascii="Times New Roman" w:hAnsi="Times New Roman" w:cs="Times New Roman"/>
                <w:lang w:val="en-US"/>
              </w:rPr>
              <w:t xml:space="preserve"> (najveća hotelska kompanija za franšizing na svijetu)</w:t>
            </w:r>
            <w:r w:rsidRPr="00BE5472">
              <w:rPr>
                <w:rFonts w:ascii="Times New Roman" w:hAnsi="Times New Roman" w:cs="Times New Roman"/>
                <w:vertAlign w:val="superscript"/>
                <w:lang w:val="en-US"/>
              </w:rPr>
              <w:footnoteReference w:id="20"/>
            </w:r>
          </w:p>
        </w:tc>
        <w:tc>
          <w:tcPr>
            <w:tcW w:w="1819" w:type="dxa"/>
          </w:tcPr>
          <w:p w14:paraId="3BF5DB3F"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Vienna House Brand</w:t>
            </w:r>
          </w:p>
        </w:tc>
        <w:tc>
          <w:tcPr>
            <w:tcW w:w="2722" w:type="dxa"/>
          </w:tcPr>
          <w:p w14:paraId="61E8C8CA" w14:textId="55699C40"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Dodaju se hoteli višeg i srednjeg standarda od otprilike 40 hotela i više od 6.000 soba. Preuzimanjem marke dodaje se 28 hotela samo u Njemačkoj, dodatno učvršćujući </w:t>
            </w:r>
            <w:r w:rsidRPr="00BE5472">
              <w:rPr>
                <w:rFonts w:ascii="Times New Roman" w:hAnsi="Times New Roman" w:cs="Times New Roman"/>
                <w:i/>
                <w:iCs/>
                <w:lang w:val="en-US"/>
              </w:rPr>
              <w:t>Wyndhamovu</w:t>
            </w:r>
            <w:r w:rsidRPr="00BE5472">
              <w:rPr>
                <w:rFonts w:ascii="Times New Roman" w:hAnsi="Times New Roman" w:cs="Times New Roman"/>
                <w:lang w:val="en-US"/>
              </w:rPr>
              <w:t xml:space="preserve"> poziciju u jednom od svojih najvećih europskih tržišta s 120 franšiziranih hotela i više od 19.000 soba, dok se istovremeno širi na okolne zemlje. Uz trenut</w:t>
            </w:r>
            <w:r w:rsidR="009F3C04" w:rsidRPr="00BE5472">
              <w:rPr>
                <w:rFonts w:ascii="Times New Roman" w:hAnsi="Times New Roman" w:cs="Times New Roman"/>
                <w:lang w:val="en-US"/>
              </w:rPr>
              <w:t>ač</w:t>
            </w:r>
            <w:r w:rsidRPr="00BE5472">
              <w:rPr>
                <w:rFonts w:ascii="Times New Roman" w:hAnsi="Times New Roman" w:cs="Times New Roman"/>
                <w:lang w:val="en-US"/>
              </w:rPr>
              <w:t xml:space="preserve">nu prisutnost </w:t>
            </w:r>
            <w:r w:rsidRPr="00BE5472">
              <w:rPr>
                <w:rFonts w:ascii="Times New Roman" w:hAnsi="Times New Roman" w:cs="Times New Roman"/>
                <w:i/>
                <w:iCs/>
                <w:lang w:val="en-US"/>
              </w:rPr>
              <w:t>Wyndhama</w:t>
            </w:r>
            <w:r w:rsidRPr="00BE5472">
              <w:rPr>
                <w:rFonts w:ascii="Times New Roman" w:hAnsi="Times New Roman" w:cs="Times New Roman"/>
                <w:lang w:val="en-US"/>
              </w:rPr>
              <w:t xml:space="preserve"> u Europi, kombinirani portfelj od više od 400 hotela u više od 30 zemalja pružit će poslovnim i rekreativnim putnicima proširenu ponudu </w:t>
            </w:r>
            <w:r w:rsidR="00A52487" w:rsidRPr="00BE5472">
              <w:rPr>
                <w:rFonts w:ascii="Times New Roman" w:hAnsi="Times New Roman" w:cs="Times New Roman"/>
                <w:lang w:val="en-US"/>
              </w:rPr>
              <w:t>brendiranih</w:t>
            </w:r>
            <w:r w:rsidRPr="00BE5472">
              <w:rPr>
                <w:rFonts w:ascii="Times New Roman" w:hAnsi="Times New Roman" w:cs="Times New Roman"/>
                <w:lang w:val="en-US"/>
              </w:rPr>
              <w:t xml:space="preserve"> hotela diljem regije.</w:t>
            </w:r>
          </w:p>
        </w:tc>
        <w:tc>
          <w:tcPr>
            <w:tcW w:w="1953" w:type="dxa"/>
          </w:tcPr>
          <w:p w14:paraId="3A6BE378" w14:textId="7EAEE23B"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44 milijuna</w:t>
            </w:r>
            <w:r w:rsidR="00A52487" w:rsidRPr="00BE5472">
              <w:rPr>
                <w:rFonts w:ascii="Times New Roman" w:hAnsi="Times New Roman" w:cs="Times New Roman"/>
                <w:lang w:val="en-US"/>
              </w:rPr>
              <w:t xml:space="preserve"> dolara</w:t>
            </w:r>
          </w:p>
        </w:tc>
      </w:tr>
      <w:tr w:rsidR="006E052A" w:rsidRPr="00BE5472" w14:paraId="6949C427" w14:textId="77777777" w:rsidTr="007201FA">
        <w:tc>
          <w:tcPr>
            <w:tcW w:w="9350" w:type="dxa"/>
            <w:gridSpan w:val="4"/>
            <w:shd w:val="clear" w:color="auto" w:fill="E7E6E6" w:themeFill="background2"/>
          </w:tcPr>
          <w:p w14:paraId="6CC1FE68" w14:textId="77777777" w:rsidR="006E052A" w:rsidRPr="00BE5472" w:rsidRDefault="006E052A" w:rsidP="006E052A">
            <w:pPr>
              <w:spacing w:line="360" w:lineRule="auto"/>
              <w:jc w:val="center"/>
              <w:rPr>
                <w:rFonts w:ascii="Times New Roman" w:hAnsi="Times New Roman" w:cs="Times New Roman"/>
                <w:sz w:val="24"/>
                <w:szCs w:val="24"/>
                <w:lang w:val="en-US"/>
              </w:rPr>
            </w:pPr>
            <w:r w:rsidRPr="00BE5472">
              <w:rPr>
                <w:rFonts w:ascii="Times New Roman" w:hAnsi="Times New Roman" w:cs="Times New Roman"/>
                <w:b/>
                <w:sz w:val="24"/>
                <w:szCs w:val="24"/>
                <w:lang w:val="en-US"/>
              </w:rPr>
              <w:t>2021.</w:t>
            </w:r>
          </w:p>
        </w:tc>
      </w:tr>
      <w:tr w:rsidR="006E052A" w:rsidRPr="00BE5472" w14:paraId="2D2B686C" w14:textId="77777777" w:rsidTr="007201FA">
        <w:tc>
          <w:tcPr>
            <w:tcW w:w="2856" w:type="dxa"/>
          </w:tcPr>
          <w:p w14:paraId="4DF70D6B"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Blackstone Inc. (NYSE:BX); Starwood Capital Operations</w:t>
            </w:r>
            <w:r w:rsidRPr="00BE5472">
              <w:rPr>
                <w:rFonts w:ascii="Times New Roman" w:hAnsi="Times New Roman" w:cs="Times New Roman"/>
                <w:lang w:val="en-US"/>
              </w:rPr>
              <w:t>, LLC</w:t>
            </w:r>
            <w:r w:rsidRPr="00BE5472">
              <w:rPr>
                <w:rFonts w:ascii="Times New Roman" w:hAnsi="Times New Roman" w:cs="Times New Roman"/>
                <w:vertAlign w:val="superscript"/>
                <w:lang w:val="en-US"/>
              </w:rPr>
              <w:footnoteReference w:id="21"/>
            </w:r>
          </w:p>
        </w:tc>
        <w:tc>
          <w:tcPr>
            <w:tcW w:w="1819" w:type="dxa"/>
          </w:tcPr>
          <w:p w14:paraId="19CAA860"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Extended Stay America</w:t>
            </w:r>
            <w:r w:rsidRPr="00BE5472">
              <w:rPr>
                <w:rFonts w:ascii="Times New Roman" w:hAnsi="Times New Roman" w:cs="Times New Roman"/>
                <w:lang w:val="en-US"/>
              </w:rPr>
              <w:t>, Inc.</w:t>
            </w:r>
          </w:p>
        </w:tc>
        <w:tc>
          <w:tcPr>
            <w:tcW w:w="2722" w:type="dxa"/>
          </w:tcPr>
          <w:p w14:paraId="0EAA30F0" w14:textId="3FAFFB90"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 xml:space="preserve">Preuzet </w:t>
            </w:r>
            <w:r w:rsidR="002251B5" w:rsidRPr="00BE5472">
              <w:rPr>
                <w:rFonts w:ascii="Times New Roman" w:hAnsi="Times New Roman" w:cs="Times New Roman"/>
                <w:lang w:val="en-US"/>
              </w:rPr>
              <w:t xml:space="preserve">je </w:t>
            </w:r>
            <w:r w:rsidRPr="00BE5472">
              <w:rPr>
                <w:rFonts w:ascii="Times New Roman" w:hAnsi="Times New Roman" w:cs="Times New Roman"/>
                <w:lang w:val="en-US"/>
              </w:rPr>
              <w:t>651 hotel u segmentu srednjih cijena produljenog boravka</w:t>
            </w:r>
            <w:r w:rsidR="005642BE" w:rsidRPr="00BE5472">
              <w:rPr>
                <w:rFonts w:ascii="Times New Roman" w:hAnsi="Times New Roman" w:cs="Times New Roman"/>
                <w:lang w:val="en-US"/>
              </w:rPr>
              <w:t>.</w:t>
            </w:r>
          </w:p>
        </w:tc>
        <w:tc>
          <w:tcPr>
            <w:tcW w:w="1953" w:type="dxa"/>
          </w:tcPr>
          <w:p w14:paraId="3224144C" w14:textId="36C7FE54" w:rsidR="006E052A" w:rsidRPr="00BE5472" w:rsidRDefault="006E052A" w:rsidP="005642BE">
            <w:pPr>
              <w:spacing w:line="360" w:lineRule="auto"/>
              <w:rPr>
                <w:rFonts w:ascii="Times New Roman" w:hAnsi="Times New Roman" w:cs="Times New Roman"/>
                <w:lang w:val="en-US"/>
              </w:rPr>
            </w:pPr>
            <w:r w:rsidRPr="00BE5472">
              <w:rPr>
                <w:rFonts w:ascii="Times New Roman" w:hAnsi="Times New Roman" w:cs="Times New Roman"/>
                <w:lang w:val="en-US"/>
              </w:rPr>
              <w:t>6,340 milijard</w:t>
            </w:r>
            <w:r w:rsidR="000C441D" w:rsidRPr="00BE5472">
              <w:rPr>
                <w:rFonts w:ascii="Times New Roman" w:hAnsi="Times New Roman" w:cs="Times New Roman"/>
                <w:lang w:val="en-US"/>
              </w:rPr>
              <w:t>i</w:t>
            </w:r>
            <w:r w:rsidR="005642BE" w:rsidRPr="00BE5472">
              <w:rPr>
                <w:rFonts w:ascii="Times New Roman" w:hAnsi="Times New Roman" w:cs="Times New Roman"/>
                <w:lang w:val="en-US"/>
              </w:rPr>
              <w:t xml:space="preserve"> dolara</w:t>
            </w:r>
          </w:p>
        </w:tc>
      </w:tr>
      <w:tr w:rsidR="006E052A" w:rsidRPr="00BE5472" w14:paraId="49B85FC2" w14:textId="77777777" w:rsidTr="007201FA">
        <w:tc>
          <w:tcPr>
            <w:tcW w:w="2856" w:type="dxa"/>
          </w:tcPr>
          <w:p w14:paraId="7551D5A4"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lastRenderedPageBreak/>
              <w:t>Hilton Grand Vacations</w:t>
            </w:r>
            <w:r w:rsidRPr="00BE5472">
              <w:rPr>
                <w:rFonts w:ascii="Times New Roman" w:hAnsi="Times New Roman" w:cs="Times New Roman"/>
                <w:lang w:val="en-US"/>
              </w:rPr>
              <w:t xml:space="preserve"> Inc.</w:t>
            </w:r>
            <w:r w:rsidRPr="00BE5472">
              <w:rPr>
                <w:rFonts w:ascii="Times New Roman" w:hAnsi="Times New Roman" w:cs="Times New Roman"/>
                <w:vertAlign w:val="superscript"/>
                <w:lang w:val="en-US"/>
              </w:rPr>
              <w:footnoteReference w:id="22"/>
            </w:r>
          </w:p>
        </w:tc>
        <w:tc>
          <w:tcPr>
            <w:tcW w:w="1819" w:type="dxa"/>
          </w:tcPr>
          <w:p w14:paraId="5F7DEFAF"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Diamond Resorts International</w:t>
            </w:r>
            <w:r w:rsidRPr="00BE5472">
              <w:rPr>
                <w:rFonts w:ascii="Times New Roman" w:hAnsi="Times New Roman" w:cs="Times New Roman"/>
                <w:lang w:val="en-US"/>
              </w:rPr>
              <w:t>, Inc.</w:t>
            </w:r>
          </w:p>
        </w:tc>
        <w:tc>
          <w:tcPr>
            <w:tcW w:w="2722" w:type="dxa"/>
          </w:tcPr>
          <w:p w14:paraId="7D60F732" w14:textId="7F6A3C88" w:rsidR="006E052A" w:rsidRPr="00BE5472" w:rsidRDefault="006E052A" w:rsidP="006E052A">
            <w:pPr>
              <w:spacing w:line="360" w:lineRule="auto"/>
              <w:jc w:val="both"/>
              <w:rPr>
                <w:rFonts w:ascii="Times New Roman" w:hAnsi="Times New Roman" w:cs="Times New Roman"/>
                <w:lang w:val="it-IT"/>
              </w:rPr>
            </w:pPr>
            <w:r w:rsidRPr="00BE5472">
              <w:rPr>
                <w:rFonts w:ascii="Times New Roman" w:hAnsi="Times New Roman" w:cs="Times New Roman"/>
                <w:lang w:val="it-IT"/>
              </w:rPr>
              <w:t>380.000 novih vlasnika u HGV i 154 turističkih destinacija ukupno</w:t>
            </w:r>
            <w:r w:rsidR="00152B12" w:rsidRPr="00BE5472">
              <w:rPr>
                <w:rFonts w:ascii="Times New Roman" w:hAnsi="Times New Roman" w:cs="Times New Roman"/>
                <w:lang w:val="it-IT"/>
              </w:rPr>
              <w:t>.</w:t>
            </w:r>
          </w:p>
        </w:tc>
        <w:tc>
          <w:tcPr>
            <w:tcW w:w="1953" w:type="dxa"/>
          </w:tcPr>
          <w:p w14:paraId="0BF82537" w14:textId="1818F5A0" w:rsidR="006E052A" w:rsidRPr="00BE5472" w:rsidRDefault="006E052A" w:rsidP="005642BE">
            <w:pPr>
              <w:spacing w:line="360" w:lineRule="auto"/>
              <w:rPr>
                <w:rFonts w:ascii="Times New Roman" w:hAnsi="Times New Roman" w:cs="Times New Roman"/>
                <w:lang w:val="en-US"/>
              </w:rPr>
            </w:pPr>
            <w:r w:rsidRPr="00BE5472">
              <w:rPr>
                <w:rFonts w:ascii="Times New Roman" w:hAnsi="Times New Roman" w:cs="Times New Roman"/>
                <w:lang w:val="en-US"/>
              </w:rPr>
              <w:t>3,393 milijarde</w:t>
            </w:r>
            <w:r w:rsidR="005642BE" w:rsidRPr="00BE5472">
              <w:rPr>
                <w:rFonts w:ascii="Times New Roman" w:hAnsi="Times New Roman" w:cs="Times New Roman"/>
                <w:lang w:val="en-US"/>
              </w:rPr>
              <w:t xml:space="preserve"> dolara</w:t>
            </w:r>
          </w:p>
        </w:tc>
      </w:tr>
      <w:tr w:rsidR="006E052A" w:rsidRPr="00BE5472" w14:paraId="77819EC3" w14:textId="77777777" w:rsidTr="007201FA">
        <w:tc>
          <w:tcPr>
            <w:tcW w:w="2856" w:type="dxa"/>
          </w:tcPr>
          <w:p w14:paraId="413E78D5"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Hyatt Hotels Corporation</w:t>
            </w:r>
            <w:r w:rsidRPr="00BE5472">
              <w:rPr>
                <w:rFonts w:ascii="Times New Roman" w:hAnsi="Times New Roman" w:cs="Times New Roman"/>
                <w:vertAlign w:val="superscript"/>
                <w:lang w:val="en-US"/>
              </w:rPr>
              <w:footnoteReference w:id="23"/>
            </w:r>
          </w:p>
        </w:tc>
        <w:tc>
          <w:tcPr>
            <w:tcW w:w="1819" w:type="dxa"/>
          </w:tcPr>
          <w:p w14:paraId="14AE57AD" w14:textId="0827F18C"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Apple Leisure Group</w:t>
            </w:r>
            <w:r w:rsidRPr="00BE5472">
              <w:rPr>
                <w:rFonts w:ascii="Times New Roman" w:hAnsi="Times New Roman" w:cs="Times New Roman"/>
                <w:lang w:val="en-US"/>
              </w:rPr>
              <w:t xml:space="preserve"> (poduzeće koje upravlja luksuznim odmaralištima, nudi usluge putovanja i druge ugostiteljske usluge)</w:t>
            </w:r>
            <w:r w:rsidR="00152B12" w:rsidRPr="00BE5472">
              <w:rPr>
                <w:rFonts w:ascii="Times New Roman" w:hAnsi="Times New Roman" w:cs="Times New Roman"/>
                <w:lang w:val="en-US"/>
              </w:rPr>
              <w:t>.</w:t>
            </w:r>
          </w:p>
        </w:tc>
        <w:tc>
          <w:tcPr>
            <w:tcW w:w="2722" w:type="dxa"/>
          </w:tcPr>
          <w:p w14:paraId="7F664895" w14:textId="7B819598"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Hyatt</w:t>
            </w:r>
            <w:r w:rsidRPr="00BE5472">
              <w:rPr>
                <w:rFonts w:ascii="Times New Roman" w:hAnsi="Times New Roman" w:cs="Times New Roman"/>
                <w:lang w:val="en-US"/>
              </w:rPr>
              <w:t xml:space="preserve"> udvostručuje svoj globalni portfelj odmarališta dodavanjem portfelja marke AMR™ </w:t>
            </w:r>
            <w:r w:rsidRPr="00BE5472">
              <w:rPr>
                <w:rFonts w:ascii="Times New Roman" w:hAnsi="Times New Roman" w:cs="Times New Roman"/>
                <w:i/>
                <w:iCs/>
                <w:lang w:val="en-US"/>
              </w:rPr>
              <w:t>Collection</w:t>
            </w:r>
            <w:r w:rsidRPr="00BE5472">
              <w:rPr>
                <w:rFonts w:ascii="Times New Roman" w:hAnsi="Times New Roman" w:cs="Times New Roman"/>
                <w:lang w:val="en-US"/>
              </w:rPr>
              <w:t xml:space="preserve"> poduzeća ALG, koji čini otprilike </w:t>
            </w:r>
            <w:r w:rsidR="002251B5" w:rsidRPr="00BE5472">
              <w:rPr>
                <w:rFonts w:ascii="Times New Roman" w:hAnsi="Times New Roman" w:cs="Times New Roman"/>
                <w:lang w:val="en-US"/>
              </w:rPr>
              <w:t>stotinu</w:t>
            </w:r>
            <w:r w:rsidRPr="00BE5472">
              <w:rPr>
                <w:rFonts w:ascii="Times New Roman" w:hAnsi="Times New Roman" w:cs="Times New Roman"/>
                <w:lang w:val="en-US"/>
              </w:rPr>
              <w:t xml:space="preserve"> hotela i odmarališta koji posluju u </w:t>
            </w:r>
            <w:r w:rsidR="002251B5" w:rsidRPr="00BE5472">
              <w:rPr>
                <w:rFonts w:ascii="Times New Roman" w:hAnsi="Times New Roman" w:cs="Times New Roman"/>
                <w:lang w:val="en-US"/>
              </w:rPr>
              <w:t>deset</w:t>
            </w:r>
            <w:r w:rsidRPr="00BE5472">
              <w:rPr>
                <w:rFonts w:ascii="Times New Roman" w:hAnsi="Times New Roman" w:cs="Times New Roman"/>
                <w:lang w:val="en-US"/>
              </w:rPr>
              <w:t xml:space="preserve"> zemalja, kao i niz od 24 zaključena posla u Americi i Europi. Kao rezultat toga, </w:t>
            </w:r>
            <w:r w:rsidRPr="00BE5472">
              <w:rPr>
                <w:rFonts w:ascii="Times New Roman" w:hAnsi="Times New Roman" w:cs="Times New Roman"/>
                <w:i/>
                <w:iCs/>
                <w:lang w:val="en-US"/>
              </w:rPr>
              <w:t>Hyatt</w:t>
            </w:r>
            <w:r w:rsidRPr="00BE5472">
              <w:rPr>
                <w:rFonts w:ascii="Times New Roman" w:hAnsi="Times New Roman" w:cs="Times New Roman"/>
                <w:lang w:val="en-US"/>
              </w:rPr>
              <w:t xml:space="preserve"> sada nudi jednu od najvećih kolekcija luksuznih </w:t>
            </w:r>
            <w:r w:rsidRPr="00BE5472">
              <w:rPr>
                <w:rFonts w:ascii="Times New Roman" w:hAnsi="Times New Roman" w:cs="Times New Roman"/>
                <w:i/>
                <w:lang w:val="en-US"/>
              </w:rPr>
              <w:t>all-inclusive</w:t>
            </w:r>
            <w:r w:rsidRPr="00BE5472">
              <w:rPr>
                <w:rFonts w:ascii="Times New Roman" w:hAnsi="Times New Roman" w:cs="Times New Roman"/>
                <w:lang w:val="en-US"/>
              </w:rPr>
              <w:t xml:space="preserve"> odmarališta na svijetu, uključujući nove destinacije za </w:t>
            </w:r>
            <w:r w:rsidRPr="00BE5472">
              <w:rPr>
                <w:rFonts w:ascii="Times New Roman" w:hAnsi="Times New Roman" w:cs="Times New Roman"/>
                <w:i/>
                <w:iCs/>
                <w:lang w:val="en-US"/>
              </w:rPr>
              <w:t>Hyatt</w:t>
            </w:r>
            <w:r w:rsidRPr="00BE5472">
              <w:rPr>
                <w:rFonts w:ascii="Times New Roman" w:hAnsi="Times New Roman" w:cs="Times New Roman"/>
                <w:lang w:val="en-US"/>
              </w:rPr>
              <w:t xml:space="preserve"> poput Acapulca, Curaça, Kanarskih otoka, Menorce i St. Martina. Kroz ovo preuzimanje, H</w:t>
            </w:r>
            <w:r w:rsidR="000C441D" w:rsidRPr="00BE5472">
              <w:rPr>
                <w:rFonts w:ascii="Times New Roman" w:hAnsi="Times New Roman" w:cs="Times New Roman"/>
                <w:lang w:val="en-US"/>
              </w:rPr>
              <w:t>i</w:t>
            </w:r>
            <w:r w:rsidRPr="00BE5472">
              <w:rPr>
                <w:rFonts w:ascii="Times New Roman" w:hAnsi="Times New Roman" w:cs="Times New Roman"/>
                <w:lang w:val="en-US"/>
              </w:rPr>
              <w:t>yatt je preuzeo objekte u 11 novih europskih tržišta i proširio svoj europski portfelj marki za 60</w:t>
            </w:r>
            <w:r w:rsidR="000C441D" w:rsidRPr="00BE5472">
              <w:rPr>
                <w:rFonts w:ascii="Times New Roman" w:hAnsi="Times New Roman" w:cs="Times New Roman"/>
                <w:lang w:val="en-US"/>
              </w:rPr>
              <w:t xml:space="preserve"> </w:t>
            </w:r>
            <w:r w:rsidRPr="00BE5472">
              <w:rPr>
                <w:rFonts w:ascii="Times New Roman" w:hAnsi="Times New Roman" w:cs="Times New Roman"/>
                <w:lang w:val="en-US"/>
              </w:rPr>
              <w:t xml:space="preserve">%, čime je ojačao </w:t>
            </w:r>
            <w:r w:rsidRPr="00BE5472">
              <w:rPr>
                <w:rFonts w:ascii="Times New Roman" w:hAnsi="Times New Roman" w:cs="Times New Roman"/>
                <w:lang w:val="en-US"/>
              </w:rPr>
              <w:lastRenderedPageBreak/>
              <w:t xml:space="preserve">potencijal rasta </w:t>
            </w:r>
            <w:r w:rsidRPr="00BE5472">
              <w:rPr>
                <w:rFonts w:ascii="Times New Roman" w:hAnsi="Times New Roman" w:cs="Times New Roman"/>
                <w:i/>
                <w:iCs/>
                <w:lang w:val="en-US"/>
              </w:rPr>
              <w:t>Hyatta</w:t>
            </w:r>
            <w:r w:rsidRPr="00BE5472">
              <w:rPr>
                <w:rFonts w:ascii="Times New Roman" w:hAnsi="Times New Roman" w:cs="Times New Roman"/>
                <w:lang w:val="en-US"/>
              </w:rPr>
              <w:t xml:space="preserve"> u ključnoj turističkoj destinaciji.</w:t>
            </w:r>
          </w:p>
        </w:tc>
        <w:tc>
          <w:tcPr>
            <w:tcW w:w="1953" w:type="dxa"/>
          </w:tcPr>
          <w:p w14:paraId="11FB79F0" w14:textId="0096C120" w:rsidR="006E052A" w:rsidRPr="00BE5472" w:rsidRDefault="006E052A" w:rsidP="005642BE">
            <w:pPr>
              <w:spacing w:line="360" w:lineRule="auto"/>
              <w:rPr>
                <w:rFonts w:ascii="Times New Roman" w:hAnsi="Times New Roman" w:cs="Times New Roman"/>
                <w:lang w:val="en-US"/>
              </w:rPr>
            </w:pPr>
            <w:r w:rsidRPr="00BE5472">
              <w:rPr>
                <w:rFonts w:ascii="Times New Roman" w:hAnsi="Times New Roman" w:cs="Times New Roman"/>
                <w:lang w:val="en-US"/>
              </w:rPr>
              <w:lastRenderedPageBreak/>
              <w:t>2,769 milijardi</w:t>
            </w:r>
            <w:r w:rsidR="005642BE" w:rsidRPr="00BE5472">
              <w:rPr>
                <w:rFonts w:ascii="Times New Roman" w:hAnsi="Times New Roman" w:cs="Times New Roman"/>
                <w:lang w:val="en-US"/>
              </w:rPr>
              <w:t xml:space="preserve"> dolara</w:t>
            </w:r>
          </w:p>
        </w:tc>
      </w:tr>
      <w:tr w:rsidR="006E052A" w:rsidRPr="00BE5472" w14:paraId="02F71AEB" w14:textId="77777777" w:rsidTr="007201FA">
        <w:tc>
          <w:tcPr>
            <w:tcW w:w="2856" w:type="dxa"/>
          </w:tcPr>
          <w:p w14:paraId="42B48FFB"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Apollo Global Management,</w:t>
            </w:r>
            <w:r w:rsidRPr="00BE5472">
              <w:rPr>
                <w:rFonts w:ascii="Times New Roman" w:hAnsi="Times New Roman" w:cs="Times New Roman"/>
                <w:lang w:val="en-US"/>
              </w:rPr>
              <w:t xml:space="preserve"> Inc.(upravljanje imovinom i rješenjima za mirovinsku sigurnost)</w:t>
            </w:r>
            <w:r w:rsidRPr="00BE5472">
              <w:rPr>
                <w:rFonts w:ascii="Times New Roman" w:hAnsi="Times New Roman" w:cs="Times New Roman"/>
                <w:vertAlign w:val="superscript"/>
                <w:lang w:val="en-US"/>
              </w:rPr>
              <w:footnoteReference w:id="24"/>
            </w:r>
          </w:p>
        </w:tc>
        <w:tc>
          <w:tcPr>
            <w:tcW w:w="1819" w:type="dxa"/>
          </w:tcPr>
          <w:p w14:paraId="240474D0" w14:textId="77777777" w:rsidR="006E052A" w:rsidRPr="00BE5472" w:rsidRDefault="006E052A" w:rsidP="006E052A">
            <w:pPr>
              <w:spacing w:line="360" w:lineRule="auto"/>
              <w:jc w:val="both"/>
              <w:rPr>
                <w:rFonts w:ascii="Times New Roman" w:hAnsi="Times New Roman" w:cs="Times New Roman"/>
                <w:i/>
                <w:iCs/>
                <w:lang w:val="en-US"/>
              </w:rPr>
            </w:pPr>
            <w:r w:rsidRPr="00BE5472">
              <w:rPr>
                <w:rFonts w:ascii="Times New Roman" w:hAnsi="Times New Roman" w:cs="Times New Roman"/>
                <w:i/>
                <w:iCs/>
                <w:lang w:val="en-US"/>
              </w:rPr>
              <w:t>Las Vegas Business of Las Vegas Sands Corp.</w:t>
            </w:r>
          </w:p>
        </w:tc>
        <w:tc>
          <w:tcPr>
            <w:tcW w:w="2722" w:type="dxa"/>
          </w:tcPr>
          <w:p w14:paraId="5A02273A"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lang w:val="en-US"/>
              </w:rPr>
              <w:t>Venecijanski hotel je vrhunska nekretnina na Las Vegas Stripu, s tri luksuzna hotelska tornja koja uključuju više od 7.000 apartmanskih soba, 225.000 m2 prostora za igre i 2,3 milijuna m2 prostora za sastanke.</w:t>
            </w:r>
          </w:p>
        </w:tc>
        <w:tc>
          <w:tcPr>
            <w:tcW w:w="1953" w:type="dxa"/>
          </w:tcPr>
          <w:p w14:paraId="1FA7C9D8" w14:textId="3C14D2CA" w:rsidR="006E052A" w:rsidRPr="00BE5472" w:rsidRDefault="006E052A" w:rsidP="00152B12">
            <w:pPr>
              <w:spacing w:line="360" w:lineRule="auto"/>
              <w:rPr>
                <w:rFonts w:ascii="Times New Roman" w:hAnsi="Times New Roman" w:cs="Times New Roman"/>
                <w:lang w:val="en-US"/>
              </w:rPr>
            </w:pPr>
            <w:r w:rsidRPr="00BE5472">
              <w:rPr>
                <w:rFonts w:ascii="Times New Roman" w:hAnsi="Times New Roman" w:cs="Times New Roman"/>
                <w:lang w:val="en-US"/>
              </w:rPr>
              <w:t>2,250 milijardi</w:t>
            </w:r>
            <w:r w:rsidR="00152B12" w:rsidRPr="00BE5472">
              <w:rPr>
                <w:rFonts w:ascii="Times New Roman" w:hAnsi="Times New Roman" w:cs="Times New Roman"/>
                <w:lang w:val="en-US"/>
              </w:rPr>
              <w:t xml:space="preserve"> dolara</w:t>
            </w:r>
          </w:p>
        </w:tc>
      </w:tr>
      <w:tr w:rsidR="006E052A" w:rsidRPr="00BE5472" w14:paraId="570EC184" w14:textId="77777777" w:rsidTr="007201FA">
        <w:tc>
          <w:tcPr>
            <w:tcW w:w="2856" w:type="dxa"/>
          </w:tcPr>
          <w:p w14:paraId="5CD06CBB"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Sonder Holdings Inc.</w:t>
            </w:r>
            <w:r w:rsidRPr="00BE5472">
              <w:rPr>
                <w:rFonts w:ascii="Times New Roman" w:hAnsi="Times New Roman" w:cs="Times New Roman"/>
                <w:lang w:val="en-US"/>
              </w:rPr>
              <w:t xml:space="preserve"> (ugostiteljsko poduzeće)</w:t>
            </w:r>
            <w:r w:rsidRPr="00BE5472">
              <w:rPr>
                <w:rFonts w:ascii="Times New Roman" w:hAnsi="Times New Roman" w:cs="Times New Roman"/>
                <w:vertAlign w:val="superscript"/>
                <w:lang w:val="en-US"/>
              </w:rPr>
              <w:footnoteReference w:id="25"/>
            </w:r>
          </w:p>
        </w:tc>
        <w:tc>
          <w:tcPr>
            <w:tcW w:w="1819" w:type="dxa"/>
          </w:tcPr>
          <w:p w14:paraId="42E82717" w14:textId="77777777" w:rsidR="006E052A" w:rsidRPr="00BE5472" w:rsidRDefault="006E052A" w:rsidP="006E052A">
            <w:pPr>
              <w:spacing w:line="360" w:lineRule="auto"/>
              <w:jc w:val="both"/>
              <w:rPr>
                <w:rFonts w:ascii="Times New Roman" w:hAnsi="Times New Roman" w:cs="Times New Roman"/>
                <w:lang w:val="en-US"/>
              </w:rPr>
            </w:pPr>
            <w:r w:rsidRPr="00BE5472">
              <w:rPr>
                <w:rFonts w:ascii="Times New Roman" w:hAnsi="Times New Roman" w:cs="Times New Roman"/>
                <w:i/>
                <w:iCs/>
                <w:lang w:val="en-US"/>
              </w:rPr>
              <w:t>Gores Metropoulos II</w:t>
            </w:r>
            <w:r w:rsidRPr="00BE5472">
              <w:rPr>
                <w:rFonts w:ascii="Times New Roman" w:hAnsi="Times New Roman" w:cs="Times New Roman"/>
                <w:lang w:val="en-US"/>
              </w:rPr>
              <w:t>, Inc.</w:t>
            </w:r>
          </w:p>
        </w:tc>
        <w:tc>
          <w:tcPr>
            <w:tcW w:w="2722" w:type="dxa"/>
          </w:tcPr>
          <w:p w14:paraId="5F307013" w14:textId="77777777" w:rsidR="006E052A" w:rsidRPr="00BE5472" w:rsidRDefault="006E052A" w:rsidP="006E052A">
            <w:pPr>
              <w:spacing w:line="360" w:lineRule="auto"/>
              <w:jc w:val="both"/>
              <w:rPr>
                <w:rFonts w:ascii="Times New Roman" w:hAnsi="Times New Roman" w:cs="Times New Roman"/>
                <w:lang w:val="en-US"/>
              </w:rPr>
            </w:pPr>
          </w:p>
        </w:tc>
        <w:tc>
          <w:tcPr>
            <w:tcW w:w="1953" w:type="dxa"/>
          </w:tcPr>
          <w:p w14:paraId="6048771F" w14:textId="1DDBF133" w:rsidR="006E052A" w:rsidRPr="00BE5472" w:rsidRDefault="006E052A" w:rsidP="00152B12">
            <w:pPr>
              <w:spacing w:line="360" w:lineRule="auto"/>
              <w:rPr>
                <w:rFonts w:ascii="Times New Roman" w:hAnsi="Times New Roman" w:cs="Times New Roman"/>
                <w:lang w:val="en-US"/>
              </w:rPr>
            </w:pPr>
            <w:r w:rsidRPr="00BE5472">
              <w:rPr>
                <w:rFonts w:ascii="Times New Roman" w:hAnsi="Times New Roman" w:cs="Times New Roman"/>
                <w:lang w:val="en-US"/>
              </w:rPr>
              <w:t>2,164 milijardi</w:t>
            </w:r>
            <w:r w:rsidR="00152B12" w:rsidRPr="00BE5472">
              <w:rPr>
                <w:rFonts w:ascii="Times New Roman" w:hAnsi="Times New Roman" w:cs="Times New Roman"/>
                <w:lang w:val="en-US"/>
              </w:rPr>
              <w:t xml:space="preserve"> dolara</w:t>
            </w:r>
          </w:p>
        </w:tc>
      </w:tr>
    </w:tbl>
    <w:p w14:paraId="6C22DC50"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Prilagođeno prema dostupnim izvorima</w:t>
      </w:r>
    </w:p>
    <w:p w14:paraId="106AD077" w14:textId="4B55435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Prema izvještaju Global Data (2024) globalno tržište putovanja i turizma u 2023. godini bilježilo je poslov</w:t>
      </w:r>
      <w:r w:rsidR="002D4380" w:rsidRPr="00BE5472">
        <w:rPr>
          <w:rFonts w:ascii="Times New Roman" w:hAnsi="Times New Roman" w:cs="Times New Roman"/>
          <w:sz w:val="24"/>
          <w:szCs w:val="24"/>
        </w:rPr>
        <w:t>ne transakcije</w:t>
      </w:r>
      <w:r w:rsidRPr="00BE5472">
        <w:rPr>
          <w:rFonts w:ascii="Times New Roman" w:hAnsi="Times New Roman" w:cs="Times New Roman"/>
          <w:sz w:val="24"/>
          <w:szCs w:val="24"/>
        </w:rPr>
        <w:t xml:space="preserve"> vrijedne 40 milijardi dolara, što predstavlja pad od 37</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u usporedbi s 2022. godinom. Što se tiče volumena poslov</w:t>
      </w:r>
      <w:r w:rsidR="00153579" w:rsidRPr="00BE5472">
        <w:rPr>
          <w:rFonts w:ascii="Times New Roman" w:hAnsi="Times New Roman" w:cs="Times New Roman"/>
          <w:sz w:val="24"/>
          <w:szCs w:val="24"/>
        </w:rPr>
        <w:t>nih transakcija</w:t>
      </w:r>
      <w:r w:rsidRPr="00BE5472">
        <w:rPr>
          <w:rFonts w:ascii="Times New Roman" w:hAnsi="Times New Roman" w:cs="Times New Roman"/>
          <w:sz w:val="24"/>
          <w:szCs w:val="24"/>
        </w:rPr>
        <w:t>, zabilježen je pad od 33</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s ukupno 523 transakcija spajanja i preuzimanja u 2023. godini. Sektor je zabilježio samo </w:t>
      </w:r>
      <w:r w:rsidR="000C441D" w:rsidRPr="00BE5472">
        <w:rPr>
          <w:rFonts w:ascii="Times New Roman" w:hAnsi="Times New Roman" w:cs="Times New Roman"/>
          <w:sz w:val="24"/>
          <w:szCs w:val="24"/>
        </w:rPr>
        <w:t>deset</w:t>
      </w:r>
      <w:r w:rsidRPr="00BE5472">
        <w:rPr>
          <w:rFonts w:ascii="Times New Roman" w:hAnsi="Times New Roman" w:cs="Times New Roman"/>
          <w:sz w:val="24"/>
          <w:szCs w:val="24"/>
        </w:rPr>
        <w:t xml:space="preserve"> mega-poslov</w:t>
      </w:r>
      <w:r w:rsidR="00153579" w:rsidRPr="00BE5472">
        <w:rPr>
          <w:rFonts w:ascii="Times New Roman" w:hAnsi="Times New Roman" w:cs="Times New Roman"/>
          <w:sz w:val="24"/>
          <w:szCs w:val="24"/>
        </w:rPr>
        <w:t>nih transakcija</w:t>
      </w:r>
      <w:r w:rsidRPr="00BE5472">
        <w:rPr>
          <w:rFonts w:ascii="Times New Roman" w:hAnsi="Times New Roman" w:cs="Times New Roman"/>
          <w:sz w:val="24"/>
          <w:szCs w:val="24"/>
        </w:rPr>
        <w:t xml:space="preserve"> (definiranih kao bilo koji posao vrijedan više od milijarde dolara), što predstavlja pad od 41</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u usporedbi s 2022. godinom.</w:t>
      </w:r>
    </w:p>
    <w:p w14:paraId="6CCC322E" w14:textId="7683490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Europi je u 2020. godini, ukupno 291 hotela i više od 44.000 soba dobilo novu vlasničku strukturu, od čega je 153 hotela bilo u pojedinačnim transakcijama, a 138 je prodano kao dio portfeljskih poslova. Najveći iznos kapitala uložen je u Ujedinjeno Kraljevstvo, dok je Njemačka zabilježila drugi najviši volumen investicija. U Ujedinjenom Kraljevstvu je uloženo oko 2,1 milijardi eura/1,8 milijardi funti (24% ukupnog europskog volumena), dok je Njemačka primila </w:t>
      </w:r>
      <w:r w:rsidRPr="00BE5472">
        <w:rPr>
          <w:rFonts w:ascii="Times New Roman" w:hAnsi="Times New Roman" w:cs="Times New Roman"/>
          <w:sz w:val="24"/>
          <w:szCs w:val="24"/>
        </w:rPr>
        <w:lastRenderedPageBreak/>
        <w:t>1,7 milijardi eura (20</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ukupnog volumena). Pojedinačne transakcije hotela smanjile su se za 54</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u pogledu volumena prodaje u usporedbi s 2019. godinom, dok su volumeni portfelja smanjeni za 80</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Ukupno gledano, 65</w:t>
      </w:r>
      <w:r w:rsidR="000C441D" w:rsidRPr="00BE5472">
        <w:rPr>
          <w:rFonts w:ascii="Times New Roman" w:hAnsi="Times New Roman" w:cs="Times New Roman"/>
          <w:sz w:val="24"/>
          <w:szCs w:val="24"/>
        </w:rPr>
        <w:t xml:space="preserve"> </w:t>
      </w:r>
      <w:r w:rsidRPr="00BE5472">
        <w:rPr>
          <w:rFonts w:ascii="Times New Roman" w:hAnsi="Times New Roman" w:cs="Times New Roman"/>
          <w:sz w:val="24"/>
          <w:szCs w:val="24"/>
        </w:rPr>
        <w:t>% transakcija bilo su pojedinačne transakcije, u usporedbi s povijesnim omjerom od 55:45 pojedinačnih transakcija naspram portfelja (HVS, 2021).</w:t>
      </w:r>
    </w:p>
    <w:p w14:paraId="70ADFD74" w14:textId="0F2AFA4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Prosječna vrijednost spajanja i preuzimanja na globalnom tržištu luksuznih hotela značajno je fluktuirala od 2016. do 2022. godine, dosežući vrhunac 2016. godine</w:t>
      </w:r>
      <w:r w:rsidR="000C441D" w:rsidRPr="00BE5472">
        <w:rPr>
          <w:rFonts w:ascii="Times New Roman" w:hAnsi="Times New Roman" w:cs="Times New Roman"/>
          <w:sz w:val="24"/>
          <w:szCs w:val="24"/>
        </w:rPr>
        <w:t>,</w:t>
      </w:r>
      <w:r w:rsidRPr="00BE5472">
        <w:rPr>
          <w:rFonts w:ascii="Times New Roman" w:hAnsi="Times New Roman" w:cs="Times New Roman"/>
          <w:sz w:val="24"/>
          <w:szCs w:val="24"/>
        </w:rPr>
        <w:t xml:space="preserve"> kada je iznos sklopljenih transakcija iznosio 794 milijuna američkih dolara. Godine 2022. prosječna vrijednost po pojedinom postignutom dogovoru/</w:t>
      </w:r>
      <w:r w:rsidR="00F87611" w:rsidRPr="00BE5472">
        <w:rPr>
          <w:rFonts w:ascii="Times New Roman" w:hAnsi="Times New Roman" w:cs="Times New Roman"/>
          <w:sz w:val="24"/>
          <w:szCs w:val="24"/>
        </w:rPr>
        <w:t>transakciji</w:t>
      </w:r>
      <w:r w:rsidRPr="00BE5472">
        <w:rPr>
          <w:rFonts w:ascii="Times New Roman" w:hAnsi="Times New Roman" w:cs="Times New Roman"/>
          <w:sz w:val="24"/>
          <w:szCs w:val="24"/>
        </w:rPr>
        <w:t xml:space="preserve"> u segmentu luksuznih hotela iznosila je 106 milijuna američkih dolara, što predstavlja pad od 72 posto u odnosu na prethodnu godinu</w:t>
      </w:r>
      <w:r w:rsidR="000C441D"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se može vidjeti iz Prikaza </w:t>
      </w:r>
      <w:r w:rsidR="00B11EB4">
        <w:rPr>
          <w:rFonts w:ascii="Times New Roman" w:hAnsi="Times New Roman" w:cs="Times New Roman"/>
          <w:sz w:val="24"/>
          <w:szCs w:val="24"/>
        </w:rPr>
        <w:t>19</w:t>
      </w:r>
      <w:r w:rsidRPr="00BE5472">
        <w:rPr>
          <w:rFonts w:ascii="Times New Roman" w:hAnsi="Times New Roman" w:cs="Times New Roman"/>
          <w:sz w:val="24"/>
          <w:szCs w:val="24"/>
        </w:rPr>
        <w:t>.</w:t>
      </w:r>
    </w:p>
    <w:p w14:paraId="5DE136F6" w14:textId="5E2A6F54" w:rsidR="006E052A" w:rsidRPr="001B337F" w:rsidRDefault="001B337F" w:rsidP="001B337F">
      <w:pPr>
        <w:pStyle w:val="Caption"/>
        <w:rPr>
          <w:rFonts w:ascii="Times New Roman" w:hAnsi="Times New Roman" w:cs="Times New Roman"/>
          <w:sz w:val="24"/>
          <w:szCs w:val="24"/>
        </w:rPr>
      </w:pPr>
      <w:bookmarkStart w:id="125" w:name="_Toc241865287"/>
      <w:r w:rsidRPr="001B337F">
        <w:rPr>
          <w:rFonts w:ascii="Times New Roman" w:hAnsi="Times New Roman" w:cs="Times New Roman"/>
          <w:sz w:val="24"/>
          <w:szCs w:val="24"/>
        </w:rPr>
        <w:t xml:space="preserve">Prikaz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Prikaz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19</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Prosječna vrijednost transakcije/sklopljenog posla na tržištu luksuznih hotela diljem Svijeta od 2016. do 2022. (u milijunima US dolara)</w:t>
      </w:r>
      <w:bookmarkEnd w:id="125"/>
      <w:r w:rsidR="006E052A" w:rsidRPr="001B337F">
        <w:rPr>
          <w:rFonts w:ascii="Times New Roman" w:hAnsi="Times New Roman" w:cs="Times New Roman"/>
          <w:sz w:val="24"/>
          <w:szCs w:val="24"/>
        </w:rPr>
        <w:t xml:space="preserve">  </w:t>
      </w:r>
    </w:p>
    <w:p w14:paraId="240663E5"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noProof/>
          <w:kern w:val="2"/>
          <w:lang w:eastAsia="hr-HR"/>
          <w14:ligatures w14:val="standardContextual"/>
        </w:rPr>
        <w:drawing>
          <wp:inline distT="0" distB="0" distL="0" distR="0" wp14:anchorId="6937FABA" wp14:editId="239AB1ED">
            <wp:extent cx="5295900" cy="3105150"/>
            <wp:effectExtent l="0" t="0" r="0" b="0"/>
            <wp:docPr id="17" name="Grafikon 17">
              <a:extLst xmlns:a="http://schemas.openxmlformats.org/drawingml/2006/main">
                <a:ext uri="{FF2B5EF4-FFF2-40B4-BE49-F238E27FC236}">
                  <a16:creationId xmlns:a16="http://schemas.microsoft.com/office/drawing/2014/main" id="{A873B166-7CC1-4272-A01B-F10DAEDD3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4330A94" w14:textId="77777777"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Izvor: Prilagođeno prema: </w:t>
      </w:r>
      <w:bookmarkStart w:id="126" w:name="_Hlk161911745"/>
      <w:r w:rsidRPr="00BE5472">
        <w:rPr>
          <w:rFonts w:ascii="Times New Roman" w:hAnsi="Times New Roman" w:cs="Times New Roman"/>
          <w:bCs/>
          <w:sz w:val="24"/>
          <w:szCs w:val="24"/>
        </w:rPr>
        <w:t xml:space="preserve">Statista Research Department (2023). Average merger and acquisition deal value in the luxury hotel market worldwide from 2016 to 2022 (in million U.S. dollars). Dostupno na: </w:t>
      </w:r>
      <w:hyperlink r:id="rId63" w:history="1">
        <w:r w:rsidRPr="00BE5472">
          <w:rPr>
            <w:rFonts w:ascii="Times New Roman" w:hAnsi="Times New Roman" w:cs="Times New Roman"/>
            <w:bCs/>
            <w:color w:val="0563C1" w:themeColor="hyperlink"/>
            <w:sz w:val="24"/>
            <w:szCs w:val="24"/>
            <w:u w:val="single"/>
          </w:rPr>
          <w:t>https://www-statista-com.ezproxy.nsk.hr/statistics/1406839/luxury-hotel-market-average-manda-deal-value-worldwide/</w:t>
        </w:r>
      </w:hyperlink>
      <w:r w:rsidRPr="00BE5472">
        <w:rPr>
          <w:rFonts w:ascii="Times New Roman" w:hAnsi="Times New Roman" w:cs="Times New Roman"/>
          <w:bCs/>
          <w:sz w:val="24"/>
          <w:szCs w:val="24"/>
        </w:rPr>
        <w:t xml:space="preserve"> Pristupljeno: 21. ožujka 2023. </w:t>
      </w:r>
    </w:p>
    <w:bookmarkEnd w:id="126"/>
    <w:p w14:paraId="39FAB561" w14:textId="102650BF"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Hotelska poduzeća koja su osnovana još sredinom prošlog stoljeća u Hrvatskoj, odnosno Jugoslaviji, privatizirana su tijekom 90-ih godina također prošlog stoljeća </w:t>
      </w:r>
      <w:r w:rsidR="00F87611" w:rsidRPr="00BE5472">
        <w:rPr>
          <w:rFonts w:ascii="Times New Roman" w:hAnsi="Times New Roman" w:cs="Times New Roman"/>
          <w:bCs/>
          <w:sz w:val="24"/>
          <w:szCs w:val="24"/>
        </w:rPr>
        <w:t xml:space="preserve">na </w:t>
      </w:r>
      <w:r w:rsidRPr="00BE5472">
        <w:rPr>
          <w:rFonts w:ascii="Times New Roman" w:hAnsi="Times New Roman" w:cs="Times New Roman"/>
          <w:bCs/>
          <w:sz w:val="24"/>
          <w:szCs w:val="24"/>
        </w:rPr>
        <w:t>temelj</w:t>
      </w:r>
      <w:r w:rsidR="00F87611" w:rsidRPr="00BE5472">
        <w:rPr>
          <w:rFonts w:ascii="Times New Roman" w:hAnsi="Times New Roman" w:cs="Times New Roman"/>
          <w:bCs/>
          <w:sz w:val="24"/>
          <w:szCs w:val="24"/>
        </w:rPr>
        <w:t>u</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 xml:space="preserve">Zakona o </w:t>
      </w:r>
      <w:r w:rsidRPr="00BE5472">
        <w:rPr>
          <w:rFonts w:ascii="Times New Roman" w:hAnsi="Times New Roman" w:cs="Times New Roman"/>
          <w:bCs/>
          <w:i/>
          <w:sz w:val="24"/>
          <w:szCs w:val="24"/>
        </w:rPr>
        <w:lastRenderedPageBreak/>
        <w:t>pretvorbi društvenih poduzeća</w:t>
      </w:r>
      <w:r w:rsidRPr="00BE5472">
        <w:rPr>
          <w:rFonts w:ascii="Times New Roman" w:hAnsi="Times New Roman" w:cs="Times New Roman"/>
          <w:bCs/>
          <w:sz w:val="24"/>
          <w:szCs w:val="24"/>
        </w:rPr>
        <w:t xml:space="preserve"> (NN, 1991).  Procesom privatizacije nastala su dionička društva. Taj je zakon, kako tumači Poljanec – Borić (2004: 30), omogućio pristup vlasništvu svim elementima socijalne strukture na nekoliko načina: a) "preferencijalnim" otkupom za zaposlene i ranije zaposlene, b) pretvaranjem potraživanja u ulog i c) besplatnim prijenosom dionica državnim fondovima. Tako se vlasništvo razdijelilo na: male dioničare, banke i državne fondove, odnosno kasnije se dogodio prijenos vlasništva državnim fondovima i najjačim državnim bankama izuzev hotelskih poduzeća u Istri i na Lošinju</w:t>
      </w:r>
      <w:r w:rsidR="000C441D"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gdje su vlasništvo koncentrirali mali dioničari. Ovakva situacija nije pogodovala razvoju hotelskih poduzeća u tržišnom smislu pa se 1996. godine donosi novi Zakon o privatizaciji koji je omogućio prodaju dionica iz Hrvatskog fonda za privatizaciju po nižim cijenama i </w:t>
      </w:r>
      <w:r w:rsidR="000C441D" w:rsidRPr="00BE5472">
        <w:rPr>
          <w:rFonts w:ascii="Times New Roman" w:hAnsi="Times New Roman" w:cs="Times New Roman"/>
          <w:bCs/>
          <w:sz w:val="24"/>
          <w:szCs w:val="24"/>
        </w:rPr>
        <w:t>legalizaciju</w:t>
      </w:r>
      <w:r w:rsidRPr="00BE5472">
        <w:rPr>
          <w:rFonts w:ascii="Times New Roman" w:hAnsi="Times New Roman" w:cs="Times New Roman"/>
          <w:bCs/>
          <w:sz w:val="24"/>
          <w:szCs w:val="24"/>
        </w:rPr>
        <w:t xml:space="preserve"> tzv. kuponske privatizacije</w:t>
      </w:r>
      <w:r w:rsidRPr="00BE5472">
        <w:rPr>
          <w:rFonts w:ascii="Times New Roman" w:hAnsi="Times New Roman" w:cs="Times New Roman"/>
          <w:bCs/>
          <w:sz w:val="24"/>
          <w:szCs w:val="24"/>
          <w:vertAlign w:val="superscript"/>
        </w:rPr>
        <w:footnoteReference w:id="26"/>
      </w:r>
      <w:r w:rsidRPr="00BE5472">
        <w:rPr>
          <w:rFonts w:ascii="Times New Roman" w:hAnsi="Times New Roman" w:cs="Times New Roman"/>
          <w:bCs/>
          <w:sz w:val="24"/>
          <w:szCs w:val="24"/>
        </w:rPr>
        <w:t>. Sve aktivnosti vezane uz kuponsku privatizaciju pratilo je tadašnje Ministarstvo za privatizaciju, a unutar djelatnosti ugostiteljstva i turizma za kuponsku je privatizaciju bilo je predviđeno ukupno 79 poduzeća (Republika Hrvatska, Državni ured za reviziju 2002: 20)</w:t>
      </w:r>
      <w:r w:rsidR="000C441D"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čije su dionice bile iznadprosječno zastupljene. Time se otvorila mogućnost stvaranja nove vlasničke strukture privatizacijsko-investicijskih fondova. Hrvatska hotelska poduzeća krajem 1997. godine obilježavala je sljedeća vlasnička struktura (HFP 2002 u: Lončar 2004: 89): hrvatski fond za privatizaciju</w:t>
      </w:r>
      <w:r w:rsidRPr="00BE5472">
        <w:rPr>
          <w:rFonts w:ascii="Times New Roman" w:hAnsi="Times New Roman" w:cs="Times New Roman"/>
          <w:bCs/>
          <w:sz w:val="24"/>
          <w:szCs w:val="24"/>
          <w:vertAlign w:val="superscript"/>
        </w:rPr>
        <w:footnoteReference w:id="27"/>
      </w:r>
      <w:r w:rsidRPr="00BE5472">
        <w:rPr>
          <w:rFonts w:ascii="Times New Roman" w:hAnsi="Times New Roman" w:cs="Times New Roman"/>
          <w:bCs/>
          <w:sz w:val="24"/>
          <w:szCs w:val="24"/>
        </w:rPr>
        <w:t xml:space="preserve"> (36%); poslovne banke (25%); PIF-ovi (14%); privatni vlasnici (25%). Primjerice, nakon privatizacije </w:t>
      </w:r>
      <w:r w:rsidRPr="00BE5472">
        <w:rPr>
          <w:rFonts w:ascii="Times New Roman" w:hAnsi="Times New Roman" w:cs="Times New Roman"/>
          <w:bCs/>
          <w:i/>
          <w:iCs/>
          <w:sz w:val="24"/>
          <w:szCs w:val="24"/>
        </w:rPr>
        <w:t>Dom fond</w:t>
      </w:r>
      <w:r w:rsidRPr="00BE5472">
        <w:rPr>
          <w:rFonts w:ascii="Times New Roman" w:hAnsi="Times New Roman" w:cs="Times New Roman"/>
          <w:bCs/>
          <w:sz w:val="24"/>
          <w:szCs w:val="24"/>
        </w:rPr>
        <w:t xml:space="preserve"> je preuzeo hotelsko poduzeće </w:t>
      </w:r>
      <w:r w:rsidRPr="00BE5472">
        <w:rPr>
          <w:rFonts w:ascii="Times New Roman" w:hAnsi="Times New Roman" w:cs="Times New Roman"/>
          <w:bCs/>
          <w:i/>
          <w:iCs/>
          <w:sz w:val="24"/>
          <w:szCs w:val="24"/>
        </w:rPr>
        <w:t>Rivieru</w:t>
      </w:r>
      <w:r w:rsidRPr="00BE5472">
        <w:rPr>
          <w:rFonts w:ascii="Times New Roman" w:hAnsi="Times New Roman" w:cs="Times New Roman"/>
          <w:bCs/>
          <w:sz w:val="24"/>
          <w:szCs w:val="24"/>
        </w:rPr>
        <w:t xml:space="preserve"> i druga turistička poduzeća. Dogodilo se to u razdoblju između 1991. i 1999. godine.Ono što se primjećuje jest da se u većini slučajeva društveno vlasništvo pretvorilo u državno. </w:t>
      </w:r>
    </w:p>
    <w:p w14:paraId="620D164A" w14:textId="019494F5"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Od 1998./1999. godine nadalje, vlasnici hotelskih poduzeća (u načelu država) započeli su s prodajom svojih udjela i time otvorili vrata investitorima u hrvatsko hotelijerstvo, domaćim i stranim. Ovime započinje novi ciklus razvoja hrvatskog hotelijerstva. Od značajnijih promjena kod velikih hotelskih poduzeća istaknut će se </w:t>
      </w:r>
      <w:r w:rsidRPr="00BE5472">
        <w:rPr>
          <w:rFonts w:ascii="Times New Roman" w:hAnsi="Times New Roman" w:cs="Times New Roman"/>
          <w:bCs/>
          <w:i/>
          <w:iCs/>
          <w:sz w:val="24"/>
          <w:szCs w:val="24"/>
        </w:rPr>
        <w:t>Plava laguna</w:t>
      </w:r>
      <w:r w:rsidRPr="00BE5472">
        <w:rPr>
          <w:rFonts w:ascii="Times New Roman" w:hAnsi="Times New Roman" w:cs="Times New Roman"/>
          <w:bCs/>
          <w:sz w:val="24"/>
          <w:szCs w:val="24"/>
        </w:rPr>
        <w:t xml:space="preserve"> koja je 2000. godine dobila nove većinske vlasnike. Putem društva </w:t>
      </w:r>
      <w:r w:rsidRPr="00BE5472">
        <w:rPr>
          <w:rFonts w:ascii="Times New Roman" w:hAnsi="Times New Roman" w:cs="Times New Roman"/>
          <w:bCs/>
          <w:i/>
          <w:iCs/>
          <w:sz w:val="24"/>
          <w:szCs w:val="24"/>
        </w:rPr>
        <w:t>Sutivan investements Anstalt Luksic</w:t>
      </w:r>
      <w:r w:rsidRPr="00BE5472">
        <w:rPr>
          <w:rFonts w:ascii="Times New Roman" w:hAnsi="Times New Roman" w:cs="Times New Roman"/>
          <w:bCs/>
          <w:sz w:val="24"/>
          <w:szCs w:val="24"/>
        </w:rPr>
        <w:t xml:space="preserve"> grupa stječe većinski udio u </w:t>
      </w:r>
      <w:r w:rsidRPr="00BE5472">
        <w:rPr>
          <w:rFonts w:ascii="Times New Roman" w:hAnsi="Times New Roman" w:cs="Times New Roman"/>
          <w:bCs/>
          <w:i/>
          <w:iCs/>
          <w:sz w:val="24"/>
          <w:szCs w:val="24"/>
        </w:rPr>
        <w:t>Plavoj laguni</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Riviera Poreč</w:t>
      </w:r>
      <w:r w:rsidRPr="00BE5472">
        <w:rPr>
          <w:rFonts w:ascii="Times New Roman" w:hAnsi="Times New Roman" w:cs="Times New Roman"/>
          <w:bCs/>
          <w:sz w:val="24"/>
          <w:szCs w:val="24"/>
        </w:rPr>
        <w:t xml:space="preserve"> je pretvorena u dioničko društvo 1993. godine. To je poduzeće </w:t>
      </w:r>
      <w:r w:rsidRPr="00BE5472">
        <w:rPr>
          <w:rFonts w:ascii="Times New Roman" w:hAnsi="Times New Roman" w:cs="Times New Roman"/>
          <w:bCs/>
          <w:sz w:val="24"/>
          <w:szCs w:val="24"/>
        </w:rPr>
        <w:lastRenderedPageBreak/>
        <w:t xml:space="preserve">također prošlo fazu kuponske privatizacije kada su novi vlasnici poduzeća postali </w:t>
      </w:r>
      <w:r w:rsidRPr="00BE5472">
        <w:rPr>
          <w:rFonts w:ascii="Times New Roman" w:hAnsi="Times New Roman" w:cs="Times New Roman"/>
          <w:bCs/>
          <w:i/>
          <w:iCs/>
          <w:sz w:val="24"/>
          <w:szCs w:val="24"/>
        </w:rPr>
        <w:t>Dom</w:t>
      </w:r>
      <w:r w:rsidRPr="00BE5472">
        <w:rPr>
          <w:rFonts w:ascii="Times New Roman" w:hAnsi="Times New Roman" w:cs="Times New Roman"/>
          <w:bCs/>
          <w:sz w:val="24"/>
          <w:szCs w:val="24"/>
        </w:rPr>
        <w:t xml:space="preserve"> i </w:t>
      </w:r>
      <w:r w:rsidRPr="00BE5472">
        <w:rPr>
          <w:rFonts w:ascii="Times New Roman" w:hAnsi="Times New Roman" w:cs="Times New Roman"/>
          <w:bCs/>
          <w:i/>
          <w:iCs/>
          <w:sz w:val="24"/>
          <w:szCs w:val="24"/>
        </w:rPr>
        <w:t>SN Holding</w:t>
      </w:r>
      <w:r w:rsidRPr="00BE5472">
        <w:rPr>
          <w:rFonts w:ascii="Times New Roman" w:hAnsi="Times New Roman" w:cs="Times New Roman"/>
          <w:bCs/>
          <w:sz w:val="24"/>
          <w:szCs w:val="24"/>
        </w:rPr>
        <w:t xml:space="preserve"> sa svojim austrijskim partnerima (Poreština.info 2008). Od 2000. do 2004. godine poduzeće prolazi kroz veće restrukturiranje. Poduzeće </w:t>
      </w:r>
      <w:r w:rsidRPr="00BE5472">
        <w:rPr>
          <w:rFonts w:ascii="Times New Roman" w:hAnsi="Times New Roman" w:cs="Times New Roman"/>
          <w:bCs/>
          <w:i/>
          <w:iCs/>
          <w:sz w:val="24"/>
          <w:szCs w:val="24"/>
        </w:rPr>
        <w:t>Riviera Adria</w:t>
      </w:r>
      <w:r w:rsidRPr="00BE5472">
        <w:rPr>
          <w:rFonts w:ascii="Times New Roman" w:hAnsi="Times New Roman" w:cs="Times New Roman"/>
          <w:bCs/>
          <w:sz w:val="24"/>
          <w:szCs w:val="24"/>
        </w:rPr>
        <w:t xml:space="preserve"> nastaje 2011. godine. Iste godine </w:t>
      </w:r>
      <w:r w:rsidRPr="00BE5472">
        <w:rPr>
          <w:rFonts w:ascii="Times New Roman" w:hAnsi="Times New Roman" w:cs="Times New Roman"/>
          <w:bCs/>
          <w:i/>
          <w:iCs/>
          <w:sz w:val="24"/>
          <w:szCs w:val="24"/>
        </w:rPr>
        <w:t>Rabac</w:t>
      </w:r>
      <w:r w:rsidRPr="00BE5472">
        <w:rPr>
          <w:rFonts w:ascii="Times New Roman" w:hAnsi="Times New Roman" w:cs="Times New Roman"/>
          <w:bCs/>
          <w:sz w:val="24"/>
          <w:szCs w:val="24"/>
        </w:rPr>
        <w:t xml:space="preserve"> d.d. i </w:t>
      </w:r>
      <w:r w:rsidRPr="00BE5472">
        <w:rPr>
          <w:rFonts w:ascii="Times New Roman" w:hAnsi="Times New Roman" w:cs="Times New Roman"/>
          <w:bCs/>
          <w:i/>
          <w:iCs/>
          <w:sz w:val="24"/>
          <w:szCs w:val="24"/>
        </w:rPr>
        <w:t>Zlatni otok</w:t>
      </w:r>
      <w:r w:rsidRPr="00BE5472">
        <w:rPr>
          <w:rFonts w:ascii="Times New Roman" w:hAnsi="Times New Roman" w:cs="Times New Roman"/>
          <w:bCs/>
          <w:sz w:val="24"/>
          <w:szCs w:val="24"/>
        </w:rPr>
        <w:t xml:space="preserve"> d.d. su pripojeni poduzeću </w:t>
      </w:r>
      <w:r w:rsidRPr="00BE5472">
        <w:rPr>
          <w:rFonts w:ascii="Times New Roman" w:hAnsi="Times New Roman" w:cs="Times New Roman"/>
          <w:bCs/>
          <w:i/>
          <w:iCs/>
          <w:sz w:val="24"/>
          <w:szCs w:val="24"/>
        </w:rPr>
        <w:t>Rivieri Adria.</w:t>
      </w:r>
      <w:r w:rsidRPr="00BE5472">
        <w:rPr>
          <w:rFonts w:ascii="Times New Roman" w:hAnsi="Times New Roman" w:cs="Times New Roman"/>
          <w:bCs/>
          <w:sz w:val="24"/>
          <w:szCs w:val="24"/>
        </w:rPr>
        <w:t xml:space="preserve"> 2013. godine pripaja se i </w:t>
      </w:r>
      <w:r w:rsidRPr="00BE5472">
        <w:rPr>
          <w:rFonts w:ascii="Times New Roman" w:hAnsi="Times New Roman" w:cs="Times New Roman"/>
          <w:bCs/>
          <w:i/>
          <w:iCs/>
          <w:sz w:val="24"/>
          <w:szCs w:val="24"/>
        </w:rPr>
        <w:t>Dubrovnik-Babin kuk</w:t>
      </w:r>
      <w:r w:rsidRPr="00BE5472">
        <w:rPr>
          <w:rFonts w:ascii="Times New Roman" w:hAnsi="Times New Roman" w:cs="Times New Roman"/>
          <w:bCs/>
          <w:sz w:val="24"/>
          <w:szCs w:val="24"/>
        </w:rPr>
        <w:t xml:space="preserve"> d.d.</w:t>
      </w:r>
      <w:r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i/>
          <w:kern w:val="2"/>
          <w:sz w:val="24"/>
          <w:szCs w:val="24"/>
          <w14:ligatures w14:val="standardContextual"/>
        </w:rPr>
        <w:t xml:space="preserve">Ugovorom o pripajanju </w:t>
      </w:r>
      <w:r w:rsidRPr="00BE5472">
        <w:rPr>
          <w:rFonts w:ascii="Times New Roman" w:hAnsi="Times New Roman" w:cs="Times New Roman"/>
          <w:bCs/>
          <w:i/>
          <w:iCs/>
          <w:sz w:val="24"/>
          <w:szCs w:val="24"/>
        </w:rPr>
        <w:t>Valamar grupe</w:t>
      </w:r>
      <w:r w:rsidRPr="00BE5472">
        <w:rPr>
          <w:rFonts w:ascii="Times New Roman" w:hAnsi="Times New Roman" w:cs="Times New Roman"/>
          <w:bCs/>
          <w:sz w:val="24"/>
          <w:szCs w:val="24"/>
        </w:rPr>
        <w:t xml:space="preserve"> i </w:t>
      </w:r>
      <w:r w:rsidRPr="00BE5472">
        <w:rPr>
          <w:rFonts w:ascii="Times New Roman" w:hAnsi="Times New Roman" w:cs="Times New Roman"/>
          <w:bCs/>
          <w:i/>
          <w:iCs/>
          <w:sz w:val="24"/>
          <w:szCs w:val="24"/>
        </w:rPr>
        <w:t xml:space="preserve">Valamar Adria holdinga </w:t>
      </w:r>
      <w:r w:rsidRPr="00BE5472">
        <w:rPr>
          <w:rFonts w:ascii="Times New Roman" w:hAnsi="Times New Roman" w:cs="Times New Roman"/>
          <w:bCs/>
          <w:sz w:val="24"/>
          <w:szCs w:val="24"/>
        </w:rPr>
        <w:t xml:space="preserve">društvu </w:t>
      </w:r>
      <w:r w:rsidRPr="00BE5472">
        <w:rPr>
          <w:rFonts w:ascii="Times New Roman" w:hAnsi="Times New Roman" w:cs="Times New Roman"/>
          <w:bCs/>
          <w:i/>
          <w:iCs/>
          <w:sz w:val="24"/>
          <w:szCs w:val="24"/>
        </w:rPr>
        <w:t>Riviera Adriji</w:t>
      </w:r>
      <w:r w:rsidR="000E5336" w:rsidRPr="00BE5472">
        <w:rPr>
          <w:rFonts w:ascii="Times New Roman" w:hAnsi="Times New Roman" w:cs="Times New Roman"/>
          <w:bCs/>
          <w:i/>
          <w:iCs/>
          <w:sz w:val="24"/>
          <w:szCs w:val="24"/>
        </w:rPr>
        <w:t>,</w:t>
      </w:r>
      <w:r w:rsidRPr="00BE5472">
        <w:rPr>
          <w:rFonts w:ascii="Times New Roman" w:hAnsi="Times New Roman" w:cs="Times New Roman"/>
          <w:bCs/>
          <w:sz w:val="24"/>
          <w:szCs w:val="24"/>
        </w:rPr>
        <w:t xml:space="preserve"> čime nastaje današnje poduzeće </w:t>
      </w:r>
      <w:r w:rsidRPr="00BE5472">
        <w:rPr>
          <w:rFonts w:ascii="Times New Roman" w:hAnsi="Times New Roman" w:cs="Times New Roman"/>
          <w:bCs/>
          <w:i/>
          <w:iCs/>
          <w:sz w:val="24"/>
          <w:szCs w:val="24"/>
        </w:rPr>
        <w:t>Valamar Riviera</w:t>
      </w:r>
      <w:r w:rsidRPr="00BE5472">
        <w:rPr>
          <w:rFonts w:ascii="Times New Roman" w:hAnsi="Times New Roman" w:cs="Times New Roman"/>
          <w:bCs/>
          <w:sz w:val="24"/>
          <w:szCs w:val="24"/>
        </w:rPr>
        <w:t xml:space="preserve"> d.d. Spajanjem</w:t>
      </w:r>
      <w:r w:rsidRPr="00BE5472">
        <w:rPr>
          <w:rFonts w:ascii="Times New Roman" w:hAnsi="Times New Roman" w:cs="Times New Roman"/>
          <w:bCs/>
          <w:i/>
          <w:iCs/>
          <w:sz w:val="24"/>
          <w:szCs w:val="24"/>
        </w:rPr>
        <w:t xml:space="preserve"> Jadran-turista</w:t>
      </w:r>
      <w:r w:rsidRPr="00BE5472">
        <w:rPr>
          <w:rFonts w:ascii="Times New Roman" w:hAnsi="Times New Roman" w:cs="Times New Roman"/>
          <w:bCs/>
          <w:sz w:val="24"/>
          <w:szCs w:val="24"/>
        </w:rPr>
        <w:t xml:space="preserve"> d.d. iz Rovinja i poduzeće </w:t>
      </w:r>
      <w:r w:rsidRPr="00BE5472">
        <w:rPr>
          <w:rFonts w:ascii="Times New Roman" w:hAnsi="Times New Roman" w:cs="Times New Roman"/>
          <w:bCs/>
          <w:i/>
          <w:iCs/>
          <w:sz w:val="24"/>
          <w:szCs w:val="24"/>
        </w:rPr>
        <w:t>Anite</w:t>
      </w:r>
      <w:r w:rsidRPr="00BE5472">
        <w:rPr>
          <w:rFonts w:ascii="Times New Roman" w:hAnsi="Times New Roman" w:cs="Times New Roman"/>
          <w:bCs/>
          <w:sz w:val="24"/>
          <w:szCs w:val="24"/>
        </w:rPr>
        <w:t xml:space="preserve"> d.d. iz Vrsara nastaje današnja rovinjska </w:t>
      </w:r>
      <w:r w:rsidRPr="00BE5472">
        <w:rPr>
          <w:rFonts w:ascii="Times New Roman" w:hAnsi="Times New Roman" w:cs="Times New Roman"/>
          <w:bCs/>
          <w:i/>
          <w:iCs/>
          <w:sz w:val="24"/>
          <w:szCs w:val="24"/>
        </w:rPr>
        <w:t>Maistra</w:t>
      </w:r>
      <w:r w:rsidRPr="00BE5472">
        <w:rPr>
          <w:rFonts w:ascii="Times New Roman" w:hAnsi="Times New Roman" w:cs="Times New Roman"/>
          <w:bCs/>
          <w:sz w:val="24"/>
          <w:szCs w:val="24"/>
        </w:rPr>
        <w:t xml:space="preserve"> koja posluje u sastavu </w:t>
      </w:r>
      <w:r w:rsidRPr="00BE5472">
        <w:rPr>
          <w:rFonts w:ascii="Times New Roman" w:hAnsi="Times New Roman" w:cs="Times New Roman"/>
          <w:bCs/>
          <w:i/>
          <w:iCs/>
          <w:sz w:val="24"/>
          <w:szCs w:val="24"/>
        </w:rPr>
        <w:t>Adris grupe</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Maistra</w:t>
      </w:r>
      <w:r w:rsidRPr="00BE5472">
        <w:rPr>
          <w:rFonts w:ascii="Times New Roman" w:hAnsi="Times New Roman" w:cs="Times New Roman"/>
          <w:bCs/>
          <w:sz w:val="24"/>
          <w:szCs w:val="24"/>
        </w:rPr>
        <w:t xml:space="preserve"> bez dat.). </w:t>
      </w:r>
    </w:p>
    <w:p w14:paraId="2B1CFCBC" w14:textId="311F4150"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Hrvatski fond za privatizaciju (u daljnjem tekstu: HFP) 2005. godine putem javnih natječaja prodao većinski dionički paketi više državnih hotelska poduzeća, a sveukupna vrijednost te prodaje iznosila je 267,4 milijuna kuna.</w:t>
      </w:r>
      <w:r w:rsidRPr="00BE5472">
        <w:rPr>
          <w:rFonts w:ascii="Times New Roman" w:hAnsi="Times New Roman" w:cs="Times New Roman"/>
          <w:kern w:val="2"/>
          <w:sz w:val="24"/>
          <w:szCs w:val="24"/>
          <w14:ligatures w14:val="standardContextual"/>
        </w:rPr>
        <w:t xml:space="preserve"> Istaknut će se prodaja hotelskog poduzeća </w:t>
      </w:r>
      <w:r w:rsidRPr="00BE5472">
        <w:rPr>
          <w:rFonts w:ascii="Times New Roman" w:hAnsi="Times New Roman" w:cs="Times New Roman"/>
          <w:bCs/>
          <w:i/>
          <w:iCs/>
          <w:sz w:val="24"/>
          <w:szCs w:val="24"/>
        </w:rPr>
        <w:t>Sunčani Hvar</w:t>
      </w:r>
      <w:r w:rsidRPr="00BE5472">
        <w:rPr>
          <w:rFonts w:ascii="Times New Roman" w:hAnsi="Times New Roman" w:cs="Times New Roman"/>
          <w:bCs/>
          <w:sz w:val="24"/>
          <w:szCs w:val="24"/>
        </w:rPr>
        <w:t xml:space="preserve"> koja je započela 2004. godine. Tu je po prvi puta u Hrvatskoj primijenjen model javno-privatnog partnerstva (JPP), a partner državi je postalo je </w:t>
      </w:r>
      <w:r w:rsidR="00F87611" w:rsidRPr="00BE5472">
        <w:rPr>
          <w:rFonts w:ascii="Times New Roman" w:hAnsi="Times New Roman" w:cs="Times New Roman"/>
          <w:bCs/>
          <w:sz w:val="24"/>
          <w:szCs w:val="24"/>
        </w:rPr>
        <w:t>poduzeće</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Orco Hotel Group</w:t>
      </w:r>
      <w:r w:rsidRPr="00BE5472">
        <w:rPr>
          <w:rFonts w:ascii="Times New Roman" w:hAnsi="Times New Roman" w:cs="Times New Roman"/>
          <w:bCs/>
          <w:sz w:val="24"/>
          <w:szCs w:val="24"/>
        </w:rPr>
        <w:t xml:space="preserve"> iz Luksemburga. HFP je također dva većinska dionička pakete hotelskih poduzeća prodao na burzi putem javnih dražbi, i to 69,62 posto dionica </w:t>
      </w:r>
      <w:r w:rsidRPr="00BE5472">
        <w:rPr>
          <w:rFonts w:ascii="Times New Roman" w:hAnsi="Times New Roman" w:cs="Times New Roman"/>
          <w:bCs/>
          <w:i/>
          <w:iCs/>
          <w:sz w:val="24"/>
          <w:szCs w:val="24"/>
        </w:rPr>
        <w:t>Hotela Omišalj</w:t>
      </w:r>
      <w:r w:rsidRPr="00BE5472">
        <w:rPr>
          <w:rFonts w:ascii="Times New Roman" w:hAnsi="Times New Roman" w:cs="Times New Roman"/>
          <w:bCs/>
          <w:sz w:val="24"/>
          <w:szCs w:val="24"/>
        </w:rPr>
        <w:t xml:space="preserve"> za 3,4 milijuna kuna te 89,41 posto dionica </w:t>
      </w:r>
      <w:r w:rsidRPr="00BE5472">
        <w:rPr>
          <w:rFonts w:ascii="Times New Roman" w:hAnsi="Times New Roman" w:cs="Times New Roman"/>
          <w:bCs/>
          <w:i/>
          <w:iCs/>
          <w:sz w:val="24"/>
          <w:szCs w:val="24"/>
        </w:rPr>
        <w:t>Lovora</w:t>
      </w:r>
      <w:r w:rsidRPr="00BE5472">
        <w:rPr>
          <w:rFonts w:ascii="Times New Roman" w:hAnsi="Times New Roman" w:cs="Times New Roman"/>
          <w:bCs/>
          <w:sz w:val="24"/>
          <w:szCs w:val="24"/>
        </w:rPr>
        <w:t xml:space="preserve"> iz Lumbarde za 784.880 kuna (Ministarstvo mora, prometa i infrastrukture bez dat.).</w:t>
      </w:r>
      <w:r w:rsidRPr="00BE5472">
        <w:rPr>
          <w:rFonts w:ascii="Times New Roman" w:hAnsi="Times New Roman" w:cs="Times New Roman"/>
          <w:b/>
          <w:bCs/>
          <w:color w:val="404040"/>
          <w:kern w:val="2"/>
          <w:sz w:val="30"/>
          <w:szCs w:val="30"/>
          <w14:ligatures w14:val="standardContextual"/>
        </w:rPr>
        <w:t xml:space="preserve"> </w:t>
      </w:r>
      <w:r w:rsidRPr="00BE5472">
        <w:rPr>
          <w:rFonts w:ascii="Times New Roman" w:hAnsi="Times New Roman" w:cs="Times New Roman"/>
          <w:bCs/>
          <w:color w:val="404040"/>
          <w:kern w:val="2"/>
          <w:sz w:val="24"/>
          <w:szCs w:val="24"/>
          <w14:ligatures w14:val="standardContextual"/>
        </w:rPr>
        <w:t>HFP</w:t>
      </w:r>
      <w:r w:rsidRPr="00BE5472">
        <w:rPr>
          <w:rFonts w:ascii="Times New Roman" w:hAnsi="Times New Roman" w:cs="Times New Roman"/>
          <w:b/>
          <w:bCs/>
          <w:color w:val="404040"/>
          <w:kern w:val="2"/>
          <w:sz w:val="30"/>
          <w:szCs w:val="30"/>
          <w14:ligatures w14:val="standardContextual"/>
        </w:rPr>
        <w:t xml:space="preserve"> </w:t>
      </w:r>
      <w:r w:rsidRPr="00BE5472">
        <w:rPr>
          <w:rFonts w:ascii="Times New Roman" w:hAnsi="Times New Roman" w:cs="Times New Roman"/>
          <w:bCs/>
          <w:sz w:val="24"/>
          <w:szCs w:val="24"/>
        </w:rPr>
        <w:t xml:space="preserve">je 2009. godine raspisao javne natječaje za privatizaciju pet hotelskih tvrtki i to: </w:t>
      </w:r>
      <w:r w:rsidRPr="00BE5472">
        <w:rPr>
          <w:rFonts w:ascii="Times New Roman" w:hAnsi="Times New Roman" w:cs="Times New Roman"/>
          <w:bCs/>
          <w:i/>
          <w:iCs/>
          <w:sz w:val="24"/>
          <w:szCs w:val="24"/>
        </w:rPr>
        <w:t>Živogošće</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Hoteli Podgora</w:t>
      </w:r>
      <w:r w:rsidRPr="00BE5472">
        <w:rPr>
          <w:rFonts w:ascii="Times New Roman" w:hAnsi="Times New Roman" w:cs="Times New Roman"/>
          <w:bCs/>
          <w:sz w:val="24"/>
          <w:szCs w:val="24"/>
        </w:rPr>
        <w:t xml:space="preserve">, HTP </w:t>
      </w:r>
      <w:r w:rsidRPr="00BE5472">
        <w:rPr>
          <w:rFonts w:ascii="Times New Roman" w:hAnsi="Times New Roman" w:cs="Times New Roman"/>
          <w:bCs/>
          <w:i/>
          <w:iCs/>
          <w:sz w:val="24"/>
          <w:szCs w:val="24"/>
        </w:rPr>
        <w:t>Korčula, Hoteli Medena</w:t>
      </w:r>
      <w:r w:rsidRPr="00BE5472">
        <w:rPr>
          <w:rFonts w:ascii="Times New Roman" w:hAnsi="Times New Roman" w:cs="Times New Roman"/>
          <w:bCs/>
          <w:sz w:val="24"/>
          <w:szCs w:val="24"/>
        </w:rPr>
        <w:t xml:space="preserve"> i </w:t>
      </w:r>
      <w:r w:rsidRPr="00BE5472">
        <w:rPr>
          <w:rFonts w:ascii="Times New Roman" w:hAnsi="Times New Roman" w:cs="Times New Roman"/>
          <w:bCs/>
          <w:i/>
          <w:iCs/>
          <w:sz w:val="24"/>
          <w:szCs w:val="24"/>
        </w:rPr>
        <w:t>Modra Špilja</w:t>
      </w:r>
      <w:r w:rsidRPr="00BE5472">
        <w:rPr>
          <w:rFonts w:ascii="Times New Roman" w:hAnsi="Times New Roman" w:cs="Times New Roman"/>
          <w:bCs/>
          <w:sz w:val="24"/>
          <w:szCs w:val="24"/>
        </w:rPr>
        <w:t xml:space="preserve"> (Ministarstvo turizma i sporta 2009). Ministarstvo turizma Republike Hrvatske također se uključilo u posredovanje prodaje hotelskih poduzeća u kojima država ima svoje udjele. Postupak je provodila Agencija za upravljanje državnom imovinom (AUDIO). Tako je 2012. godine objavljen opsežan Katalog investicijskih projekata s detaljnim informacijama o trgovačkim društvima u većinskom državnom vlasništvu. U Katalogu investicijskih projekata izdvojena su brojna turistička poduzeća</w:t>
      </w:r>
      <w:r w:rsidRPr="00BE5472">
        <w:rPr>
          <w:rFonts w:ascii="Times New Roman" w:hAnsi="Times New Roman" w:cs="Times New Roman"/>
          <w:bCs/>
          <w:sz w:val="24"/>
          <w:szCs w:val="24"/>
          <w:vertAlign w:val="superscript"/>
        </w:rPr>
        <w:footnoteReference w:id="28"/>
      </w:r>
      <w:r w:rsidRPr="00BE5472">
        <w:rPr>
          <w:rFonts w:ascii="Times New Roman" w:hAnsi="Times New Roman" w:cs="Times New Roman"/>
          <w:bCs/>
          <w:sz w:val="24"/>
          <w:szCs w:val="24"/>
        </w:rPr>
        <w:t xml:space="preserve"> (PoslovniPlus 2012). U državnom su se portfelju našla i brojna posrnula hotelska poduzeća koja su se godinama neuspješno prodavala zbog neriješenih imovinsko-pravnih problema, a često se radilo i o vojnoj imovini. Za njih 11 je 2012. godine pokrenuta je predstečajna nagodba– ZRC </w:t>
      </w:r>
      <w:r w:rsidRPr="00BE5472">
        <w:rPr>
          <w:rFonts w:ascii="Times New Roman" w:hAnsi="Times New Roman" w:cs="Times New Roman"/>
          <w:bCs/>
          <w:i/>
          <w:iCs/>
          <w:sz w:val="24"/>
          <w:szCs w:val="24"/>
        </w:rPr>
        <w:t>Lipik</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 xml:space="preserve">Bizovačke </w:t>
      </w:r>
      <w:r w:rsidRPr="00BE5472">
        <w:rPr>
          <w:rFonts w:ascii="Times New Roman" w:hAnsi="Times New Roman" w:cs="Times New Roman"/>
          <w:bCs/>
          <w:i/>
          <w:iCs/>
          <w:sz w:val="24"/>
          <w:szCs w:val="24"/>
        </w:rPr>
        <w:lastRenderedPageBreak/>
        <w:t>toplice</w:t>
      </w:r>
      <w:r w:rsidRPr="00BE5472">
        <w:rPr>
          <w:rFonts w:ascii="Times New Roman" w:hAnsi="Times New Roman" w:cs="Times New Roman"/>
          <w:bCs/>
          <w:sz w:val="24"/>
          <w:szCs w:val="24"/>
        </w:rPr>
        <w:t xml:space="preserve">, HTP </w:t>
      </w:r>
      <w:r w:rsidRPr="00BE5472">
        <w:rPr>
          <w:rFonts w:ascii="Times New Roman" w:hAnsi="Times New Roman" w:cs="Times New Roman"/>
          <w:bCs/>
          <w:i/>
          <w:iCs/>
          <w:sz w:val="24"/>
          <w:szCs w:val="24"/>
        </w:rPr>
        <w:t>Korčula</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Hoteli Podgora, Hoteli Živogošće, Hotel Medena, Vranjica Belvedere, Hoteli Plat, Dalma</w:t>
      </w:r>
      <w:r w:rsidRPr="00BE5472">
        <w:rPr>
          <w:rFonts w:ascii="Times New Roman" w:hAnsi="Times New Roman" w:cs="Times New Roman"/>
          <w:bCs/>
          <w:sz w:val="24"/>
          <w:szCs w:val="24"/>
        </w:rPr>
        <w:t xml:space="preserve">, HOC </w:t>
      </w:r>
      <w:r w:rsidRPr="00BE5472">
        <w:rPr>
          <w:rFonts w:ascii="Times New Roman" w:hAnsi="Times New Roman" w:cs="Times New Roman"/>
          <w:bCs/>
          <w:i/>
          <w:iCs/>
          <w:sz w:val="24"/>
          <w:szCs w:val="24"/>
        </w:rPr>
        <w:t>Bjelolasica</w:t>
      </w:r>
      <w:r w:rsidRPr="00BE5472">
        <w:rPr>
          <w:rFonts w:ascii="Times New Roman" w:hAnsi="Times New Roman" w:cs="Times New Roman"/>
          <w:bCs/>
          <w:sz w:val="24"/>
          <w:szCs w:val="24"/>
        </w:rPr>
        <w:t xml:space="preserve"> i HTP </w:t>
      </w:r>
      <w:r w:rsidRPr="00BE5472">
        <w:rPr>
          <w:rFonts w:ascii="Times New Roman" w:hAnsi="Times New Roman" w:cs="Times New Roman"/>
          <w:bCs/>
          <w:i/>
          <w:iCs/>
          <w:sz w:val="24"/>
          <w:szCs w:val="24"/>
        </w:rPr>
        <w:t>Orebić</w:t>
      </w:r>
      <w:r w:rsidRPr="00BE5472">
        <w:rPr>
          <w:rFonts w:ascii="Times New Roman" w:hAnsi="Times New Roman" w:cs="Times New Roman"/>
          <w:bCs/>
          <w:sz w:val="24"/>
          <w:szCs w:val="24"/>
        </w:rPr>
        <w:t xml:space="preserve"> (Juričić Bukarica, 2013). Neka su hotelska poduzeća tako dobila nove vlasnike, a uslijedio je i val restrukturiranja poduzeća. Nadalje, bilo je i slučajeva kupovine hotelskih poduzeća na javnoj dražbi. Kao primjer se daje hotelsko poduzeće </w:t>
      </w:r>
      <w:r w:rsidRPr="00BE5472">
        <w:rPr>
          <w:rFonts w:ascii="Times New Roman" w:hAnsi="Times New Roman" w:cs="Times New Roman"/>
          <w:bCs/>
          <w:i/>
          <w:iCs/>
          <w:sz w:val="24"/>
          <w:szCs w:val="24"/>
        </w:rPr>
        <w:t>Hoteli Koločep</w:t>
      </w:r>
      <w:r w:rsidRPr="00BE5472">
        <w:rPr>
          <w:rFonts w:ascii="Times New Roman" w:hAnsi="Times New Roman" w:cs="Times New Roman"/>
          <w:bCs/>
          <w:sz w:val="24"/>
          <w:szCs w:val="24"/>
        </w:rPr>
        <w:t xml:space="preserve"> koje je na Trgovačkom sudu u Dubrovniku za 36,4 milijuna kuna kupilo poduzeće </w:t>
      </w:r>
      <w:r w:rsidRPr="00BE5472">
        <w:rPr>
          <w:rFonts w:ascii="Times New Roman" w:hAnsi="Times New Roman" w:cs="Times New Roman"/>
          <w:bCs/>
          <w:i/>
          <w:iCs/>
          <w:sz w:val="24"/>
          <w:szCs w:val="24"/>
        </w:rPr>
        <w:t>Karisma</w:t>
      </w:r>
      <w:r w:rsidRPr="00BE5472">
        <w:rPr>
          <w:rFonts w:ascii="Times New Roman" w:hAnsi="Times New Roman" w:cs="Times New Roman"/>
          <w:bCs/>
          <w:sz w:val="24"/>
          <w:szCs w:val="24"/>
        </w:rPr>
        <w:t xml:space="preserve"> (Juričić Bukarica 2013). </w:t>
      </w:r>
    </w:p>
    <w:p w14:paraId="121888B3" w14:textId="2821CD8B"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Analiza promjene vlasničke strukture usred procesa spajanja i preuzimanja u pre</w:t>
      </w:r>
      <w:r w:rsidR="00F87611" w:rsidRPr="00BE5472">
        <w:rPr>
          <w:rFonts w:ascii="Times New Roman" w:hAnsi="Times New Roman" w:cs="Times New Roman"/>
          <w:bCs/>
          <w:sz w:val="24"/>
          <w:szCs w:val="24"/>
        </w:rPr>
        <w:t>t</w:t>
      </w:r>
      <w:r w:rsidRPr="00BE5472">
        <w:rPr>
          <w:rFonts w:ascii="Times New Roman" w:hAnsi="Times New Roman" w:cs="Times New Roman"/>
          <w:bCs/>
          <w:sz w:val="24"/>
          <w:szCs w:val="24"/>
        </w:rPr>
        <w:t>pandemijskom i pandemijskom razdoblju od 2014.</w:t>
      </w:r>
      <w:r w:rsidR="00DD7A25" w:rsidRPr="00BE5472">
        <w:rPr>
          <w:rFonts w:ascii="Times New Roman" w:hAnsi="Times New Roman" w:cs="Times New Roman"/>
          <w:bCs/>
          <w:sz w:val="24"/>
          <w:szCs w:val="24"/>
        </w:rPr>
        <w:t xml:space="preserve"> do</w:t>
      </w:r>
      <w:r w:rsidRPr="00BE5472">
        <w:rPr>
          <w:rFonts w:ascii="Times New Roman" w:hAnsi="Times New Roman" w:cs="Times New Roman"/>
          <w:bCs/>
          <w:sz w:val="24"/>
          <w:szCs w:val="24"/>
        </w:rPr>
        <w:t xml:space="preserve"> 2023. godine na području Republike Hrvatske prikazano je u </w:t>
      </w:r>
      <w:r w:rsidR="00127A4E">
        <w:rPr>
          <w:rFonts w:ascii="Times New Roman" w:hAnsi="Times New Roman" w:cs="Times New Roman"/>
          <w:bCs/>
          <w:sz w:val="24"/>
          <w:szCs w:val="24"/>
        </w:rPr>
        <w:t>Tablici</w:t>
      </w:r>
      <w:r w:rsidRPr="00BE5472">
        <w:rPr>
          <w:rFonts w:ascii="Times New Roman" w:hAnsi="Times New Roman" w:cs="Times New Roman"/>
          <w:bCs/>
          <w:sz w:val="24"/>
          <w:szCs w:val="24"/>
        </w:rPr>
        <w:t xml:space="preserve"> </w:t>
      </w:r>
      <w:r w:rsidR="00BD59B5" w:rsidRPr="00BE5472">
        <w:rPr>
          <w:rFonts w:ascii="Times New Roman" w:hAnsi="Times New Roman" w:cs="Times New Roman"/>
          <w:bCs/>
          <w:sz w:val="24"/>
          <w:szCs w:val="24"/>
        </w:rPr>
        <w:t>1</w:t>
      </w:r>
      <w:r w:rsidR="00A60CD4" w:rsidRPr="00BE5472">
        <w:rPr>
          <w:rFonts w:ascii="Times New Roman" w:hAnsi="Times New Roman" w:cs="Times New Roman"/>
          <w:bCs/>
          <w:sz w:val="24"/>
          <w:szCs w:val="24"/>
        </w:rPr>
        <w:t>3</w:t>
      </w:r>
      <w:r w:rsidRPr="00BE5472">
        <w:rPr>
          <w:rFonts w:ascii="Times New Roman" w:hAnsi="Times New Roman" w:cs="Times New Roman"/>
          <w:bCs/>
          <w:sz w:val="24"/>
          <w:szCs w:val="24"/>
        </w:rPr>
        <w:t xml:space="preserve">.  </w:t>
      </w:r>
    </w:p>
    <w:p w14:paraId="5240EAAE" w14:textId="016EC1FD" w:rsidR="006E052A" w:rsidRPr="001B337F" w:rsidRDefault="001B337F" w:rsidP="001B337F">
      <w:pPr>
        <w:pStyle w:val="Caption"/>
        <w:rPr>
          <w:rFonts w:ascii="Times New Roman" w:hAnsi="Times New Roman" w:cs="Times New Roman"/>
          <w:sz w:val="24"/>
          <w:szCs w:val="24"/>
        </w:rPr>
      </w:pPr>
      <w:bookmarkStart w:id="127" w:name="_Toc241865207"/>
      <w:r w:rsidRPr="001B337F">
        <w:rPr>
          <w:rFonts w:ascii="Times New Roman" w:hAnsi="Times New Roman" w:cs="Times New Roman"/>
          <w:sz w:val="24"/>
          <w:szCs w:val="24"/>
        </w:rPr>
        <w:t xml:space="preserve">Tablica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Tablica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13</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Spajanja i preuzimanja u hotelijerstvu na području Republike Hrvatske</w:t>
      </w:r>
      <w:bookmarkEnd w:id="127"/>
    </w:p>
    <w:tbl>
      <w:tblPr>
        <w:tblStyle w:val="Reetkatablice2"/>
        <w:tblW w:w="0" w:type="auto"/>
        <w:tblLook w:val="04A0" w:firstRow="1" w:lastRow="0" w:firstColumn="1" w:lastColumn="0" w:noHBand="0" w:noVBand="1"/>
      </w:tblPr>
      <w:tblGrid>
        <w:gridCol w:w="693"/>
        <w:gridCol w:w="1836"/>
        <w:gridCol w:w="3574"/>
        <w:gridCol w:w="1405"/>
        <w:gridCol w:w="1842"/>
      </w:tblGrid>
      <w:tr w:rsidR="006E052A" w:rsidRPr="00BE5472" w14:paraId="183E19EA" w14:textId="77777777" w:rsidTr="00B86DFB">
        <w:tc>
          <w:tcPr>
            <w:tcW w:w="704" w:type="dxa"/>
            <w:shd w:val="clear" w:color="auto" w:fill="8EAADB" w:themeFill="accent1" w:themeFillTint="99"/>
            <w:vAlign w:val="center"/>
          </w:tcPr>
          <w:p w14:paraId="5A1CF4BC" w14:textId="16DB57F7" w:rsidR="006E052A" w:rsidRPr="00BE5472" w:rsidRDefault="006E052A" w:rsidP="003C67E7">
            <w:pPr>
              <w:spacing w:line="360" w:lineRule="auto"/>
              <w:jc w:val="center"/>
              <w:rPr>
                <w:rFonts w:ascii="Times New Roman" w:hAnsi="Times New Roman" w:cs="Times New Roman"/>
                <w:b/>
                <w:bCs/>
                <w:sz w:val="18"/>
                <w:szCs w:val="18"/>
                <w:lang w:val="en-US"/>
              </w:rPr>
            </w:pPr>
            <w:r w:rsidRPr="00BE5472">
              <w:rPr>
                <w:rFonts w:ascii="Times New Roman" w:hAnsi="Times New Roman" w:cs="Times New Roman"/>
                <w:b/>
                <w:bCs/>
                <w:sz w:val="18"/>
                <w:szCs w:val="18"/>
                <w:lang w:val="en-US"/>
              </w:rPr>
              <w:t>R.</w:t>
            </w:r>
            <w:r w:rsidR="004F52BC" w:rsidRPr="00BE5472">
              <w:rPr>
                <w:rFonts w:ascii="Times New Roman" w:hAnsi="Times New Roman" w:cs="Times New Roman"/>
                <w:b/>
                <w:bCs/>
                <w:sz w:val="18"/>
                <w:szCs w:val="18"/>
                <w:lang w:val="en-US"/>
              </w:rPr>
              <w:t xml:space="preserve"> </w:t>
            </w:r>
            <w:r w:rsidRPr="00BE5472">
              <w:rPr>
                <w:rFonts w:ascii="Times New Roman" w:hAnsi="Times New Roman" w:cs="Times New Roman"/>
                <w:b/>
                <w:bCs/>
                <w:sz w:val="18"/>
                <w:szCs w:val="18"/>
                <w:lang w:val="en-US"/>
              </w:rPr>
              <w:t>br.</w:t>
            </w:r>
          </w:p>
        </w:tc>
        <w:tc>
          <w:tcPr>
            <w:tcW w:w="1850" w:type="dxa"/>
            <w:shd w:val="clear" w:color="auto" w:fill="8EAADB" w:themeFill="accent1" w:themeFillTint="99"/>
            <w:vAlign w:val="center"/>
          </w:tcPr>
          <w:p w14:paraId="23E5B1C8" w14:textId="77777777" w:rsidR="006E052A" w:rsidRPr="00BE5472" w:rsidRDefault="006E052A" w:rsidP="003C67E7">
            <w:pPr>
              <w:spacing w:line="360" w:lineRule="auto"/>
              <w:jc w:val="center"/>
              <w:rPr>
                <w:rFonts w:ascii="Times New Roman" w:hAnsi="Times New Roman" w:cs="Times New Roman"/>
                <w:b/>
                <w:bCs/>
                <w:lang w:val="en-US"/>
              </w:rPr>
            </w:pPr>
            <w:r w:rsidRPr="00BE5472">
              <w:rPr>
                <w:rFonts w:ascii="Times New Roman" w:hAnsi="Times New Roman" w:cs="Times New Roman"/>
                <w:b/>
                <w:bCs/>
                <w:lang w:val="en-US"/>
              </w:rPr>
              <w:t>UKLJUČENA DRUŠTVA</w:t>
            </w:r>
          </w:p>
        </w:tc>
        <w:tc>
          <w:tcPr>
            <w:tcW w:w="3681" w:type="dxa"/>
            <w:shd w:val="clear" w:color="auto" w:fill="8EAADB" w:themeFill="accent1" w:themeFillTint="99"/>
            <w:vAlign w:val="center"/>
          </w:tcPr>
          <w:p w14:paraId="3DE20532" w14:textId="77777777" w:rsidR="006E052A" w:rsidRPr="00BE5472" w:rsidRDefault="006E052A" w:rsidP="003C67E7">
            <w:pPr>
              <w:spacing w:line="360" w:lineRule="auto"/>
              <w:jc w:val="center"/>
              <w:rPr>
                <w:rFonts w:ascii="Times New Roman" w:hAnsi="Times New Roman" w:cs="Times New Roman"/>
                <w:b/>
                <w:bCs/>
                <w:lang w:val="en-US"/>
              </w:rPr>
            </w:pPr>
            <w:r w:rsidRPr="00BE5472">
              <w:rPr>
                <w:rFonts w:ascii="Times New Roman" w:hAnsi="Times New Roman" w:cs="Times New Roman"/>
                <w:b/>
                <w:bCs/>
                <w:lang w:val="en-US"/>
              </w:rPr>
              <w:t>SAŽETI OPIS DOGAĐAJA</w:t>
            </w:r>
          </w:p>
        </w:tc>
        <w:tc>
          <w:tcPr>
            <w:tcW w:w="1415" w:type="dxa"/>
            <w:shd w:val="clear" w:color="auto" w:fill="8EAADB" w:themeFill="accent1" w:themeFillTint="99"/>
            <w:vAlign w:val="center"/>
          </w:tcPr>
          <w:p w14:paraId="22EE2A34" w14:textId="77777777" w:rsidR="006E052A" w:rsidRPr="00BE5472" w:rsidRDefault="006E052A" w:rsidP="003C67E7">
            <w:pPr>
              <w:spacing w:line="360" w:lineRule="auto"/>
              <w:jc w:val="center"/>
              <w:rPr>
                <w:rFonts w:ascii="Times New Roman" w:hAnsi="Times New Roman" w:cs="Times New Roman"/>
                <w:b/>
                <w:bCs/>
                <w:lang w:val="en-US"/>
              </w:rPr>
            </w:pPr>
            <w:r w:rsidRPr="00BE5472">
              <w:rPr>
                <w:rFonts w:ascii="Times New Roman" w:hAnsi="Times New Roman" w:cs="Times New Roman"/>
                <w:b/>
                <w:bCs/>
                <w:lang w:val="en-US"/>
              </w:rPr>
              <w:t>VRIJEME</w:t>
            </w:r>
          </w:p>
        </w:tc>
        <w:tc>
          <w:tcPr>
            <w:tcW w:w="1700" w:type="dxa"/>
            <w:shd w:val="clear" w:color="auto" w:fill="8EAADB" w:themeFill="accent1" w:themeFillTint="99"/>
            <w:vAlign w:val="center"/>
          </w:tcPr>
          <w:p w14:paraId="25D5DAF8" w14:textId="77777777" w:rsidR="006E052A" w:rsidRPr="00BE5472" w:rsidRDefault="006E052A" w:rsidP="003C67E7">
            <w:pPr>
              <w:spacing w:line="360" w:lineRule="auto"/>
              <w:jc w:val="center"/>
              <w:rPr>
                <w:rFonts w:ascii="Times New Roman" w:hAnsi="Times New Roman" w:cs="Times New Roman"/>
                <w:b/>
                <w:bCs/>
                <w:lang w:val="en-US"/>
              </w:rPr>
            </w:pPr>
            <w:r w:rsidRPr="00BE5472">
              <w:rPr>
                <w:rFonts w:ascii="Times New Roman" w:hAnsi="Times New Roman" w:cs="Times New Roman"/>
                <w:b/>
                <w:bCs/>
                <w:lang w:val="en-US"/>
              </w:rPr>
              <w:t>PODRUČJE OBUHVATA (DESTINACIJE)</w:t>
            </w:r>
          </w:p>
        </w:tc>
      </w:tr>
      <w:tr w:rsidR="006E052A" w:rsidRPr="00BE5472" w14:paraId="3E92C2D2" w14:textId="77777777" w:rsidTr="00B86DFB">
        <w:tc>
          <w:tcPr>
            <w:tcW w:w="704" w:type="dxa"/>
            <w:vAlign w:val="center"/>
          </w:tcPr>
          <w:p w14:paraId="2174D3DE"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1.</w:t>
            </w:r>
          </w:p>
        </w:tc>
        <w:tc>
          <w:tcPr>
            <w:tcW w:w="1850" w:type="dxa"/>
          </w:tcPr>
          <w:p w14:paraId="19F0A56C"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 xml:space="preserve">Liburnia Riviera Hoteli </w:t>
            </w:r>
            <w:r w:rsidRPr="00BE5472">
              <w:rPr>
                <w:rFonts w:ascii="Times New Roman" w:hAnsi="Times New Roman" w:cs="Times New Roman"/>
                <w:bCs/>
                <w:lang w:val="it-IT"/>
              </w:rPr>
              <w:t xml:space="preserve">d.d. i </w:t>
            </w:r>
            <w:r w:rsidRPr="00BE5472">
              <w:rPr>
                <w:rFonts w:ascii="Times New Roman" w:hAnsi="Times New Roman" w:cs="Times New Roman"/>
                <w:bCs/>
                <w:i/>
                <w:iCs/>
                <w:lang w:val="it-IT"/>
              </w:rPr>
              <w:t>Hoteli Cavtat</w:t>
            </w:r>
            <w:r w:rsidRPr="00BE5472">
              <w:rPr>
                <w:rFonts w:ascii="Times New Roman" w:hAnsi="Times New Roman" w:cs="Times New Roman"/>
                <w:bCs/>
                <w:lang w:val="it-IT"/>
              </w:rPr>
              <w:t xml:space="preserve"> d.d. </w:t>
            </w:r>
          </w:p>
        </w:tc>
        <w:tc>
          <w:tcPr>
            <w:tcW w:w="3681" w:type="dxa"/>
          </w:tcPr>
          <w:p w14:paraId="4006D56F" w14:textId="6F4054C1"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Liburnia Riviera Hoteli</w:t>
            </w:r>
            <w:r w:rsidRPr="00BE5472">
              <w:rPr>
                <w:rFonts w:ascii="Times New Roman" w:hAnsi="Times New Roman" w:cs="Times New Roman"/>
                <w:bCs/>
                <w:lang w:val="it-IT"/>
              </w:rPr>
              <w:t xml:space="preserve"> d.d. Opatija potpisali</w:t>
            </w:r>
            <w:r w:rsidR="002251B5" w:rsidRPr="00BE5472">
              <w:rPr>
                <w:rFonts w:ascii="Times New Roman" w:hAnsi="Times New Roman" w:cs="Times New Roman"/>
                <w:bCs/>
                <w:lang w:val="it-IT"/>
              </w:rPr>
              <w:t xml:space="preserve"> su</w:t>
            </w:r>
            <w:r w:rsidRPr="00BE5472">
              <w:rPr>
                <w:rFonts w:ascii="Times New Roman" w:hAnsi="Times New Roman" w:cs="Times New Roman"/>
                <w:bCs/>
                <w:lang w:val="it-IT"/>
              </w:rPr>
              <w:t xml:space="preserve"> kupoprodajni ugovor i stekli oko 80,8</w:t>
            </w:r>
            <w:r w:rsidR="00DD7A25" w:rsidRPr="00BE5472">
              <w:rPr>
                <w:rFonts w:ascii="Times New Roman" w:hAnsi="Times New Roman" w:cs="Times New Roman"/>
                <w:bCs/>
                <w:lang w:val="it-IT"/>
              </w:rPr>
              <w:t xml:space="preserve"> </w:t>
            </w:r>
            <w:r w:rsidRPr="00BE5472">
              <w:rPr>
                <w:rFonts w:ascii="Times New Roman" w:hAnsi="Times New Roman" w:cs="Times New Roman"/>
                <w:bCs/>
                <w:lang w:val="it-IT"/>
              </w:rPr>
              <w:t xml:space="preserve">% dionica trgovačkog društva </w:t>
            </w:r>
            <w:r w:rsidRPr="00BE5472">
              <w:rPr>
                <w:rFonts w:ascii="Times New Roman" w:hAnsi="Times New Roman" w:cs="Times New Roman"/>
                <w:bCs/>
                <w:i/>
                <w:iCs/>
                <w:lang w:val="it-IT"/>
              </w:rPr>
              <w:t>Hoteli Cavtat</w:t>
            </w:r>
            <w:r w:rsidRPr="00BE5472">
              <w:rPr>
                <w:rFonts w:ascii="Times New Roman" w:hAnsi="Times New Roman" w:cs="Times New Roman"/>
                <w:bCs/>
                <w:lang w:val="it-IT"/>
              </w:rPr>
              <w:t xml:space="preserve"> d.d.</w:t>
            </w:r>
          </w:p>
        </w:tc>
        <w:tc>
          <w:tcPr>
            <w:tcW w:w="1415" w:type="dxa"/>
          </w:tcPr>
          <w:p w14:paraId="6136DBD0"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srpanj 2013.</w:t>
            </w:r>
          </w:p>
        </w:tc>
        <w:tc>
          <w:tcPr>
            <w:tcW w:w="1700" w:type="dxa"/>
          </w:tcPr>
          <w:p w14:paraId="109BA84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Cavtat</w:t>
            </w:r>
          </w:p>
        </w:tc>
      </w:tr>
      <w:tr w:rsidR="006E052A" w:rsidRPr="00BE5472" w14:paraId="1F3923A1" w14:textId="77777777" w:rsidTr="00B86DFB">
        <w:tc>
          <w:tcPr>
            <w:tcW w:w="704" w:type="dxa"/>
            <w:vAlign w:val="center"/>
          </w:tcPr>
          <w:p w14:paraId="1F48B9C6"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2.</w:t>
            </w:r>
          </w:p>
        </w:tc>
        <w:tc>
          <w:tcPr>
            <w:tcW w:w="1850" w:type="dxa"/>
          </w:tcPr>
          <w:p w14:paraId="440B9F58" w14:textId="77777777" w:rsidR="006E052A" w:rsidRPr="00BE5472" w:rsidRDefault="006E052A" w:rsidP="00DD7A25">
            <w:pPr>
              <w:spacing w:line="360" w:lineRule="auto"/>
              <w:rPr>
                <w:rFonts w:ascii="Times New Roman" w:hAnsi="Times New Roman" w:cs="Times New Roman"/>
                <w:bCs/>
                <w:lang w:val="en-US"/>
              </w:rPr>
            </w:pPr>
            <w:r w:rsidRPr="00BE5472">
              <w:rPr>
                <w:rFonts w:ascii="Times New Roman" w:hAnsi="Times New Roman" w:cs="Times New Roman"/>
                <w:bCs/>
                <w:i/>
                <w:iCs/>
                <w:lang w:val="en-US"/>
              </w:rPr>
              <w:t>Jadranski luksuzni hoteli</w:t>
            </w:r>
            <w:r w:rsidRPr="00BE5472">
              <w:rPr>
                <w:rFonts w:ascii="Times New Roman" w:hAnsi="Times New Roman" w:cs="Times New Roman"/>
                <w:bCs/>
                <w:lang w:val="en-US"/>
              </w:rPr>
              <w:t xml:space="preserve"> d.d. Dubrovnik, </w:t>
            </w:r>
            <w:r w:rsidRPr="00BE5472">
              <w:rPr>
                <w:rFonts w:ascii="Times New Roman" w:hAnsi="Times New Roman" w:cs="Times New Roman"/>
                <w:bCs/>
                <w:i/>
                <w:iCs/>
                <w:lang w:val="en-US"/>
              </w:rPr>
              <w:t>Croatia</w:t>
            </w:r>
            <w:r w:rsidRPr="00BE5472">
              <w:rPr>
                <w:rFonts w:ascii="Times New Roman" w:hAnsi="Times New Roman" w:cs="Times New Roman"/>
                <w:bCs/>
                <w:lang w:val="en-US"/>
              </w:rPr>
              <w:t xml:space="preserve"> d.d. Cavtat</w:t>
            </w:r>
          </w:p>
        </w:tc>
        <w:tc>
          <w:tcPr>
            <w:tcW w:w="3681" w:type="dxa"/>
          </w:tcPr>
          <w:p w14:paraId="0CECD893" w14:textId="7D520C2F"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lang w:val="en-US"/>
              </w:rPr>
              <w:t xml:space="preserve">Pripajanje portfelja hotela iz sustava </w:t>
            </w:r>
            <w:r w:rsidRPr="00BE5472">
              <w:rPr>
                <w:rFonts w:ascii="Times New Roman" w:hAnsi="Times New Roman" w:cs="Times New Roman"/>
                <w:bCs/>
                <w:i/>
                <w:iCs/>
                <w:lang w:val="en-US"/>
              </w:rPr>
              <w:t>Luksic grupe</w:t>
            </w:r>
            <w:r w:rsidRPr="00BE5472">
              <w:rPr>
                <w:rFonts w:ascii="Times New Roman" w:hAnsi="Times New Roman" w:cs="Times New Roman"/>
                <w:bCs/>
                <w:lang w:val="en-US"/>
              </w:rPr>
              <w:t xml:space="preserve"> na području Dubrovnika</w:t>
            </w:r>
            <w:r w:rsidR="00DD7A25" w:rsidRPr="00BE5472">
              <w:rPr>
                <w:rFonts w:ascii="Times New Roman" w:hAnsi="Times New Roman" w:cs="Times New Roman"/>
                <w:bCs/>
                <w:lang w:val="en-US"/>
              </w:rPr>
              <w:t>,</w:t>
            </w:r>
            <w:r w:rsidRPr="00BE5472">
              <w:rPr>
                <w:rFonts w:ascii="Times New Roman" w:hAnsi="Times New Roman" w:cs="Times New Roman"/>
                <w:bCs/>
                <w:lang w:val="en-US"/>
              </w:rPr>
              <w:t xml:space="preserve"> čime je uspostavljeno novo društvo </w:t>
            </w:r>
            <w:r w:rsidRPr="00BE5472">
              <w:rPr>
                <w:rFonts w:ascii="Times New Roman" w:hAnsi="Times New Roman" w:cs="Times New Roman"/>
                <w:bCs/>
                <w:i/>
                <w:iCs/>
                <w:lang w:val="en-US"/>
              </w:rPr>
              <w:t>Jadranski luksuzni hoteli</w:t>
            </w:r>
            <w:r w:rsidRPr="00BE5472">
              <w:rPr>
                <w:rFonts w:ascii="Times New Roman" w:hAnsi="Times New Roman" w:cs="Times New Roman"/>
                <w:bCs/>
                <w:lang w:val="en-US"/>
              </w:rPr>
              <w:t xml:space="preserve"> d.d. Dubrovnik. </w:t>
            </w:r>
            <w:r w:rsidRPr="00BE5472">
              <w:rPr>
                <w:rFonts w:ascii="Times New Roman" w:hAnsi="Times New Roman" w:cs="Times New Roman"/>
                <w:bCs/>
                <w:lang w:val="it-IT"/>
              </w:rPr>
              <w:t xml:space="preserve">U postupku pripajanja, pripojeno je i društvo hoteli </w:t>
            </w:r>
            <w:r w:rsidRPr="00BE5472">
              <w:rPr>
                <w:rFonts w:ascii="Times New Roman" w:hAnsi="Times New Roman" w:cs="Times New Roman"/>
                <w:bCs/>
                <w:i/>
                <w:iCs/>
                <w:lang w:val="it-IT"/>
              </w:rPr>
              <w:t>Croatia</w:t>
            </w:r>
            <w:r w:rsidRPr="00BE5472">
              <w:rPr>
                <w:rFonts w:ascii="Times New Roman" w:hAnsi="Times New Roman" w:cs="Times New Roman"/>
                <w:bCs/>
                <w:lang w:val="it-IT"/>
              </w:rPr>
              <w:t xml:space="preserve"> d.d. Cavtat.</w:t>
            </w:r>
            <w:r w:rsidRPr="00BE5472">
              <w:rPr>
                <w:rFonts w:ascii="Times New Roman" w:hAnsi="Times New Roman" w:cs="Times New Roman"/>
                <w:bCs/>
                <w:vertAlign w:val="superscript"/>
                <w:lang w:val="en-US"/>
              </w:rPr>
              <w:footnoteReference w:id="29"/>
            </w:r>
          </w:p>
        </w:tc>
        <w:tc>
          <w:tcPr>
            <w:tcW w:w="1415" w:type="dxa"/>
          </w:tcPr>
          <w:p w14:paraId="753D3E90" w14:textId="40C63B6A" w:rsidR="006E052A" w:rsidRPr="00BE5472" w:rsidRDefault="00B86DFB"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w:t>
            </w:r>
            <w:r w:rsidR="006E052A" w:rsidRPr="00BE5472">
              <w:rPr>
                <w:rFonts w:ascii="Times New Roman" w:hAnsi="Times New Roman" w:cs="Times New Roman"/>
                <w:bCs/>
                <w:lang w:val="en-US"/>
              </w:rPr>
              <w:t>iječanj</w:t>
            </w:r>
            <w:r w:rsidRPr="00BE5472">
              <w:rPr>
                <w:rFonts w:ascii="Times New Roman" w:hAnsi="Times New Roman" w:cs="Times New Roman"/>
                <w:bCs/>
                <w:lang w:val="en-US"/>
              </w:rPr>
              <w:t xml:space="preserve"> </w:t>
            </w:r>
            <w:r w:rsidR="006E052A" w:rsidRPr="00BE5472">
              <w:rPr>
                <w:rFonts w:ascii="Times New Roman" w:hAnsi="Times New Roman" w:cs="Times New Roman"/>
                <w:bCs/>
                <w:lang w:val="en-US"/>
              </w:rPr>
              <w:t>2014.</w:t>
            </w:r>
          </w:p>
        </w:tc>
        <w:tc>
          <w:tcPr>
            <w:tcW w:w="1700" w:type="dxa"/>
          </w:tcPr>
          <w:p w14:paraId="49961F3C"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Dubrovnik, Cavtat</w:t>
            </w:r>
          </w:p>
        </w:tc>
      </w:tr>
      <w:tr w:rsidR="006E052A" w:rsidRPr="00BE5472" w14:paraId="2B518FEB" w14:textId="77777777" w:rsidTr="00B86DFB">
        <w:tc>
          <w:tcPr>
            <w:tcW w:w="704" w:type="dxa"/>
            <w:vAlign w:val="center"/>
          </w:tcPr>
          <w:p w14:paraId="6E18A15D"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3.</w:t>
            </w:r>
          </w:p>
        </w:tc>
        <w:tc>
          <w:tcPr>
            <w:tcW w:w="1850" w:type="dxa"/>
          </w:tcPr>
          <w:p w14:paraId="41F370BC"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d.d. &amp; </w:t>
            </w:r>
            <w:r w:rsidRPr="00BE5472">
              <w:rPr>
                <w:rFonts w:ascii="Times New Roman" w:hAnsi="Times New Roman" w:cs="Times New Roman"/>
                <w:bCs/>
                <w:i/>
                <w:iCs/>
                <w:lang w:val="it-IT"/>
              </w:rPr>
              <w:t>Istraturist Umag</w:t>
            </w:r>
            <w:r w:rsidRPr="00BE5472">
              <w:rPr>
                <w:rFonts w:ascii="Times New Roman" w:hAnsi="Times New Roman" w:cs="Times New Roman"/>
                <w:bCs/>
                <w:lang w:val="it-IT"/>
              </w:rPr>
              <w:t xml:space="preserve"> d.d.</w:t>
            </w:r>
          </w:p>
        </w:tc>
        <w:tc>
          <w:tcPr>
            <w:tcW w:w="3681" w:type="dxa"/>
          </w:tcPr>
          <w:p w14:paraId="3338B131"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d.d. zaključila je transakciju kupoprodaje dionica trgovačkog društva </w:t>
            </w:r>
            <w:r w:rsidRPr="00BE5472">
              <w:rPr>
                <w:rFonts w:ascii="Times New Roman" w:hAnsi="Times New Roman" w:cs="Times New Roman"/>
                <w:bCs/>
                <w:i/>
                <w:iCs/>
                <w:lang w:val="it-IT"/>
              </w:rPr>
              <w:t>Istraturist Umag</w:t>
            </w:r>
            <w:r w:rsidRPr="00BE5472">
              <w:rPr>
                <w:rFonts w:ascii="Times New Roman" w:hAnsi="Times New Roman" w:cs="Times New Roman"/>
                <w:bCs/>
                <w:lang w:val="it-IT"/>
              </w:rPr>
              <w:t xml:space="preserve"> d.d. od </w:t>
            </w:r>
            <w:r w:rsidRPr="00BE5472">
              <w:rPr>
                <w:rFonts w:ascii="Times New Roman" w:hAnsi="Times New Roman" w:cs="Times New Roman"/>
                <w:bCs/>
                <w:i/>
                <w:iCs/>
                <w:lang w:val="it-IT"/>
              </w:rPr>
              <w:t>Zagrebačke banke</w:t>
            </w:r>
            <w:r w:rsidRPr="00BE5472">
              <w:rPr>
                <w:rFonts w:ascii="Times New Roman" w:hAnsi="Times New Roman" w:cs="Times New Roman"/>
                <w:bCs/>
                <w:lang w:val="it-IT"/>
              </w:rPr>
              <w:t xml:space="preserve"> (dotadanjeg vlasnika), kojim je </w:t>
            </w: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stekla 4.349.400 redovnih dionica </w:t>
            </w:r>
            <w:r w:rsidRPr="00BE5472">
              <w:rPr>
                <w:rFonts w:ascii="Times New Roman" w:hAnsi="Times New Roman" w:cs="Times New Roman"/>
                <w:bCs/>
                <w:i/>
                <w:iCs/>
                <w:lang w:val="it-IT"/>
              </w:rPr>
              <w:lastRenderedPageBreak/>
              <w:t>Istraturista</w:t>
            </w:r>
            <w:r w:rsidRPr="00BE5472">
              <w:rPr>
                <w:rFonts w:ascii="Times New Roman" w:hAnsi="Times New Roman" w:cs="Times New Roman"/>
                <w:bCs/>
                <w:lang w:val="it-IT"/>
              </w:rPr>
              <w:t xml:space="preserve">, koje predstavljaju 93.04 % temeljnog kapitala </w:t>
            </w:r>
            <w:r w:rsidRPr="00BE5472">
              <w:rPr>
                <w:rFonts w:ascii="Times New Roman" w:hAnsi="Times New Roman" w:cs="Times New Roman"/>
                <w:bCs/>
                <w:i/>
                <w:iCs/>
                <w:lang w:val="it-IT"/>
              </w:rPr>
              <w:t>Istraturista</w:t>
            </w:r>
            <w:r w:rsidRPr="00BE5472">
              <w:rPr>
                <w:rFonts w:ascii="Times New Roman" w:hAnsi="Times New Roman" w:cs="Times New Roman"/>
                <w:bCs/>
                <w:lang w:val="it-IT"/>
              </w:rPr>
              <w:t>.</w:t>
            </w:r>
            <w:r w:rsidRPr="00BE5472">
              <w:rPr>
                <w:rFonts w:ascii="Times New Roman" w:hAnsi="Times New Roman" w:cs="Times New Roman"/>
                <w:bCs/>
                <w:vertAlign w:val="superscript"/>
                <w:lang w:val="en-US"/>
              </w:rPr>
              <w:footnoteReference w:id="30"/>
            </w:r>
          </w:p>
          <w:p w14:paraId="20F276ED" w14:textId="6A2C87AC"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lang w:val="it-IT"/>
              </w:rPr>
              <w:t xml:space="preserve">Nazivana </w:t>
            </w:r>
            <w:r w:rsidR="002251B5" w:rsidRPr="00BE5472">
              <w:rPr>
                <w:rFonts w:ascii="Times New Roman" w:hAnsi="Times New Roman" w:cs="Times New Roman"/>
                <w:bCs/>
                <w:lang w:val="it-IT"/>
              </w:rPr>
              <w:t xml:space="preserve">je </w:t>
            </w:r>
            <w:r w:rsidRPr="00BE5472">
              <w:rPr>
                <w:rFonts w:ascii="Times New Roman" w:hAnsi="Times New Roman" w:cs="Times New Roman"/>
                <w:bCs/>
                <w:i/>
                <w:lang w:val="it-IT"/>
              </w:rPr>
              <w:t>najvećom transakcijom u povijesti hrvatskog turizma</w:t>
            </w:r>
          </w:p>
        </w:tc>
        <w:tc>
          <w:tcPr>
            <w:tcW w:w="1415" w:type="dxa"/>
          </w:tcPr>
          <w:p w14:paraId="10C9189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lastRenderedPageBreak/>
              <w:t>studeni 2014.</w:t>
            </w:r>
          </w:p>
        </w:tc>
        <w:tc>
          <w:tcPr>
            <w:tcW w:w="1700" w:type="dxa"/>
          </w:tcPr>
          <w:p w14:paraId="0DC074E8"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Umag</w:t>
            </w:r>
          </w:p>
        </w:tc>
      </w:tr>
      <w:tr w:rsidR="006E052A" w:rsidRPr="00BE5472" w14:paraId="45A095FD" w14:textId="77777777" w:rsidTr="00B86DFB">
        <w:tc>
          <w:tcPr>
            <w:tcW w:w="704" w:type="dxa"/>
            <w:vAlign w:val="center"/>
          </w:tcPr>
          <w:p w14:paraId="730B0794" w14:textId="1CFF0A5C"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4.</w:t>
            </w:r>
          </w:p>
        </w:tc>
        <w:tc>
          <w:tcPr>
            <w:tcW w:w="1850" w:type="dxa"/>
          </w:tcPr>
          <w:p w14:paraId="092EB779"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Valamar Riviera</w:t>
            </w:r>
            <w:r w:rsidRPr="00BE5472">
              <w:rPr>
                <w:rFonts w:ascii="Times New Roman" w:hAnsi="Times New Roman" w:cs="Times New Roman"/>
                <w:bCs/>
                <w:lang w:val="en-US"/>
              </w:rPr>
              <w:t xml:space="preserve"> d.d. i </w:t>
            </w:r>
            <w:r w:rsidRPr="00BE5472">
              <w:rPr>
                <w:rFonts w:ascii="Times New Roman" w:hAnsi="Times New Roman" w:cs="Times New Roman"/>
                <w:bCs/>
                <w:i/>
                <w:iCs/>
              </w:rPr>
              <w:t>Baškaturist</w:t>
            </w:r>
            <w:r w:rsidRPr="00BE5472">
              <w:rPr>
                <w:rFonts w:ascii="Times New Roman" w:hAnsi="Times New Roman" w:cs="Times New Roman"/>
                <w:bCs/>
              </w:rPr>
              <w:t xml:space="preserve"> d.o.o., </w:t>
            </w:r>
            <w:r w:rsidRPr="00BE5472">
              <w:rPr>
                <w:rFonts w:ascii="Times New Roman" w:hAnsi="Times New Roman" w:cs="Times New Roman"/>
                <w:bCs/>
                <w:i/>
                <w:iCs/>
              </w:rPr>
              <w:t>Mirta Bašćanska</w:t>
            </w:r>
            <w:r w:rsidRPr="00BE5472">
              <w:rPr>
                <w:rFonts w:ascii="Times New Roman" w:hAnsi="Times New Roman" w:cs="Times New Roman"/>
                <w:bCs/>
              </w:rPr>
              <w:t xml:space="preserve"> d.o.o. i </w:t>
            </w:r>
            <w:r w:rsidRPr="00BE5472">
              <w:rPr>
                <w:rFonts w:ascii="Times New Roman" w:hAnsi="Times New Roman" w:cs="Times New Roman"/>
                <w:bCs/>
                <w:i/>
                <w:iCs/>
              </w:rPr>
              <w:t>Vala Bašćanska</w:t>
            </w:r>
            <w:r w:rsidRPr="00BE5472">
              <w:rPr>
                <w:rFonts w:ascii="Times New Roman" w:hAnsi="Times New Roman" w:cs="Times New Roman"/>
                <w:bCs/>
              </w:rPr>
              <w:t xml:space="preserve"> d.o.o. </w:t>
            </w:r>
          </w:p>
        </w:tc>
        <w:tc>
          <w:tcPr>
            <w:tcW w:w="3681" w:type="dxa"/>
          </w:tcPr>
          <w:p w14:paraId="6041566D" w14:textId="7A737236"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Valamar Riviera</w:t>
            </w:r>
            <w:r w:rsidRPr="00BE5472">
              <w:rPr>
                <w:rFonts w:ascii="Times New Roman" w:hAnsi="Times New Roman" w:cs="Times New Roman"/>
                <w:bCs/>
                <w:lang w:val="en-US"/>
              </w:rPr>
              <w:t xml:space="preserve"> d.d. stekla je većinski udio u tri društva s ograničenom odgovornošću. Riječ je o </w:t>
            </w:r>
            <w:r w:rsidRPr="00BE5472">
              <w:rPr>
                <w:rFonts w:ascii="Times New Roman" w:hAnsi="Times New Roman" w:cs="Times New Roman"/>
                <w:bCs/>
                <w:i/>
                <w:iCs/>
                <w:lang w:val="en-US"/>
              </w:rPr>
              <w:t>Baškaturist</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Mirta Bašćanska</w:t>
            </w:r>
            <w:r w:rsidRPr="00BE5472">
              <w:rPr>
                <w:rFonts w:ascii="Times New Roman" w:hAnsi="Times New Roman" w:cs="Times New Roman"/>
                <w:bCs/>
                <w:lang w:val="en-US"/>
              </w:rPr>
              <w:t xml:space="preserve"> i </w:t>
            </w:r>
            <w:r w:rsidRPr="00BE5472">
              <w:rPr>
                <w:rFonts w:ascii="Times New Roman" w:hAnsi="Times New Roman" w:cs="Times New Roman"/>
                <w:bCs/>
                <w:i/>
                <w:iCs/>
                <w:lang w:val="en-US"/>
              </w:rPr>
              <w:t>Vala Bašćanska</w:t>
            </w:r>
            <w:r w:rsidRPr="00BE5472">
              <w:rPr>
                <w:rFonts w:ascii="Times New Roman" w:hAnsi="Times New Roman" w:cs="Times New Roman"/>
                <w:bCs/>
                <w:lang w:val="en-US"/>
              </w:rPr>
              <w:t xml:space="preserve"> u čijem je vlasništvu ukupno 83,82</w:t>
            </w:r>
            <w:r w:rsidR="00DD7A25" w:rsidRPr="00BE5472">
              <w:rPr>
                <w:rFonts w:ascii="Times New Roman" w:hAnsi="Times New Roman" w:cs="Times New Roman"/>
                <w:bCs/>
                <w:lang w:val="en-US"/>
              </w:rPr>
              <w:t xml:space="preserve"> </w:t>
            </w:r>
            <w:r w:rsidRPr="00BE5472">
              <w:rPr>
                <w:rFonts w:ascii="Times New Roman" w:hAnsi="Times New Roman" w:cs="Times New Roman"/>
                <w:bCs/>
                <w:lang w:val="en-US"/>
              </w:rPr>
              <w:t xml:space="preserve">% dionica </w:t>
            </w:r>
            <w:r w:rsidRPr="00BE5472">
              <w:rPr>
                <w:rFonts w:ascii="Times New Roman" w:hAnsi="Times New Roman" w:cs="Times New Roman"/>
                <w:bCs/>
                <w:i/>
                <w:iCs/>
                <w:lang w:val="en-US"/>
              </w:rPr>
              <w:t>Hotela Baška</w:t>
            </w:r>
            <w:r w:rsidRPr="00BE5472">
              <w:rPr>
                <w:rFonts w:ascii="Times New Roman" w:hAnsi="Times New Roman" w:cs="Times New Roman"/>
                <w:bCs/>
                <w:lang w:val="en-US"/>
              </w:rPr>
              <w:t xml:space="preserve"> d.d.. Isplatom ugovorene kupoprodajne cijene </w:t>
            </w:r>
            <w:r w:rsidRPr="00BE5472">
              <w:rPr>
                <w:rFonts w:ascii="Times New Roman" w:hAnsi="Times New Roman" w:cs="Times New Roman"/>
                <w:bCs/>
                <w:i/>
                <w:iCs/>
                <w:lang w:val="en-US"/>
              </w:rPr>
              <w:t>Valamar Riviera</w:t>
            </w:r>
            <w:r w:rsidRPr="00BE5472">
              <w:rPr>
                <w:rFonts w:ascii="Times New Roman" w:hAnsi="Times New Roman" w:cs="Times New Roman"/>
                <w:bCs/>
                <w:lang w:val="en-US"/>
              </w:rPr>
              <w:t xml:space="preserve"> je stekla 96,84</w:t>
            </w:r>
            <w:r w:rsidR="00DD7A25" w:rsidRPr="00BE5472">
              <w:rPr>
                <w:rFonts w:ascii="Times New Roman" w:hAnsi="Times New Roman" w:cs="Times New Roman"/>
                <w:bCs/>
                <w:lang w:val="en-US"/>
              </w:rPr>
              <w:t xml:space="preserve"> </w:t>
            </w:r>
            <w:r w:rsidRPr="00BE5472">
              <w:rPr>
                <w:rFonts w:ascii="Times New Roman" w:hAnsi="Times New Roman" w:cs="Times New Roman"/>
                <w:bCs/>
                <w:lang w:val="en-US"/>
              </w:rPr>
              <w:t xml:space="preserve">% udjela u društvu </w:t>
            </w:r>
            <w:r w:rsidRPr="00BE5472">
              <w:rPr>
                <w:rFonts w:ascii="Times New Roman" w:hAnsi="Times New Roman" w:cs="Times New Roman"/>
                <w:bCs/>
                <w:i/>
                <w:iCs/>
                <w:lang w:val="en-US"/>
              </w:rPr>
              <w:t>Baškaturist</w:t>
            </w:r>
            <w:r w:rsidRPr="00BE5472">
              <w:rPr>
                <w:rFonts w:ascii="Times New Roman" w:hAnsi="Times New Roman" w:cs="Times New Roman"/>
                <w:bCs/>
                <w:lang w:val="en-US"/>
              </w:rPr>
              <w:t xml:space="preserve"> d.o.o., 91,24% udjela u društvu </w:t>
            </w:r>
            <w:r w:rsidRPr="00BE5472">
              <w:rPr>
                <w:rFonts w:ascii="Times New Roman" w:hAnsi="Times New Roman" w:cs="Times New Roman"/>
                <w:bCs/>
                <w:i/>
                <w:iCs/>
                <w:lang w:val="en-US"/>
              </w:rPr>
              <w:t>Mirta Bašćanska</w:t>
            </w:r>
            <w:r w:rsidRPr="00BE5472">
              <w:rPr>
                <w:rFonts w:ascii="Times New Roman" w:hAnsi="Times New Roman" w:cs="Times New Roman"/>
                <w:bCs/>
                <w:lang w:val="en-US"/>
              </w:rPr>
              <w:t xml:space="preserve"> d.o.o. i 99,67</w:t>
            </w:r>
            <w:r w:rsidR="00DD7A25" w:rsidRPr="00BE5472">
              <w:rPr>
                <w:rFonts w:ascii="Times New Roman" w:hAnsi="Times New Roman" w:cs="Times New Roman"/>
                <w:bCs/>
                <w:lang w:val="en-US"/>
              </w:rPr>
              <w:t xml:space="preserve"> </w:t>
            </w:r>
            <w:r w:rsidRPr="00BE5472">
              <w:rPr>
                <w:rFonts w:ascii="Times New Roman" w:hAnsi="Times New Roman" w:cs="Times New Roman"/>
                <w:bCs/>
                <w:lang w:val="en-US"/>
              </w:rPr>
              <w:t xml:space="preserve">% udjela u društvu </w:t>
            </w:r>
            <w:r w:rsidRPr="00BE5472">
              <w:rPr>
                <w:rFonts w:ascii="Times New Roman" w:hAnsi="Times New Roman" w:cs="Times New Roman"/>
                <w:bCs/>
                <w:i/>
                <w:iCs/>
                <w:lang w:val="en-US"/>
              </w:rPr>
              <w:t>Vala Bašćanska</w:t>
            </w:r>
            <w:r w:rsidRPr="00BE5472">
              <w:rPr>
                <w:rFonts w:ascii="Times New Roman" w:hAnsi="Times New Roman" w:cs="Times New Roman"/>
                <w:bCs/>
                <w:lang w:val="en-US"/>
              </w:rPr>
              <w:t xml:space="preserve"> d.o.o. za ukupnu kupovninu od 23,2 milijuna eura.  </w:t>
            </w:r>
          </w:p>
        </w:tc>
        <w:tc>
          <w:tcPr>
            <w:tcW w:w="1415" w:type="dxa"/>
          </w:tcPr>
          <w:p w14:paraId="459D79A6"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 xml:space="preserve">lipanj 2015. </w:t>
            </w:r>
          </w:p>
        </w:tc>
        <w:tc>
          <w:tcPr>
            <w:tcW w:w="1700" w:type="dxa"/>
          </w:tcPr>
          <w:p w14:paraId="4550BE47"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Baška, Krk</w:t>
            </w:r>
          </w:p>
        </w:tc>
      </w:tr>
      <w:tr w:rsidR="006E052A" w:rsidRPr="00BE5472" w14:paraId="17BFD2CD" w14:textId="77777777" w:rsidTr="00B86DFB">
        <w:tc>
          <w:tcPr>
            <w:tcW w:w="704" w:type="dxa"/>
            <w:vAlign w:val="center"/>
          </w:tcPr>
          <w:p w14:paraId="3CA6EFD7"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4.</w:t>
            </w:r>
          </w:p>
        </w:tc>
        <w:tc>
          <w:tcPr>
            <w:tcW w:w="1850" w:type="dxa"/>
          </w:tcPr>
          <w:p w14:paraId="6B4BD847"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Valamar</w:t>
            </w:r>
            <w:r w:rsidRPr="00BE5472">
              <w:rPr>
                <w:rFonts w:ascii="Times New Roman" w:hAnsi="Times New Roman" w:cs="Times New Roman"/>
                <w:bCs/>
                <w:lang w:val="it-IT"/>
              </w:rPr>
              <w:t xml:space="preserve"> d.d. i </w:t>
            </w:r>
            <w:r w:rsidRPr="00BE5472">
              <w:rPr>
                <w:rFonts w:ascii="Times New Roman" w:hAnsi="Times New Roman" w:cs="Times New Roman"/>
                <w:bCs/>
                <w:i/>
                <w:iCs/>
                <w:lang w:val="it-IT"/>
              </w:rPr>
              <w:t>Imperial</w:t>
            </w:r>
            <w:r w:rsidRPr="00BE5472">
              <w:rPr>
                <w:rFonts w:ascii="Times New Roman" w:hAnsi="Times New Roman" w:cs="Times New Roman"/>
                <w:bCs/>
                <w:lang w:val="it-IT"/>
              </w:rPr>
              <w:t xml:space="preserve">  d.d.</w:t>
            </w:r>
          </w:p>
        </w:tc>
        <w:tc>
          <w:tcPr>
            <w:tcW w:w="3681" w:type="dxa"/>
          </w:tcPr>
          <w:p w14:paraId="57B51F71" w14:textId="2C84BE2B"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Valamar</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Riviera</w:t>
            </w:r>
            <w:r w:rsidRPr="00BE5472">
              <w:rPr>
                <w:rFonts w:ascii="Times New Roman" w:hAnsi="Times New Roman" w:cs="Times New Roman"/>
                <w:bCs/>
                <w:lang w:val="it-IT"/>
              </w:rPr>
              <w:t xml:space="preserve"> d.d. od države u suradnji s AZ društvom za upravljanje obveznim mirovinskim fondom kupila je 50,08</w:t>
            </w:r>
            <w:r w:rsidR="002251B5" w:rsidRPr="00BE5472">
              <w:rPr>
                <w:rFonts w:ascii="Times New Roman" w:hAnsi="Times New Roman" w:cs="Times New Roman"/>
                <w:bCs/>
                <w:lang w:val="it-IT"/>
              </w:rPr>
              <w:t xml:space="preserve"> </w:t>
            </w:r>
            <w:r w:rsidRPr="00BE5472">
              <w:rPr>
                <w:rFonts w:ascii="Times New Roman" w:hAnsi="Times New Roman" w:cs="Times New Roman"/>
                <w:bCs/>
                <w:lang w:val="it-IT"/>
              </w:rPr>
              <w:t xml:space="preserve">% dionica </w:t>
            </w:r>
            <w:r w:rsidRPr="00BE5472">
              <w:rPr>
                <w:rFonts w:ascii="Times New Roman" w:hAnsi="Times New Roman" w:cs="Times New Roman"/>
                <w:bCs/>
                <w:i/>
                <w:iCs/>
                <w:lang w:val="it-IT"/>
              </w:rPr>
              <w:t>Imperiala</w:t>
            </w:r>
            <w:r w:rsidRPr="00BE5472">
              <w:rPr>
                <w:rFonts w:ascii="Times New Roman" w:hAnsi="Times New Roman" w:cs="Times New Roman"/>
                <w:bCs/>
                <w:lang w:val="it-IT"/>
              </w:rPr>
              <w:t xml:space="preserve"> d.d. </w:t>
            </w:r>
            <w:r w:rsidRPr="00BE5472">
              <w:rPr>
                <w:rFonts w:ascii="Times New Roman" w:hAnsi="Times New Roman" w:cs="Times New Roman"/>
                <w:bCs/>
                <w:vertAlign w:val="superscript"/>
                <w:lang w:val="en-US"/>
              </w:rPr>
              <w:footnoteReference w:id="31"/>
            </w:r>
            <w:r w:rsidRPr="00BE5472">
              <w:rPr>
                <w:rFonts w:ascii="Times New Roman" w:hAnsi="Times New Roman" w:cs="Times New Roman"/>
                <w:bCs/>
                <w:lang w:val="it-IT"/>
              </w:rPr>
              <w:t xml:space="preserve"> </w:t>
            </w:r>
          </w:p>
        </w:tc>
        <w:tc>
          <w:tcPr>
            <w:tcW w:w="1415" w:type="dxa"/>
          </w:tcPr>
          <w:p w14:paraId="5A84116F"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rujan 2016.</w:t>
            </w:r>
          </w:p>
        </w:tc>
        <w:tc>
          <w:tcPr>
            <w:tcW w:w="1700" w:type="dxa"/>
          </w:tcPr>
          <w:p w14:paraId="179DB1EF"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Rab</w:t>
            </w:r>
          </w:p>
        </w:tc>
      </w:tr>
      <w:tr w:rsidR="006E052A" w:rsidRPr="00BE5472" w14:paraId="0E3D0BDC" w14:textId="77777777" w:rsidTr="00B86DFB">
        <w:tc>
          <w:tcPr>
            <w:tcW w:w="704" w:type="dxa"/>
            <w:vAlign w:val="center"/>
          </w:tcPr>
          <w:p w14:paraId="3506C60F"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5.</w:t>
            </w:r>
          </w:p>
        </w:tc>
        <w:tc>
          <w:tcPr>
            <w:tcW w:w="1850" w:type="dxa"/>
          </w:tcPr>
          <w:p w14:paraId="5FE90124"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d.d. i </w:t>
            </w:r>
            <w:r w:rsidRPr="00BE5472">
              <w:rPr>
                <w:rFonts w:ascii="Times New Roman" w:hAnsi="Times New Roman" w:cs="Times New Roman"/>
                <w:bCs/>
                <w:i/>
                <w:iCs/>
                <w:lang w:val="it-IT"/>
              </w:rPr>
              <w:t xml:space="preserve">Istraturist Umag </w:t>
            </w:r>
            <w:r w:rsidRPr="00BE5472">
              <w:rPr>
                <w:rFonts w:ascii="Times New Roman" w:hAnsi="Times New Roman" w:cs="Times New Roman"/>
                <w:bCs/>
                <w:lang w:val="it-IT"/>
              </w:rPr>
              <w:t>d.d.</w:t>
            </w:r>
          </w:p>
        </w:tc>
        <w:tc>
          <w:tcPr>
            <w:tcW w:w="3681" w:type="dxa"/>
          </w:tcPr>
          <w:p w14:paraId="08DDBE2A" w14:textId="2FF56F68"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Istraturist Umag</w:t>
            </w:r>
            <w:r w:rsidRPr="00BE5472">
              <w:rPr>
                <w:rFonts w:ascii="Times New Roman" w:hAnsi="Times New Roman" w:cs="Times New Roman"/>
                <w:bCs/>
                <w:lang w:val="it-IT"/>
              </w:rPr>
              <w:t xml:space="preserve"> d.d. Umag pripojen je društvu </w:t>
            </w: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d.d. Poreč </w:t>
            </w:r>
            <w:r w:rsidR="00F87611" w:rsidRPr="00BE5472">
              <w:rPr>
                <w:rFonts w:ascii="Times New Roman" w:hAnsi="Times New Roman" w:cs="Times New Roman"/>
                <w:bCs/>
                <w:lang w:val="it-IT"/>
              </w:rPr>
              <w:t xml:space="preserve">na </w:t>
            </w:r>
            <w:r w:rsidRPr="00BE5472">
              <w:rPr>
                <w:rFonts w:ascii="Times New Roman" w:hAnsi="Times New Roman" w:cs="Times New Roman"/>
                <w:bCs/>
                <w:lang w:val="it-IT"/>
              </w:rPr>
              <w:t>temelj</w:t>
            </w:r>
            <w:r w:rsidR="00F87611" w:rsidRPr="00BE5472">
              <w:rPr>
                <w:rFonts w:ascii="Times New Roman" w:hAnsi="Times New Roman" w:cs="Times New Roman"/>
                <w:bCs/>
                <w:lang w:val="it-IT"/>
              </w:rPr>
              <w:t>u</w:t>
            </w:r>
            <w:r w:rsidRPr="00BE5472">
              <w:rPr>
                <w:rFonts w:ascii="Times New Roman" w:hAnsi="Times New Roman" w:cs="Times New Roman"/>
                <w:bCs/>
                <w:lang w:val="it-IT"/>
              </w:rPr>
              <w:t xml:space="preserve"> Ugovora o pripajanju</w:t>
            </w:r>
            <w:r w:rsidR="00D72CCB" w:rsidRPr="00BE5472">
              <w:rPr>
                <w:rFonts w:ascii="Times New Roman" w:hAnsi="Times New Roman" w:cs="Times New Roman"/>
                <w:bCs/>
                <w:lang w:val="it-IT"/>
              </w:rPr>
              <w:t>.</w:t>
            </w:r>
            <w:r w:rsidRPr="00BE5472">
              <w:rPr>
                <w:rFonts w:ascii="Times New Roman" w:hAnsi="Times New Roman" w:cs="Times New Roman"/>
                <w:bCs/>
                <w:vertAlign w:val="superscript"/>
                <w:lang w:val="en-US"/>
              </w:rPr>
              <w:footnoteReference w:id="32"/>
            </w:r>
          </w:p>
        </w:tc>
        <w:tc>
          <w:tcPr>
            <w:tcW w:w="1415" w:type="dxa"/>
          </w:tcPr>
          <w:p w14:paraId="3DD4FCF1"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siječanj 2018.</w:t>
            </w:r>
          </w:p>
        </w:tc>
        <w:tc>
          <w:tcPr>
            <w:tcW w:w="1700" w:type="dxa"/>
          </w:tcPr>
          <w:p w14:paraId="2EF87F6C"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Poreč, Umag, Rijeka</w:t>
            </w:r>
          </w:p>
        </w:tc>
      </w:tr>
      <w:tr w:rsidR="006E052A" w:rsidRPr="00BE5472" w14:paraId="10A003B0" w14:textId="77777777" w:rsidTr="00B86DFB">
        <w:tc>
          <w:tcPr>
            <w:tcW w:w="704" w:type="dxa"/>
            <w:vAlign w:val="center"/>
          </w:tcPr>
          <w:p w14:paraId="56FC9E2F"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6.</w:t>
            </w:r>
          </w:p>
        </w:tc>
        <w:tc>
          <w:tcPr>
            <w:tcW w:w="1850" w:type="dxa"/>
          </w:tcPr>
          <w:p w14:paraId="344D51CF"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Adris</w:t>
            </w:r>
            <w:r w:rsidRPr="00BE5472">
              <w:rPr>
                <w:rFonts w:ascii="Times New Roman" w:hAnsi="Times New Roman" w:cs="Times New Roman"/>
                <w:bCs/>
                <w:lang w:val="en-US"/>
              </w:rPr>
              <w:t xml:space="preserve"> d.d. i HUP</w:t>
            </w:r>
          </w:p>
        </w:tc>
        <w:tc>
          <w:tcPr>
            <w:tcW w:w="3681" w:type="dxa"/>
          </w:tcPr>
          <w:p w14:paraId="154838C9"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 xml:space="preserve">Sklopljen ugovor o kupoprodaji i strateškom partnerstvu. </w:t>
            </w:r>
            <w:r w:rsidRPr="00BE5472">
              <w:rPr>
                <w:rFonts w:ascii="Times New Roman" w:hAnsi="Times New Roman" w:cs="Times New Roman"/>
                <w:bCs/>
                <w:i/>
                <w:iCs/>
                <w:lang w:val="en-US"/>
              </w:rPr>
              <w:t>Adris grupa</w:t>
            </w:r>
            <w:r w:rsidRPr="00BE5472">
              <w:rPr>
                <w:rFonts w:ascii="Times New Roman" w:hAnsi="Times New Roman" w:cs="Times New Roman"/>
                <w:bCs/>
                <w:lang w:val="en-US"/>
              </w:rPr>
              <w:t xml:space="preserve"> postaje vlasnikom 77,78 posto udjela u </w:t>
            </w:r>
            <w:r w:rsidRPr="00BE5472">
              <w:rPr>
                <w:rFonts w:ascii="Times New Roman" w:hAnsi="Times New Roman" w:cs="Times New Roman"/>
                <w:bCs/>
                <w:i/>
                <w:iCs/>
                <w:lang w:val="en-US"/>
              </w:rPr>
              <w:t>Expertusu</w:t>
            </w:r>
            <w:r w:rsidRPr="00BE5472">
              <w:rPr>
                <w:rFonts w:ascii="Times New Roman" w:hAnsi="Times New Roman" w:cs="Times New Roman"/>
                <w:bCs/>
                <w:lang w:val="en-US"/>
              </w:rPr>
              <w:t xml:space="preserve">, koji je većinski dioničar HUP-a (58,6 posto). Anđelko Leko </w:t>
            </w:r>
            <w:r w:rsidRPr="00BE5472">
              <w:rPr>
                <w:rFonts w:ascii="Times New Roman" w:hAnsi="Times New Roman" w:cs="Times New Roman"/>
                <w:bCs/>
                <w:lang w:val="en-US"/>
              </w:rPr>
              <w:lastRenderedPageBreak/>
              <w:t xml:space="preserve">ostaje vlasnik 22,22 posto </w:t>
            </w:r>
            <w:r w:rsidRPr="00BE5472">
              <w:rPr>
                <w:rFonts w:ascii="Times New Roman" w:hAnsi="Times New Roman" w:cs="Times New Roman"/>
                <w:bCs/>
                <w:i/>
                <w:iCs/>
                <w:lang w:val="en-US"/>
              </w:rPr>
              <w:t>Expertusa</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Adris grupa</w:t>
            </w:r>
            <w:r w:rsidRPr="00BE5472">
              <w:rPr>
                <w:rFonts w:ascii="Times New Roman" w:hAnsi="Times New Roman" w:cs="Times New Roman"/>
                <w:bCs/>
                <w:lang w:val="en-US"/>
              </w:rPr>
              <w:t xml:space="preserve"> ulazi u segment gradskih hotela i samostalno započinje, odnosno nastavlja  suradnju s uglednim svjetskim markama </w:t>
            </w:r>
            <w:r w:rsidRPr="00BE5472">
              <w:rPr>
                <w:rFonts w:ascii="Times New Roman" w:hAnsi="Times New Roman" w:cs="Times New Roman"/>
                <w:bCs/>
                <w:i/>
                <w:iCs/>
                <w:lang w:val="en-US"/>
              </w:rPr>
              <w:t>Marriot</w:t>
            </w:r>
            <w:r w:rsidRPr="00BE5472">
              <w:rPr>
                <w:rFonts w:ascii="Times New Roman" w:hAnsi="Times New Roman" w:cs="Times New Roman"/>
                <w:bCs/>
                <w:lang w:val="en-US"/>
              </w:rPr>
              <w:t xml:space="preserve"> grupacije (</w:t>
            </w:r>
            <w:r w:rsidRPr="00BE5472">
              <w:rPr>
                <w:rFonts w:ascii="Times New Roman" w:hAnsi="Times New Roman" w:cs="Times New Roman"/>
                <w:bCs/>
                <w:i/>
                <w:iCs/>
                <w:lang w:val="en-US"/>
              </w:rPr>
              <w:t>Sheraton</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Westin</w:t>
            </w:r>
            <w:r w:rsidRPr="00BE5472">
              <w:rPr>
                <w:rFonts w:ascii="Times New Roman" w:hAnsi="Times New Roman" w:cs="Times New Roman"/>
                <w:bCs/>
                <w:lang w:val="en-US"/>
              </w:rPr>
              <w:t>).</w:t>
            </w:r>
            <w:r w:rsidRPr="00BE5472">
              <w:rPr>
                <w:rFonts w:ascii="Times New Roman" w:hAnsi="Times New Roman" w:cs="Times New Roman"/>
                <w:bCs/>
                <w:vertAlign w:val="superscript"/>
                <w:lang w:val="en-US"/>
              </w:rPr>
              <w:footnoteReference w:id="33"/>
            </w:r>
          </w:p>
        </w:tc>
        <w:tc>
          <w:tcPr>
            <w:tcW w:w="1415" w:type="dxa"/>
          </w:tcPr>
          <w:p w14:paraId="0EB72E8B"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lastRenderedPageBreak/>
              <w:t>veljača 2018.</w:t>
            </w:r>
          </w:p>
        </w:tc>
        <w:tc>
          <w:tcPr>
            <w:tcW w:w="1700" w:type="dxa"/>
          </w:tcPr>
          <w:p w14:paraId="248154D4"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Zagreb, Dubrovnik</w:t>
            </w:r>
          </w:p>
        </w:tc>
      </w:tr>
      <w:tr w:rsidR="006E052A" w:rsidRPr="00BE5472" w14:paraId="0C5717C2" w14:textId="77777777" w:rsidTr="00B86DFB">
        <w:tc>
          <w:tcPr>
            <w:tcW w:w="704" w:type="dxa"/>
            <w:vAlign w:val="center"/>
          </w:tcPr>
          <w:p w14:paraId="65BA3307" w14:textId="77777777" w:rsidR="006E052A" w:rsidRPr="00BE5472" w:rsidRDefault="006E052A" w:rsidP="003C67E7">
            <w:pPr>
              <w:spacing w:line="360" w:lineRule="auto"/>
              <w:jc w:val="center"/>
              <w:rPr>
                <w:rFonts w:ascii="Times New Roman" w:hAnsi="Times New Roman" w:cs="Times New Roman"/>
                <w:bCs/>
                <w:lang w:val="en-US"/>
              </w:rPr>
            </w:pPr>
            <w:r w:rsidRPr="00BE5472">
              <w:rPr>
                <w:rFonts w:ascii="Times New Roman" w:hAnsi="Times New Roman" w:cs="Times New Roman"/>
                <w:bCs/>
                <w:lang w:val="en-US"/>
              </w:rPr>
              <w:t>7.</w:t>
            </w:r>
          </w:p>
        </w:tc>
        <w:tc>
          <w:tcPr>
            <w:tcW w:w="1850" w:type="dxa"/>
          </w:tcPr>
          <w:p w14:paraId="3344874F" w14:textId="4E41C5F2"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Valamar Riviera</w:t>
            </w:r>
            <w:r w:rsidRPr="00BE5472">
              <w:rPr>
                <w:rFonts w:ascii="Times New Roman" w:hAnsi="Times New Roman" w:cs="Times New Roman"/>
                <w:bCs/>
                <w:lang w:val="it-IT"/>
              </w:rPr>
              <w:t xml:space="preserve"> d.d. &amp; </w:t>
            </w:r>
            <w:r w:rsidRPr="00BE5472">
              <w:rPr>
                <w:rFonts w:ascii="Times New Roman" w:hAnsi="Times New Roman" w:cs="Times New Roman"/>
                <w:bCs/>
                <w:i/>
                <w:iCs/>
                <w:lang w:val="it-IT"/>
              </w:rPr>
              <w:t>Hoteli</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Makarska</w:t>
            </w:r>
            <w:r w:rsidRPr="00BE5472">
              <w:rPr>
                <w:rFonts w:ascii="Times New Roman" w:hAnsi="Times New Roman" w:cs="Times New Roman"/>
                <w:bCs/>
                <w:lang w:val="it-IT"/>
              </w:rPr>
              <w:t xml:space="preserve"> d.d.</w:t>
            </w:r>
          </w:p>
        </w:tc>
        <w:tc>
          <w:tcPr>
            <w:tcW w:w="3681" w:type="dxa"/>
          </w:tcPr>
          <w:p w14:paraId="6707AD86" w14:textId="4D7FF57A"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Valamar</w:t>
            </w:r>
            <w:r w:rsidRPr="00BE5472">
              <w:rPr>
                <w:rFonts w:ascii="Times New Roman" w:hAnsi="Times New Roman" w:cs="Times New Roman"/>
                <w:bCs/>
                <w:lang w:val="it-IT"/>
              </w:rPr>
              <w:t xml:space="preserve"> d.d. i Republika Hrvatska sklopili</w:t>
            </w:r>
            <w:r w:rsidR="00D72CCB" w:rsidRPr="00BE5472">
              <w:rPr>
                <w:rFonts w:ascii="Times New Roman" w:hAnsi="Times New Roman" w:cs="Times New Roman"/>
                <w:bCs/>
                <w:lang w:val="it-IT"/>
              </w:rPr>
              <w:t xml:space="preserve"> su</w:t>
            </w:r>
            <w:r w:rsidRPr="00BE5472">
              <w:rPr>
                <w:rFonts w:ascii="Times New Roman" w:hAnsi="Times New Roman" w:cs="Times New Roman"/>
                <w:bCs/>
                <w:lang w:val="it-IT"/>
              </w:rPr>
              <w:t xml:space="preserve"> Ugovor o prodaji i prijenosu dionica društva </w:t>
            </w:r>
            <w:r w:rsidRPr="00BE5472">
              <w:rPr>
                <w:rFonts w:ascii="Times New Roman" w:hAnsi="Times New Roman" w:cs="Times New Roman"/>
                <w:bCs/>
                <w:i/>
                <w:iCs/>
                <w:lang w:val="it-IT"/>
              </w:rPr>
              <w:t>Hoteli Makarska</w:t>
            </w:r>
            <w:r w:rsidRPr="00BE5472">
              <w:rPr>
                <w:rFonts w:ascii="Times New Roman" w:hAnsi="Times New Roman" w:cs="Times New Roman"/>
                <w:bCs/>
                <w:lang w:val="it-IT"/>
              </w:rPr>
              <w:t xml:space="preserve"> d.d. </w:t>
            </w:r>
            <w:r w:rsidRPr="00BE5472">
              <w:rPr>
                <w:rFonts w:ascii="Times New Roman" w:hAnsi="Times New Roman" w:cs="Times New Roman"/>
                <w:bCs/>
                <w:i/>
                <w:iCs/>
                <w:lang w:val="it-IT"/>
              </w:rPr>
              <w:t>Valamar</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Riviera</w:t>
            </w:r>
            <w:r w:rsidRPr="00BE5472">
              <w:rPr>
                <w:rFonts w:ascii="Times New Roman" w:hAnsi="Times New Roman" w:cs="Times New Roman"/>
                <w:bCs/>
                <w:lang w:val="it-IT"/>
              </w:rPr>
              <w:t xml:space="preserve"> d.d. stječe 55,5</w:t>
            </w:r>
            <w:r w:rsidR="00106DC9" w:rsidRPr="00BE5472">
              <w:rPr>
                <w:rFonts w:ascii="Times New Roman" w:hAnsi="Times New Roman" w:cs="Times New Roman"/>
                <w:bCs/>
                <w:lang w:val="it-IT"/>
              </w:rPr>
              <w:t xml:space="preserve"> </w:t>
            </w:r>
            <w:r w:rsidRPr="00BE5472">
              <w:rPr>
                <w:rFonts w:ascii="Times New Roman" w:hAnsi="Times New Roman" w:cs="Times New Roman"/>
                <w:bCs/>
                <w:lang w:val="it-IT"/>
              </w:rPr>
              <w:t xml:space="preserve">% udjela u vlasništvu. </w:t>
            </w:r>
            <w:r w:rsidRPr="00BE5472">
              <w:rPr>
                <w:rFonts w:ascii="Times New Roman" w:hAnsi="Times New Roman" w:cs="Times New Roman"/>
                <w:bCs/>
                <w:vertAlign w:val="superscript"/>
                <w:lang w:val="en-US"/>
              </w:rPr>
              <w:footnoteReference w:id="34"/>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Valamar Riviera</w:t>
            </w:r>
            <w:r w:rsidRPr="00BE5472">
              <w:rPr>
                <w:rFonts w:ascii="Times New Roman" w:hAnsi="Times New Roman" w:cs="Times New Roman"/>
                <w:bCs/>
                <w:lang w:val="it-IT"/>
              </w:rPr>
              <w:t xml:space="preserve"> u ovom postupku djeluje zajednički s AZ obveznim mirovinskim fondovima, s kojima je prethodno uspostavljen odnos zajedničkog djelovanja spram </w:t>
            </w:r>
            <w:r w:rsidRPr="00BE5472">
              <w:rPr>
                <w:rFonts w:ascii="Times New Roman" w:hAnsi="Times New Roman" w:cs="Times New Roman"/>
                <w:bCs/>
                <w:i/>
                <w:iCs/>
                <w:lang w:val="it-IT"/>
              </w:rPr>
              <w:t>Hotela Makarska</w:t>
            </w:r>
            <w:r w:rsidRPr="00BE5472">
              <w:rPr>
                <w:rFonts w:ascii="Times New Roman" w:hAnsi="Times New Roman" w:cs="Times New Roman"/>
                <w:bCs/>
                <w:lang w:val="it-IT"/>
              </w:rPr>
              <w:t xml:space="preserve"> d.d. Po stjecanju dionica od CERP-a, </w:t>
            </w:r>
            <w:r w:rsidRPr="00BE5472">
              <w:rPr>
                <w:rFonts w:ascii="Times New Roman" w:hAnsi="Times New Roman" w:cs="Times New Roman"/>
                <w:bCs/>
                <w:i/>
                <w:iCs/>
                <w:lang w:val="it-IT"/>
              </w:rPr>
              <w:t>Valamar</w:t>
            </w:r>
            <w:r w:rsidRPr="00BE5472">
              <w:rPr>
                <w:rFonts w:ascii="Times New Roman" w:hAnsi="Times New Roman" w:cs="Times New Roman"/>
                <w:bCs/>
                <w:lang w:val="it-IT"/>
              </w:rPr>
              <w:t xml:space="preserve"> je na AZ obvezne mirovinske fondove prenio dionice </w:t>
            </w:r>
            <w:r w:rsidRPr="00BE5472">
              <w:rPr>
                <w:rFonts w:ascii="Times New Roman" w:hAnsi="Times New Roman" w:cs="Times New Roman"/>
                <w:bCs/>
                <w:i/>
                <w:iCs/>
                <w:lang w:val="it-IT"/>
              </w:rPr>
              <w:t>Hotela Makarska</w:t>
            </w:r>
            <w:r w:rsidRPr="00BE5472">
              <w:rPr>
                <w:rFonts w:ascii="Times New Roman" w:hAnsi="Times New Roman" w:cs="Times New Roman"/>
                <w:bCs/>
                <w:lang w:val="it-IT"/>
              </w:rPr>
              <w:t xml:space="preserve"> koje predstavljaju 30,48% temeljnog kapitala </w:t>
            </w:r>
            <w:r w:rsidRPr="00BE5472">
              <w:rPr>
                <w:rFonts w:ascii="Times New Roman" w:hAnsi="Times New Roman" w:cs="Times New Roman"/>
                <w:bCs/>
                <w:i/>
                <w:iCs/>
                <w:lang w:val="it-IT"/>
              </w:rPr>
              <w:t xml:space="preserve">Hotela Makarska </w:t>
            </w:r>
            <w:r w:rsidRPr="00BE5472">
              <w:rPr>
                <w:rFonts w:ascii="Times New Roman" w:hAnsi="Times New Roman" w:cs="Times New Roman"/>
                <w:bCs/>
                <w:lang w:val="it-IT"/>
              </w:rPr>
              <w:t>d.d.</w:t>
            </w:r>
            <w:r w:rsidRPr="00BE5472">
              <w:rPr>
                <w:rFonts w:ascii="Times New Roman" w:hAnsi="Times New Roman" w:cs="Times New Roman"/>
                <w:bCs/>
                <w:vertAlign w:val="superscript"/>
                <w:lang w:val="en-US"/>
              </w:rPr>
              <w:footnoteReference w:id="35"/>
            </w:r>
            <w:r w:rsidRPr="00BE5472">
              <w:rPr>
                <w:rFonts w:ascii="Times New Roman" w:hAnsi="Times New Roman" w:cs="Times New Roman"/>
                <w:bCs/>
                <w:vertAlign w:val="superscript"/>
                <w:lang w:val="en-US"/>
              </w:rPr>
              <w:footnoteReference w:id="36"/>
            </w:r>
          </w:p>
          <w:p w14:paraId="2C98E6FD" w14:textId="77777777" w:rsidR="006E052A" w:rsidRPr="00BE5472" w:rsidRDefault="006E052A" w:rsidP="006E052A">
            <w:pPr>
              <w:spacing w:line="360" w:lineRule="auto"/>
              <w:jc w:val="both"/>
              <w:rPr>
                <w:rFonts w:ascii="Times New Roman" w:hAnsi="Times New Roman" w:cs="Times New Roman"/>
                <w:bCs/>
                <w:lang w:val="it-IT"/>
              </w:rPr>
            </w:pPr>
          </w:p>
          <w:p w14:paraId="00E254AD" w14:textId="77777777" w:rsidR="006E052A" w:rsidRPr="00BE5472" w:rsidRDefault="006E052A" w:rsidP="006E052A">
            <w:pPr>
              <w:spacing w:line="360" w:lineRule="auto"/>
              <w:jc w:val="both"/>
              <w:rPr>
                <w:rFonts w:ascii="Times New Roman" w:hAnsi="Times New Roman" w:cs="Times New Roman"/>
                <w:bCs/>
                <w:lang w:val="it-IT"/>
              </w:rPr>
            </w:pPr>
          </w:p>
        </w:tc>
        <w:tc>
          <w:tcPr>
            <w:tcW w:w="1415" w:type="dxa"/>
          </w:tcPr>
          <w:p w14:paraId="05D71F62"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travanj 2018.</w:t>
            </w:r>
          </w:p>
        </w:tc>
        <w:tc>
          <w:tcPr>
            <w:tcW w:w="1700" w:type="dxa"/>
          </w:tcPr>
          <w:p w14:paraId="28DB9E5D"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Makarska</w:t>
            </w:r>
          </w:p>
        </w:tc>
      </w:tr>
      <w:tr w:rsidR="006E052A" w:rsidRPr="00BE5472" w14:paraId="776FF02C" w14:textId="77777777" w:rsidTr="00B86DFB">
        <w:tc>
          <w:tcPr>
            <w:tcW w:w="704" w:type="dxa"/>
          </w:tcPr>
          <w:p w14:paraId="043729FC"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8.</w:t>
            </w:r>
          </w:p>
        </w:tc>
        <w:tc>
          <w:tcPr>
            <w:tcW w:w="1850" w:type="dxa"/>
          </w:tcPr>
          <w:p w14:paraId="535262BA"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Adris grupa</w:t>
            </w:r>
            <w:r w:rsidRPr="00BE5472">
              <w:rPr>
                <w:rFonts w:ascii="Times New Roman" w:hAnsi="Times New Roman" w:cs="Times New Roman"/>
                <w:bCs/>
                <w:lang w:val="en-US"/>
              </w:rPr>
              <w:t xml:space="preserve"> i HUP</w:t>
            </w:r>
          </w:p>
        </w:tc>
        <w:tc>
          <w:tcPr>
            <w:tcW w:w="3681" w:type="dxa"/>
          </w:tcPr>
          <w:p w14:paraId="1AA26848"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Adris</w:t>
            </w:r>
            <w:r w:rsidRPr="00BE5472">
              <w:rPr>
                <w:rFonts w:ascii="Times New Roman" w:hAnsi="Times New Roman" w:cs="Times New Roman"/>
                <w:bCs/>
                <w:lang w:val="it-IT"/>
              </w:rPr>
              <w:t xml:space="preserve"> kupuje preostalih 22,22 posto udjela u </w:t>
            </w:r>
            <w:r w:rsidRPr="00BE5472">
              <w:rPr>
                <w:rFonts w:ascii="Times New Roman" w:hAnsi="Times New Roman" w:cs="Times New Roman"/>
                <w:bCs/>
                <w:i/>
                <w:iCs/>
                <w:lang w:val="it-IT"/>
              </w:rPr>
              <w:t>Expertusu</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Adris</w:t>
            </w:r>
            <w:r w:rsidRPr="00BE5472">
              <w:rPr>
                <w:rFonts w:ascii="Times New Roman" w:hAnsi="Times New Roman" w:cs="Times New Roman"/>
                <w:bCs/>
                <w:lang w:val="it-IT"/>
              </w:rPr>
              <w:t xml:space="preserve"> i </w:t>
            </w:r>
            <w:r w:rsidRPr="00BE5472">
              <w:rPr>
                <w:rFonts w:ascii="Times New Roman" w:hAnsi="Times New Roman" w:cs="Times New Roman"/>
                <w:bCs/>
                <w:i/>
                <w:iCs/>
                <w:lang w:val="it-IT"/>
              </w:rPr>
              <w:t>Expertus</w:t>
            </w:r>
            <w:r w:rsidRPr="00BE5472">
              <w:rPr>
                <w:rFonts w:ascii="Times New Roman" w:hAnsi="Times New Roman" w:cs="Times New Roman"/>
                <w:bCs/>
                <w:lang w:val="it-IT"/>
              </w:rPr>
              <w:t xml:space="preserve"> </w:t>
            </w:r>
            <w:r w:rsidRPr="00BE5472">
              <w:rPr>
                <w:rFonts w:ascii="Times New Roman" w:hAnsi="Times New Roman" w:cs="Times New Roman"/>
                <w:bCs/>
                <w:lang w:val="it-IT"/>
              </w:rPr>
              <w:lastRenderedPageBreak/>
              <w:t>zajedno drže ukupno 405.738 dionica HUP-a Zagreb, što predstavlja 93,92 posto upisanog temeljnog kapitala.</w:t>
            </w:r>
            <w:r w:rsidRPr="00BE5472">
              <w:rPr>
                <w:rFonts w:ascii="Times New Roman" w:hAnsi="Times New Roman" w:cs="Times New Roman"/>
                <w:bCs/>
                <w:vertAlign w:val="superscript"/>
                <w:lang w:val="en-US"/>
              </w:rPr>
              <w:footnoteReference w:id="37"/>
            </w:r>
          </w:p>
        </w:tc>
        <w:tc>
          <w:tcPr>
            <w:tcW w:w="1415" w:type="dxa"/>
          </w:tcPr>
          <w:p w14:paraId="638740C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lastRenderedPageBreak/>
              <w:t>lipanj 2018.</w:t>
            </w:r>
          </w:p>
        </w:tc>
        <w:tc>
          <w:tcPr>
            <w:tcW w:w="1700" w:type="dxa"/>
          </w:tcPr>
          <w:p w14:paraId="56CC51EE"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Zagreb, Dubrovnik</w:t>
            </w:r>
          </w:p>
        </w:tc>
      </w:tr>
      <w:tr w:rsidR="006E052A" w:rsidRPr="00BE5472" w14:paraId="533D9DB0" w14:textId="77777777" w:rsidTr="00B86DFB">
        <w:tc>
          <w:tcPr>
            <w:tcW w:w="704" w:type="dxa"/>
          </w:tcPr>
          <w:p w14:paraId="1C5DCA96"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9.</w:t>
            </w:r>
          </w:p>
        </w:tc>
        <w:tc>
          <w:tcPr>
            <w:tcW w:w="1850" w:type="dxa"/>
          </w:tcPr>
          <w:p w14:paraId="5531A70B"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Valamar Riviera</w:t>
            </w:r>
            <w:r w:rsidRPr="00BE5472">
              <w:rPr>
                <w:rFonts w:ascii="Times New Roman" w:hAnsi="Times New Roman" w:cs="Times New Roman"/>
                <w:bCs/>
                <w:lang w:val="it-IT"/>
              </w:rPr>
              <w:t xml:space="preserve"> i </w:t>
            </w:r>
            <w:r w:rsidRPr="00BE5472">
              <w:rPr>
                <w:rFonts w:ascii="Times New Roman" w:hAnsi="Times New Roman" w:cs="Times New Roman"/>
                <w:bCs/>
                <w:i/>
                <w:iCs/>
                <w:lang w:val="it-IT"/>
              </w:rPr>
              <w:t>Helios Faros</w:t>
            </w:r>
            <w:r w:rsidRPr="00BE5472">
              <w:rPr>
                <w:rFonts w:ascii="Times New Roman" w:hAnsi="Times New Roman" w:cs="Times New Roman"/>
                <w:bCs/>
                <w:lang w:val="it-IT"/>
              </w:rPr>
              <w:t xml:space="preserve"> d.d.</w:t>
            </w:r>
          </w:p>
        </w:tc>
        <w:tc>
          <w:tcPr>
            <w:tcW w:w="3681" w:type="dxa"/>
          </w:tcPr>
          <w:p w14:paraId="6CE246EE" w14:textId="7A9AFF78"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it-IT"/>
              </w:rPr>
              <w:t>Valamar Riviera</w:t>
            </w:r>
            <w:r w:rsidRPr="00BE5472">
              <w:rPr>
                <w:rFonts w:ascii="Times New Roman" w:hAnsi="Times New Roman" w:cs="Times New Roman"/>
                <w:bCs/>
                <w:lang w:val="it-IT"/>
              </w:rPr>
              <w:t xml:space="preserve"> i PBZ </w:t>
            </w:r>
            <w:r w:rsidRPr="00BE5472">
              <w:rPr>
                <w:rFonts w:ascii="Times New Roman" w:hAnsi="Times New Roman" w:cs="Times New Roman"/>
                <w:bCs/>
                <w:i/>
                <w:iCs/>
                <w:lang w:val="it-IT"/>
              </w:rPr>
              <w:t>Croatia osiguranje</w:t>
            </w:r>
            <w:r w:rsidRPr="00BE5472">
              <w:rPr>
                <w:rFonts w:ascii="Times New Roman" w:hAnsi="Times New Roman" w:cs="Times New Roman"/>
                <w:bCs/>
                <w:lang w:val="it-IT"/>
              </w:rPr>
              <w:t xml:space="preserve"> dokapitalizirali </w:t>
            </w:r>
            <w:r w:rsidRPr="00BE5472">
              <w:rPr>
                <w:rFonts w:ascii="Times New Roman" w:hAnsi="Times New Roman" w:cs="Times New Roman"/>
                <w:bCs/>
                <w:i/>
                <w:iCs/>
                <w:lang w:val="it-IT"/>
              </w:rPr>
              <w:t>Helios</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Faros</w:t>
            </w:r>
            <w:r w:rsidR="00106DC9" w:rsidRPr="00BE5472">
              <w:rPr>
                <w:rFonts w:ascii="Times New Roman" w:hAnsi="Times New Roman" w:cs="Times New Roman"/>
                <w:bCs/>
                <w:i/>
                <w:iCs/>
                <w:lang w:val="it-IT"/>
              </w:rPr>
              <w:t>,</w:t>
            </w:r>
            <w:r w:rsidRPr="00BE5472">
              <w:rPr>
                <w:rFonts w:ascii="Times New Roman" w:hAnsi="Times New Roman" w:cs="Times New Roman"/>
                <w:bCs/>
                <w:lang w:val="it-IT"/>
              </w:rPr>
              <w:t xml:space="preserve"> čime su se stekli preduvjeti za izlazak </w:t>
            </w:r>
            <w:r w:rsidRPr="00BE5472">
              <w:rPr>
                <w:rFonts w:ascii="Times New Roman" w:hAnsi="Times New Roman" w:cs="Times New Roman"/>
                <w:bCs/>
                <w:i/>
                <w:iCs/>
                <w:lang w:val="it-IT"/>
              </w:rPr>
              <w:t>Heliosa Farosa</w:t>
            </w:r>
            <w:r w:rsidRPr="00BE5472">
              <w:rPr>
                <w:rFonts w:ascii="Times New Roman" w:hAnsi="Times New Roman" w:cs="Times New Roman"/>
                <w:bCs/>
                <w:lang w:val="it-IT"/>
              </w:rPr>
              <w:t xml:space="preserve"> iz stečaja. </w:t>
            </w:r>
            <w:r w:rsidRPr="00BE5472">
              <w:rPr>
                <w:rFonts w:ascii="Times New Roman" w:hAnsi="Times New Roman" w:cs="Times New Roman"/>
                <w:bCs/>
                <w:lang w:val="en-US"/>
              </w:rPr>
              <w:t>Valamar stekao 23,61</w:t>
            </w:r>
            <w:r w:rsidR="00106DC9" w:rsidRPr="00BE5472">
              <w:rPr>
                <w:rFonts w:ascii="Times New Roman" w:hAnsi="Times New Roman" w:cs="Times New Roman"/>
                <w:bCs/>
                <w:lang w:val="en-US"/>
              </w:rPr>
              <w:t xml:space="preserve"> </w:t>
            </w:r>
            <w:r w:rsidRPr="00BE5472">
              <w:rPr>
                <w:rFonts w:ascii="Times New Roman" w:hAnsi="Times New Roman" w:cs="Times New Roman"/>
                <w:bCs/>
                <w:lang w:val="en-US"/>
              </w:rPr>
              <w:t>% dionica.</w:t>
            </w:r>
          </w:p>
        </w:tc>
        <w:tc>
          <w:tcPr>
            <w:tcW w:w="1415" w:type="dxa"/>
          </w:tcPr>
          <w:p w14:paraId="3FC814EB"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svibanj 2019.</w:t>
            </w:r>
          </w:p>
        </w:tc>
        <w:tc>
          <w:tcPr>
            <w:tcW w:w="1700" w:type="dxa"/>
          </w:tcPr>
          <w:p w14:paraId="79D749F8"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Hvar</w:t>
            </w:r>
          </w:p>
        </w:tc>
      </w:tr>
      <w:tr w:rsidR="006E052A" w:rsidRPr="00BE5472" w14:paraId="184F22C8" w14:textId="77777777" w:rsidTr="00B86DFB">
        <w:tc>
          <w:tcPr>
            <w:tcW w:w="704" w:type="dxa"/>
          </w:tcPr>
          <w:p w14:paraId="7DD746AB"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10.</w:t>
            </w:r>
          </w:p>
        </w:tc>
        <w:tc>
          <w:tcPr>
            <w:tcW w:w="1850" w:type="dxa"/>
          </w:tcPr>
          <w:p w14:paraId="46BF173D"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Imperial</w:t>
            </w:r>
            <w:r w:rsidRPr="00BE5472">
              <w:rPr>
                <w:rFonts w:ascii="Times New Roman" w:hAnsi="Times New Roman" w:cs="Times New Roman"/>
                <w:bCs/>
                <w:lang w:val="en-US"/>
              </w:rPr>
              <w:t xml:space="preserve"> d.d. i </w:t>
            </w:r>
            <w:r w:rsidRPr="00BE5472">
              <w:rPr>
                <w:rFonts w:ascii="Times New Roman" w:hAnsi="Times New Roman" w:cs="Times New Roman"/>
                <w:bCs/>
                <w:i/>
                <w:iCs/>
                <w:lang w:val="en-US"/>
              </w:rPr>
              <w:t>Hoteli Makarska</w:t>
            </w:r>
            <w:r w:rsidRPr="00BE5472">
              <w:rPr>
                <w:rFonts w:ascii="Times New Roman" w:hAnsi="Times New Roman" w:cs="Times New Roman"/>
                <w:bCs/>
                <w:lang w:val="en-US"/>
              </w:rPr>
              <w:t xml:space="preserve"> d.d.</w:t>
            </w:r>
          </w:p>
        </w:tc>
        <w:tc>
          <w:tcPr>
            <w:tcW w:w="3681" w:type="dxa"/>
          </w:tcPr>
          <w:p w14:paraId="2BEB6896" w14:textId="40F9293B"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 xml:space="preserve">Konsolidacija. Turistička poduzeća </w:t>
            </w:r>
            <w:r w:rsidRPr="00BE5472">
              <w:rPr>
                <w:rFonts w:ascii="Times New Roman" w:hAnsi="Times New Roman" w:cs="Times New Roman"/>
                <w:bCs/>
                <w:i/>
                <w:iCs/>
                <w:lang w:val="en-US"/>
              </w:rPr>
              <w:t>Imperial</w:t>
            </w:r>
            <w:r w:rsidRPr="00BE5472">
              <w:rPr>
                <w:rFonts w:ascii="Times New Roman" w:hAnsi="Times New Roman" w:cs="Times New Roman"/>
                <w:bCs/>
                <w:lang w:val="en-US"/>
              </w:rPr>
              <w:t xml:space="preserve"> i </w:t>
            </w:r>
            <w:r w:rsidRPr="00BE5472">
              <w:rPr>
                <w:rFonts w:ascii="Times New Roman" w:hAnsi="Times New Roman" w:cs="Times New Roman"/>
                <w:bCs/>
                <w:i/>
                <w:iCs/>
                <w:lang w:val="en-US"/>
              </w:rPr>
              <w:t>Hoteli Makarska</w:t>
            </w:r>
            <w:r w:rsidRPr="00BE5472">
              <w:rPr>
                <w:rFonts w:ascii="Times New Roman" w:hAnsi="Times New Roman" w:cs="Times New Roman"/>
                <w:bCs/>
                <w:lang w:val="en-US"/>
              </w:rPr>
              <w:t xml:space="preserve"> potpisali Ugovor o pripajanju makarskog turističkog poduzeća u </w:t>
            </w:r>
            <w:r w:rsidRPr="00BE5472">
              <w:rPr>
                <w:rFonts w:ascii="Times New Roman" w:hAnsi="Times New Roman" w:cs="Times New Roman"/>
                <w:bCs/>
                <w:i/>
                <w:iCs/>
                <w:lang w:val="en-US"/>
              </w:rPr>
              <w:t>Imperial</w:t>
            </w:r>
            <w:r w:rsidRPr="00BE5472">
              <w:rPr>
                <w:rFonts w:ascii="Times New Roman" w:hAnsi="Times New Roman" w:cs="Times New Roman"/>
                <w:bCs/>
                <w:lang w:val="en-US"/>
              </w:rPr>
              <w:t xml:space="preserve">. Objedinjena poduzeća nastavit će poslovati pod imenom </w:t>
            </w:r>
            <w:r w:rsidRPr="00BE5472">
              <w:rPr>
                <w:rFonts w:ascii="Times New Roman" w:hAnsi="Times New Roman" w:cs="Times New Roman"/>
                <w:bCs/>
                <w:i/>
                <w:iCs/>
                <w:lang w:val="en-US"/>
              </w:rPr>
              <w:t>Imperial Riviera</w:t>
            </w:r>
            <w:r w:rsidRPr="00BE5472">
              <w:rPr>
                <w:rFonts w:ascii="Times New Roman" w:hAnsi="Times New Roman" w:cs="Times New Roman"/>
                <w:bCs/>
                <w:lang w:val="en-US"/>
              </w:rPr>
              <w:t xml:space="preserve"> sa sjedištem u Rabu te podružnici u Makarskoj.</w:t>
            </w:r>
            <w:r w:rsidRPr="00BE5472">
              <w:rPr>
                <w:rFonts w:ascii="Times New Roman" w:hAnsi="Times New Roman" w:cs="Times New Roman"/>
                <w:bCs/>
                <w:vertAlign w:val="superscript"/>
                <w:lang w:val="en-US"/>
              </w:rPr>
              <w:footnoteReference w:id="38"/>
            </w:r>
          </w:p>
        </w:tc>
        <w:tc>
          <w:tcPr>
            <w:tcW w:w="1415" w:type="dxa"/>
          </w:tcPr>
          <w:p w14:paraId="01180BC7"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ožujak 2019</w:t>
            </w:r>
          </w:p>
        </w:tc>
        <w:tc>
          <w:tcPr>
            <w:tcW w:w="1700" w:type="dxa"/>
          </w:tcPr>
          <w:p w14:paraId="1288772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Makarska, Rab</w:t>
            </w:r>
          </w:p>
        </w:tc>
      </w:tr>
      <w:tr w:rsidR="006E052A" w:rsidRPr="00BE5472" w14:paraId="7BC80ABC" w14:textId="77777777" w:rsidTr="00B86DFB">
        <w:trPr>
          <w:trHeight w:val="647"/>
        </w:trPr>
        <w:tc>
          <w:tcPr>
            <w:tcW w:w="704" w:type="dxa"/>
          </w:tcPr>
          <w:p w14:paraId="2EF5FFF4"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11.</w:t>
            </w:r>
          </w:p>
        </w:tc>
        <w:tc>
          <w:tcPr>
            <w:tcW w:w="1850" w:type="dxa"/>
          </w:tcPr>
          <w:p w14:paraId="2E68F2B2"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Laguna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Novigrad</w:t>
            </w:r>
            <w:r w:rsidRPr="00BE5472">
              <w:rPr>
                <w:rFonts w:ascii="Times New Roman" w:hAnsi="Times New Roman" w:cs="Times New Roman"/>
                <w:bCs/>
                <w:lang w:val="it-IT"/>
              </w:rPr>
              <w:t xml:space="preserve"> i </w:t>
            </w:r>
            <w:r w:rsidRPr="00BE5472">
              <w:rPr>
                <w:rFonts w:ascii="Times New Roman" w:hAnsi="Times New Roman" w:cs="Times New Roman"/>
                <w:bCs/>
                <w:i/>
                <w:iCs/>
                <w:lang w:val="it-IT"/>
              </w:rPr>
              <w:t>Auctor</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Kapital</w:t>
            </w:r>
            <w:r w:rsidRPr="00BE5472">
              <w:rPr>
                <w:rFonts w:ascii="Times New Roman" w:hAnsi="Times New Roman" w:cs="Times New Roman"/>
                <w:bCs/>
                <w:lang w:val="it-IT"/>
              </w:rPr>
              <w:t xml:space="preserve"> d.o.o.</w:t>
            </w:r>
          </w:p>
        </w:tc>
        <w:tc>
          <w:tcPr>
            <w:tcW w:w="3681" w:type="dxa"/>
          </w:tcPr>
          <w:p w14:paraId="0B335798"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Lagunu</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Novigrad</w:t>
            </w:r>
            <w:r w:rsidRPr="00BE5472">
              <w:rPr>
                <w:rFonts w:ascii="Times New Roman" w:hAnsi="Times New Roman" w:cs="Times New Roman"/>
                <w:bCs/>
                <w:lang w:val="en-US"/>
              </w:rPr>
              <w:t xml:space="preserve"> d.d. preuzima </w:t>
            </w:r>
            <w:r w:rsidRPr="00BE5472">
              <w:rPr>
                <w:rFonts w:ascii="Times New Roman" w:hAnsi="Times New Roman" w:cs="Times New Roman"/>
                <w:bCs/>
                <w:i/>
                <w:iCs/>
                <w:lang w:val="en-US"/>
              </w:rPr>
              <w:t>Auctor</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Kapital</w:t>
            </w:r>
            <w:r w:rsidRPr="00BE5472">
              <w:rPr>
                <w:rFonts w:ascii="Times New Roman" w:hAnsi="Times New Roman" w:cs="Times New Roman"/>
                <w:bCs/>
                <w:lang w:val="en-US"/>
              </w:rPr>
              <w:t xml:space="preserve">. </w:t>
            </w:r>
          </w:p>
        </w:tc>
        <w:tc>
          <w:tcPr>
            <w:tcW w:w="1415" w:type="dxa"/>
          </w:tcPr>
          <w:p w14:paraId="4BB41189"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srpanj 2019.</w:t>
            </w:r>
          </w:p>
        </w:tc>
        <w:tc>
          <w:tcPr>
            <w:tcW w:w="1700" w:type="dxa"/>
          </w:tcPr>
          <w:p w14:paraId="5611968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Novigrad</w:t>
            </w:r>
          </w:p>
        </w:tc>
      </w:tr>
      <w:tr w:rsidR="006E052A" w:rsidRPr="00BE5472" w14:paraId="1183FF0A" w14:textId="77777777" w:rsidTr="00B86DFB">
        <w:tc>
          <w:tcPr>
            <w:tcW w:w="704" w:type="dxa"/>
          </w:tcPr>
          <w:p w14:paraId="4450C4C2"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12.</w:t>
            </w:r>
          </w:p>
        </w:tc>
        <w:tc>
          <w:tcPr>
            <w:tcW w:w="1850" w:type="dxa"/>
          </w:tcPr>
          <w:p w14:paraId="6999270F"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Laguna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Novigrad</w:t>
            </w:r>
            <w:r w:rsidRPr="00BE5472">
              <w:rPr>
                <w:rFonts w:ascii="Times New Roman" w:hAnsi="Times New Roman" w:cs="Times New Roman"/>
                <w:bCs/>
                <w:lang w:val="it-IT"/>
              </w:rPr>
              <w:t xml:space="preserve"> d.d. &amp; </w:t>
            </w:r>
            <w:r w:rsidRPr="00BE5472">
              <w:rPr>
                <w:rFonts w:ascii="Times New Roman" w:hAnsi="Times New Roman" w:cs="Times New Roman"/>
                <w:bCs/>
                <w:i/>
                <w:iCs/>
                <w:lang w:val="it-IT"/>
              </w:rPr>
              <w:t>Dalmacija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hoteli</w:t>
            </w:r>
            <w:r w:rsidRPr="00BE5472">
              <w:rPr>
                <w:rFonts w:ascii="Times New Roman" w:hAnsi="Times New Roman" w:cs="Times New Roman"/>
                <w:bCs/>
                <w:lang w:val="it-IT"/>
              </w:rPr>
              <w:t xml:space="preserve"> d.o.o. </w:t>
            </w:r>
          </w:p>
        </w:tc>
        <w:tc>
          <w:tcPr>
            <w:tcW w:w="3681" w:type="dxa"/>
          </w:tcPr>
          <w:p w14:paraId="337C4976" w14:textId="4DA9DE5E"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lang w:val="it-IT"/>
              </w:rPr>
              <w:t xml:space="preserve">Prodaja društva </w:t>
            </w:r>
            <w:r w:rsidRPr="00BE5472">
              <w:rPr>
                <w:rFonts w:ascii="Times New Roman" w:hAnsi="Times New Roman" w:cs="Times New Roman"/>
                <w:bCs/>
                <w:i/>
                <w:iCs/>
                <w:lang w:val="it-IT"/>
              </w:rPr>
              <w:t>Dalmacija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hoteli</w:t>
            </w:r>
            <w:r w:rsidRPr="00BE5472">
              <w:rPr>
                <w:rFonts w:ascii="Times New Roman" w:hAnsi="Times New Roman" w:cs="Times New Roman"/>
                <w:bCs/>
                <w:lang w:val="it-IT"/>
              </w:rPr>
              <w:t xml:space="preserve"> d.o.o. od strane vlasnika Društva za upravljanje fondovima </w:t>
            </w:r>
            <w:r w:rsidRPr="00BE5472">
              <w:rPr>
                <w:rFonts w:ascii="Times New Roman" w:hAnsi="Times New Roman" w:cs="Times New Roman"/>
                <w:bCs/>
                <w:i/>
                <w:iCs/>
                <w:lang w:val="it-IT"/>
              </w:rPr>
              <w:t>PROSPERUS</w:t>
            </w:r>
            <w:r w:rsidRPr="00BE5472">
              <w:rPr>
                <w:rFonts w:ascii="Times New Roman" w:hAnsi="Times New Roman" w:cs="Times New Roman"/>
                <w:bCs/>
                <w:lang w:val="it-IT"/>
              </w:rPr>
              <w:t>-</w:t>
            </w:r>
            <w:r w:rsidRPr="00BE5472">
              <w:rPr>
                <w:rFonts w:ascii="Times New Roman" w:hAnsi="Times New Roman" w:cs="Times New Roman"/>
                <w:bCs/>
                <w:i/>
                <w:iCs/>
                <w:lang w:val="it-IT"/>
              </w:rPr>
              <w:t>INVEST</w:t>
            </w:r>
            <w:r w:rsidRPr="00BE5472">
              <w:rPr>
                <w:rFonts w:ascii="Times New Roman" w:hAnsi="Times New Roman" w:cs="Times New Roman"/>
                <w:bCs/>
                <w:lang w:val="it-IT"/>
              </w:rPr>
              <w:t xml:space="preserve">, u čijem su većinskom vlasništvu HTP </w:t>
            </w:r>
            <w:r w:rsidRPr="00BE5472">
              <w:rPr>
                <w:rFonts w:ascii="Times New Roman" w:hAnsi="Times New Roman" w:cs="Times New Roman"/>
                <w:bCs/>
                <w:i/>
                <w:iCs/>
                <w:lang w:val="it-IT"/>
              </w:rPr>
              <w:t>Korčula</w:t>
            </w:r>
            <w:r w:rsidRPr="00BE5472">
              <w:rPr>
                <w:rFonts w:ascii="Times New Roman" w:hAnsi="Times New Roman" w:cs="Times New Roman"/>
                <w:bCs/>
                <w:lang w:val="it-IT"/>
              </w:rPr>
              <w:t xml:space="preserve"> d.d. i HTP </w:t>
            </w:r>
            <w:r w:rsidRPr="00BE5472">
              <w:rPr>
                <w:rFonts w:ascii="Times New Roman" w:hAnsi="Times New Roman" w:cs="Times New Roman"/>
                <w:bCs/>
                <w:i/>
                <w:iCs/>
                <w:lang w:val="it-IT"/>
              </w:rPr>
              <w:t>Orebić</w:t>
            </w:r>
            <w:r w:rsidRPr="00BE5472">
              <w:rPr>
                <w:rFonts w:ascii="Times New Roman" w:hAnsi="Times New Roman" w:cs="Times New Roman"/>
                <w:bCs/>
                <w:lang w:val="it-IT"/>
              </w:rPr>
              <w:t xml:space="preserve"> d.d. </w:t>
            </w:r>
            <w:r w:rsidRPr="00BE5472">
              <w:rPr>
                <w:rFonts w:ascii="Times New Roman" w:hAnsi="Times New Roman" w:cs="Times New Roman"/>
                <w:bCs/>
                <w:i/>
                <w:iCs/>
                <w:lang w:val="it-IT"/>
              </w:rPr>
              <w:t>Laguni</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Novigrad</w:t>
            </w:r>
            <w:r w:rsidRPr="00BE5472">
              <w:rPr>
                <w:rFonts w:ascii="Times New Roman" w:hAnsi="Times New Roman" w:cs="Times New Roman"/>
                <w:bCs/>
                <w:lang w:val="it-IT"/>
              </w:rPr>
              <w:t xml:space="preserve"> d.d.  Za vrijednost transakcije od 140 milijuna kuna. </w:t>
            </w:r>
            <w:r w:rsidRPr="00BE5472">
              <w:rPr>
                <w:rFonts w:ascii="Times New Roman" w:hAnsi="Times New Roman" w:cs="Times New Roman"/>
                <w:bCs/>
                <w:i/>
                <w:iCs/>
                <w:lang w:val="it-IT"/>
              </w:rPr>
              <w:t>Laguna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Novigrad</w:t>
            </w:r>
            <w:r w:rsidRPr="00BE5472">
              <w:rPr>
                <w:rFonts w:ascii="Times New Roman" w:hAnsi="Times New Roman" w:cs="Times New Roman"/>
                <w:bCs/>
                <w:lang w:val="it-IT"/>
              </w:rPr>
              <w:t xml:space="preserve"> osigurat</w:t>
            </w:r>
            <w:r w:rsidR="002251B5" w:rsidRPr="00BE5472">
              <w:rPr>
                <w:rFonts w:ascii="Times New Roman" w:hAnsi="Times New Roman" w:cs="Times New Roman"/>
                <w:bCs/>
                <w:lang w:val="it-IT"/>
              </w:rPr>
              <w:t xml:space="preserve"> će</w:t>
            </w:r>
            <w:r w:rsidRPr="00BE5472">
              <w:rPr>
                <w:rFonts w:ascii="Times New Roman" w:hAnsi="Times New Roman" w:cs="Times New Roman"/>
                <w:bCs/>
                <w:lang w:val="it-IT"/>
              </w:rPr>
              <w:t xml:space="preserve"> dokapitalizaciju preko posrednog </w:t>
            </w:r>
            <w:r w:rsidRPr="00BE5472">
              <w:rPr>
                <w:rFonts w:ascii="Times New Roman" w:hAnsi="Times New Roman" w:cs="Times New Roman"/>
                <w:bCs/>
                <w:lang w:val="it-IT"/>
              </w:rPr>
              <w:lastRenderedPageBreak/>
              <w:t xml:space="preserve">većinskog vlasnika, društva </w:t>
            </w:r>
            <w:r w:rsidRPr="00BE5472">
              <w:rPr>
                <w:rFonts w:ascii="Times New Roman" w:hAnsi="Times New Roman" w:cs="Times New Roman"/>
                <w:bCs/>
                <w:i/>
                <w:iCs/>
                <w:lang w:val="it-IT"/>
              </w:rPr>
              <w:t>Auctor</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Holding</w:t>
            </w:r>
            <w:r w:rsidRPr="00BE5472">
              <w:rPr>
                <w:rFonts w:ascii="Times New Roman" w:hAnsi="Times New Roman" w:cs="Times New Roman"/>
                <w:bCs/>
                <w:lang w:val="it-IT"/>
              </w:rPr>
              <w:t xml:space="preserve"> a.s. iz Praga.</w:t>
            </w:r>
            <w:r w:rsidRPr="00BE5472">
              <w:rPr>
                <w:rFonts w:ascii="Times New Roman" w:hAnsi="Times New Roman" w:cs="Times New Roman"/>
                <w:bCs/>
                <w:vertAlign w:val="superscript"/>
                <w:lang w:val="en-US"/>
              </w:rPr>
              <w:footnoteReference w:id="39"/>
            </w:r>
          </w:p>
        </w:tc>
        <w:tc>
          <w:tcPr>
            <w:tcW w:w="1415" w:type="dxa"/>
          </w:tcPr>
          <w:p w14:paraId="421AF3A2"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lastRenderedPageBreak/>
              <w:t>studeni 2020.</w:t>
            </w:r>
          </w:p>
        </w:tc>
        <w:tc>
          <w:tcPr>
            <w:tcW w:w="1700" w:type="dxa"/>
          </w:tcPr>
          <w:p w14:paraId="1F01576F"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Orebić, Korčula</w:t>
            </w:r>
          </w:p>
        </w:tc>
      </w:tr>
      <w:tr w:rsidR="006E052A" w:rsidRPr="00BE5472" w14:paraId="66FB85D3" w14:textId="77777777" w:rsidTr="00B86DFB">
        <w:tc>
          <w:tcPr>
            <w:tcW w:w="704" w:type="dxa"/>
          </w:tcPr>
          <w:p w14:paraId="0FDBE19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13.</w:t>
            </w:r>
          </w:p>
        </w:tc>
        <w:tc>
          <w:tcPr>
            <w:tcW w:w="1850" w:type="dxa"/>
          </w:tcPr>
          <w:p w14:paraId="01698E10"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Sunce</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hoteli</w:t>
            </w:r>
            <w:r w:rsidRPr="00BE5472">
              <w:rPr>
                <w:rFonts w:ascii="Times New Roman" w:hAnsi="Times New Roman" w:cs="Times New Roman"/>
                <w:bCs/>
                <w:lang w:val="en-US"/>
              </w:rPr>
              <w:t xml:space="preserve"> d.d. i </w:t>
            </w:r>
            <w:r w:rsidRPr="00BE5472">
              <w:rPr>
                <w:rFonts w:ascii="Times New Roman" w:hAnsi="Times New Roman" w:cs="Times New Roman"/>
                <w:bCs/>
                <w:i/>
                <w:iCs/>
                <w:lang w:val="en-US"/>
              </w:rPr>
              <w:t>Eagle Hills Zagreb Real Estate</w:t>
            </w:r>
          </w:p>
        </w:tc>
        <w:tc>
          <w:tcPr>
            <w:tcW w:w="3681" w:type="dxa"/>
          </w:tcPr>
          <w:p w14:paraId="497B9E21" w14:textId="307353D4"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Sklopljen</w:t>
            </w:r>
            <w:r w:rsidR="00D72CCB" w:rsidRPr="00BE5472">
              <w:rPr>
                <w:rFonts w:ascii="Times New Roman" w:hAnsi="Times New Roman" w:cs="Times New Roman"/>
                <w:bCs/>
                <w:lang w:val="en-US"/>
              </w:rPr>
              <w:t xml:space="preserve"> je</w:t>
            </w:r>
            <w:r w:rsidRPr="00BE5472">
              <w:rPr>
                <w:rFonts w:ascii="Times New Roman" w:hAnsi="Times New Roman" w:cs="Times New Roman"/>
                <w:bCs/>
                <w:lang w:val="en-US"/>
              </w:rPr>
              <w:t xml:space="preserve"> ugovor o kupoprodaji dionica i poslovnih udjela čime društvo </w:t>
            </w:r>
            <w:r w:rsidRPr="00BE5472">
              <w:rPr>
                <w:rFonts w:ascii="Times New Roman" w:hAnsi="Times New Roman" w:cs="Times New Roman"/>
                <w:bCs/>
                <w:i/>
                <w:iCs/>
                <w:lang w:val="en-US"/>
              </w:rPr>
              <w:t>Eagles Hills Zagreb Real Estate</w:t>
            </w:r>
            <w:r w:rsidRPr="00BE5472">
              <w:rPr>
                <w:rFonts w:ascii="Times New Roman" w:hAnsi="Times New Roman" w:cs="Times New Roman"/>
                <w:bCs/>
                <w:lang w:val="en-US"/>
              </w:rPr>
              <w:t xml:space="preserve"> stječe 69,71 posto temeljnog kapitala hotelskog poduzeća.</w:t>
            </w:r>
          </w:p>
        </w:tc>
        <w:tc>
          <w:tcPr>
            <w:tcW w:w="1415" w:type="dxa"/>
          </w:tcPr>
          <w:p w14:paraId="266E392C"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ožujak, 2021.</w:t>
            </w:r>
          </w:p>
        </w:tc>
        <w:tc>
          <w:tcPr>
            <w:tcW w:w="1700" w:type="dxa"/>
          </w:tcPr>
          <w:p w14:paraId="6D94227A"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 xml:space="preserve">Makarska, Brač </w:t>
            </w:r>
          </w:p>
        </w:tc>
      </w:tr>
      <w:tr w:rsidR="006E052A" w:rsidRPr="00BE5472" w14:paraId="42054C2D" w14:textId="77777777" w:rsidTr="00B86DFB">
        <w:tc>
          <w:tcPr>
            <w:tcW w:w="704" w:type="dxa"/>
          </w:tcPr>
          <w:p w14:paraId="5A49D1E2"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14.</w:t>
            </w:r>
          </w:p>
        </w:tc>
        <w:tc>
          <w:tcPr>
            <w:tcW w:w="1850" w:type="dxa"/>
          </w:tcPr>
          <w:p w14:paraId="5D05A9F6"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Aminess</w:t>
            </w:r>
            <w:r w:rsidRPr="00BE5472">
              <w:rPr>
                <w:rFonts w:ascii="Times New Roman" w:hAnsi="Times New Roman" w:cs="Times New Roman"/>
                <w:bCs/>
                <w:lang w:val="en-US"/>
              </w:rPr>
              <w:t xml:space="preserve"> d.d. i </w:t>
            </w:r>
            <w:r w:rsidRPr="00BE5472">
              <w:rPr>
                <w:rFonts w:ascii="Times New Roman" w:hAnsi="Times New Roman" w:cs="Times New Roman"/>
                <w:bCs/>
                <w:i/>
                <w:iCs/>
                <w:lang w:val="en-US"/>
              </w:rPr>
              <w:t>Auctor</w:t>
            </w:r>
            <w:r w:rsidRPr="00BE5472">
              <w:rPr>
                <w:rFonts w:ascii="Times New Roman" w:hAnsi="Times New Roman" w:cs="Times New Roman"/>
                <w:bCs/>
                <w:lang w:val="en-US"/>
              </w:rPr>
              <w:t xml:space="preserve"> </w:t>
            </w:r>
            <w:r w:rsidRPr="00BE5472">
              <w:rPr>
                <w:rFonts w:ascii="Times New Roman" w:hAnsi="Times New Roman" w:cs="Times New Roman"/>
                <w:bCs/>
                <w:i/>
                <w:iCs/>
                <w:lang w:val="en-US"/>
              </w:rPr>
              <w:t>grupa</w:t>
            </w:r>
            <w:r w:rsidRPr="00BE5472">
              <w:rPr>
                <w:rFonts w:ascii="Times New Roman" w:hAnsi="Times New Roman" w:cs="Times New Roman"/>
                <w:bCs/>
                <w:lang w:val="en-US"/>
              </w:rPr>
              <w:t xml:space="preserve"> </w:t>
            </w:r>
          </w:p>
        </w:tc>
        <w:tc>
          <w:tcPr>
            <w:tcW w:w="3681" w:type="dxa"/>
          </w:tcPr>
          <w:p w14:paraId="3D561A8F"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 xml:space="preserve">Turističko poduzeće </w:t>
            </w:r>
            <w:r w:rsidRPr="00BE5472">
              <w:rPr>
                <w:rFonts w:ascii="Times New Roman" w:hAnsi="Times New Roman" w:cs="Times New Roman"/>
                <w:bCs/>
                <w:i/>
                <w:iCs/>
                <w:lang w:val="en-US"/>
              </w:rPr>
              <w:t>Aminess</w:t>
            </w:r>
            <w:r w:rsidRPr="00BE5472">
              <w:rPr>
                <w:rFonts w:ascii="Times New Roman" w:hAnsi="Times New Roman" w:cs="Times New Roman"/>
                <w:bCs/>
                <w:lang w:val="en-US"/>
              </w:rPr>
              <w:t xml:space="preserve"> d.d. službeno je preuzelo upravljanje nad novim hotelom </w:t>
            </w:r>
            <w:r w:rsidRPr="00BE5472">
              <w:rPr>
                <w:rFonts w:ascii="Times New Roman" w:hAnsi="Times New Roman" w:cs="Times New Roman"/>
                <w:bCs/>
                <w:i/>
                <w:iCs/>
                <w:lang w:val="en-US"/>
              </w:rPr>
              <w:t>Aminess Khalani Beach Hotel</w:t>
            </w:r>
            <w:r w:rsidRPr="00BE5472">
              <w:rPr>
                <w:rFonts w:ascii="Times New Roman" w:hAnsi="Times New Roman" w:cs="Times New Roman"/>
                <w:bCs/>
                <w:lang w:val="en-US"/>
              </w:rPr>
              <w:t xml:space="preserve"> u Makarskoj. </w:t>
            </w:r>
            <w:r w:rsidRPr="00BE5472">
              <w:rPr>
                <w:rFonts w:ascii="Times New Roman" w:hAnsi="Times New Roman" w:cs="Times New Roman"/>
                <w:bCs/>
                <w:i/>
                <w:iCs/>
                <w:lang w:val="en-US"/>
              </w:rPr>
              <w:t>Aminess Khalani Beach Hotel</w:t>
            </w:r>
            <w:r w:rsidRPr="00BE5472">
              <w:rPr>
                <w:rFonts w:ascii="Times New Roman" w:hAnsi="Times New Roman" w:cs="Times New Roman"/>
                <w:bCs/>
                <w:lang w:val="en-US"/>
              </w:rPr>
              <w:t xml:space="preserve"> u većinskom je vlasništvu </w:t>
            </w:r>
            <w:r w:rsidRPr="00BE5472">
              <w:rPr>
                <w:rFonts w:ascii="Times New Roman" w:hAnsi="Times New Roman" w:cs="Times New Roman"/>
                <w:bCs/>
                <w:i/>
                <w:iCs/>
                <w:lang w:val="en-US"/>
              </w:rPr>
              <w:t>Auctor</w:t>
            </w:r>
            <w:r w:rsidRPr="00BE5472">
              <w:rPr>
                <w:rFonts w:ascii="Times New Roman" w:hAnsi="Times New Roman" w:cs="Times New Roman"/>
                <w:bCs/>
                <w:lang w:val="en-US"/>
              </w:rPr>
              <w:t xml:space="preserve"> grupe.</w:t>
            </w:r>
          </w:p>
        </w:tc>
        <w:tc>
          <w:tcPr>
            <w:tcW w:w="1415" w:type="dxa"/>
          </w:tcPr>
          <w:p w14:paraId="2B45B1C6"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prosinac, 2021.</w:t>
            </w:r>
          </w:p>
        </w:tc>
        <w:tc>
          <w:tcPr>
            <w:tcW w:w="1700" w:type="dxa"/>
          </w:tcPr>
          <w:p w14:paraId="2BC1B9E5"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Makarska</w:t>
            </w:r>
          </w:p>
        </w:tc>
      </w:tr>
      <w:tr w:rsidR="006E052A" w:rsidRPr="00BE5472" w14:paraId="5812BFD6" w14:textId="77777777" w:rsidTr="00B86DFB">
        <w:tc>
          <w:tcPr>
            <w:tcW w:w="704" w:type="dxa"/>
          </w:tcPr>
          <w:p w14:paraId="604826D9"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15.</w:t>
            </w:r>
          </w:p>
        </w:tc>
        <w:tc>
          <w:tcPr>
            <w:tcW w:w="1850" w:type="dxa"/>
          </w:tcPr>
          <w:p w14:paraId="4B073E21" w14:textId="77777777"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Plava</w:t>
            </w:r>
            <w:r w:rsidRPr="00BE5472">
              <w:rPr>
                <w:rFonts w:ascii="Times New Roman" w:hAnsi="Times New Roman" w:cs="Times New Roman"/>
                <w:bCs/>
                <w:lang w:val="it-IT"/>
              </w:rPr>
              <w:t xml:space="preserve"> </w:t>
            </w:r>
            <w:r w:rsidRPr="00BE5472">
              <w:rPr>
                <w:rFonts w:ascii="Times New Roman" w:hAnsi="Times New Roman" w:cs="Times New Roman"/>
                <w:bCs/>
                <w:i/>
                <w:iCs/>
                <w:lang w:val="it-IT"/>
              </w:rPr>
              <w:t>Laguna</w:t>
            </w:r>
            <w:r w:rsidRPr="00BE5472">
              <w:rPr>
                <w:rFonts w:ascii="Times New Roman" w:hAnsi="Times New Roman" w:cs="Times New Roman"/>
                <w:bCs/>
                <w:lang w:val="it-IT"/>
              </w:rPr>
              <w:t xml:space="preserve"> d.d. &amp; </w:t>
            </w:r>
            <w:r w:rsidRPr="00BE5472">
              <w:rPr>
                <w:rFonts w:ascii="Times New Roman" w:hAnsi="Times New Roman" w:cs="Times New Roman"/>
                <w:bCs/>
                <w:i/>
                <w:iCs/>
                <w:lang w:val="it-IT"/>
              </w:rPr>
              <w:t>Jadranski luksuzni hoteli</w:t>
            </w:r>
          </w:p>
        </w:tc>
        <w:tc>
          <w:tcPr>
            <w:tcW w:w="3681" w:type="dxa"/>
          </w:tcPr>
          <w:p w14:paraId="6FE75605" w14:textId="50FFD92B" w:rsidR="006E052A" w:rsidRPr="00BE5472" w:rsidRDefault="006E052A" w:rsidP="006E052A">
            <w:pPr>
              <w:spacing w:line="360" w:lineRule="auto"/>
              <w:jc w:val="both"/>
              <w:rPr>
                <w:rFonts w:ascii="Times New Roman" w:hAnsi="Times New Roman" w:cs="Times New Roman"/>
                <w:bCs/>
                <w:lang w:val="it-IT"/>
              </w:rPr>
            </w:pPr>
            <w:r w:rsidRPr="00BE5472">
              <w:rPr>
                <w:rFonts w:ascii="Times New Roman" w:hAnsi="Times New Roman" w:cs="Times New Roman"/>
                <w:bCs/>
                <w:i/>
                <w:iCs/>
                <w:lang w:val="it-IT"/>
              </w:rPr>
              <w:t>Plava laguna</w:t>
            </w:r>
            <w:r w:rsidRPr="00BE5472">
              <w:rPr>
                <w:rFonts w:ascii="Times New Roman" w:hAnsi="Times New Roman" w:cs="Times New Roman"/>
                <w:bCs/>
                <w:lang w:val="it-IT"/>
              </w:rPr>
              <w:t xml:space="preserve"> je izvršila razmjenu i prodaju svog vlasničkog udjela u društvu </w:t>
            </w:r>
            <w:r w:rsidRPr="00BE5472">
              <w:rPr>
                <w:rFonts w:ascii="Times New Roman" w:hAnsi="Times New Roman" w:cs="Times New Roman"/>
                <w:bCs/>
                <w:i/>
                <w:iCs/>
                <w:lang w:val="it-IT"/>
              </w:rPr>
              <w:t>Jadranski luksuzni hoteli</w:t>
            </w:r>
            <w:r w:rsidRPr="00BE5472">
              <w:rPr>
                <w:rFonts w:ascii="Times New Roman" w:hAnsi="Times New Roman" w:cs="Times New Roman"/>
                <w:bCs/>
                <w:lang w:val="it-IT"/>
              </w:rPr>
              <w:t xml:space="preserve"> d.d. od 32,48</w:t>
            </w:r>
            <w:r w:rsidR="002251B5" w:rsidRPr="00BE5472">
              <w:rPr>
                <w:rFonts w:ascii="Times New Roman" w:hAnsi="Times New Roman" w:cs="Times New Roman"/>
                <w:bCs/>
                <w:lang w:val="it-IT"/>
              </w:rPr>
              <w:t xml:space="preserve"> </w:t>
            </w:r>
            <w:r w:rsidRPr="00BE5472">
              <w:rPr>
                <w:rFonts w:ascii="Times New Roman" w:hAnsi="Times New Roman" w:cs="Times New Roman"/>
                <w:bCs/>
                <w:lang w:val="it-IT"/>
              </w:rPr>
              <w:t>% u zamjenu za stjecanje dodatnog vlasničkog udjela od 65,50</w:t>
            </w:r>
            <w:r w:rsidR="002251B5" w:rsidRPr="00BE5472">
              <w:rPr>
                <w:rFonts w:ascii="Times New Roman" w:hAnsi="Times New Roman" w:cs="Times New Roman"/>
                <w:bCs/>
                <w:lang w:val="it-IT"/>
              </w:rPr>
              <w:t xml:space="preserve"> </w:t>
            </w:r>
            <w:r w:rsidRPr="00BE5472">
              <w:rPr>
                <w:rFonts w:ascii="Times New Roman" w:hAnsi="Times New Roman" w:cs="Times New Roman"/>
                <w:bCs/>
                <w:lang w:val="it-IT"/>
              </w:rPr>
              <w:t xml:space="preserve">% u društvu </w:t>
            </w:r>
            <w:r w:rsidRPr="00BE5472">
              <w:rPr>
                <w:rFonts w:ascii="Times New Roman" w:hAnsi="Times New Roman" w:cs="Times New Roman"/>
                <w:bCs/>
                <w:i/>
                <w:iCs/>
                <w:lang w:val="it-IT"/>
              </w:rPr>
              <w:t>Hotel Croatia</w:t>
            </w:r>
            <w:r w:rsidRPr="00BE5472">
              <w:rPr>
                <w:rFonts w:ascii="Times New Roman" w:hAnsi="Times New Roman" w:cs="Times New Roman"/>
                <w:bCs/>
                <w:lang w:val="it-IT"/>
              </w:rPr>
              <w:t xml:space="preserve"> d.d.  Tim stjecanjem se vlasnički udio </w:t>
            </w:r>
            <w:r w:rsidRPr="00BE5472">
              <w:rPr>
                <w:rFonts w:ascii="Times New Roman" w:hAnsi="Times New Roman" w:cs="Times New Roman"/>
                <w:bCs/>
                <w:i/>
                <w:iCs/>
                <w:lang w:val="it-IT"/>
              </w:rPr>
              <w:t>Plave lagune</w:t>
            </w:r>
            <w:r w:rsidRPr="00BE5472">
              <w:rPr>
                <w:rFonts w:ascii="Times New Roman" w:hAnsi="Times New Roman" w:cs="Times New Roman"/>
                <w:bCs/>
                <w:lang w:val="it-IT"/>
              </w:rPr>
              <w:t xml:space="preserve"> u društvu </w:t>
            </w:r>
            <w:r w:rsidRPr="00BE5472">
              <w:rPr>
                <w:rFonts w:ascii="Times New Roman" w:hAnsi="Times New Roman" w:cs="Times New Roman"/>
                <w:bCs/>
                <w:i/>
                <w:iCs/>
                <w:lang w:val="it-IT"/>
              </w:rPr>
              <w:t>Hotel Croatia</w:t>
            </w:r>
            <w:r w:rsidRPr="00BE5472">
              <w:rPr>
                <w:rFonts w:ascii="Times New Roman" w:hAnsi="Times New Roman" w:cs="Times New Roman"/>
                <w:bCs/>
                <w:lang w:val="it-IT"/>
              </w:rPr>
              <w:t xml:space="preserve"> d.d. povećava na 97,98</w:t>
            </w:r>
            <w:r w:rsidR="002251B5" w:rsidRPr="00BE5472">
              <w:rPr>
                <w:rFonts w:ascii="Times New Roman" w:hAnsi="Times New Roman" w:cs="Times New Roman"/>
                <w:bCs/>
                <w:lang w:val="it-IT"/>
              </w:rPr>
              <w:t xml:space="preserve"> </w:t>
            </w:r>
            <w:r w:rsidRPr="00BE5472">
              <w:rPr>
                <w:rFonts w:ascii="Times New Roman" w:hAnsi="Times New Roman" w:cs="Times New Roman"/>
                <w:bCs/>
                <w:lang w:val="it-IT"/>
              </w:rPr>
              <w:t xml:space="preserve">%, dok je </w:t>
            </w:r>
            <w:r w:rsidRPr="00BE5472">
              <w:rPr>
                <w:rFonts w:ascii="Times New Roman" w:hAnsi="Times New Roman" w:cs="Times New Roman"/>
                <w:bCs/>
                <w:i/>
                <w:iCs/>
                <w:lang w:val="it-IT"/>
              </w:rPr>
              <w:t xml:space="preserve">Plava laguna </w:t>
            </w:r>
            <w:r w:rsidRPr="00BE5472">
              <w:rPr>
                <w:rFonts w:ascii="Times New Roman" w:hAnsi="Times New Roman" w:cs="Times New Roman"/>
                <w:bCs/>
                <w:lang w:val="it-IT"/>
              </w:rPr>
              <w:t xml:space="preserve">u potpunosti izašla iz vlasničke strukture društva </w:t>
            </w:r>
            <w:r w:rsidRPr="00BE5472">
              <w:rPr>
                <w:rFonts w:ascii="Times New Roman" w:hAnsi="Times New Roman" w:cs="Times New Roman"/>
                <w:bCs/>
                <w:i/>
                <w:iCs/>
                <w:lang w:val="it-IT"/>
              </w:rPr>
              <w:t>Jadranski luksuzni hoteli</w:t>
            </w:r>
            <w:r w:rsidRPr="00BE5472">
              <w:rPr>
                <w:rFonts w:ascii="Times New Roman" w:hAnsi="Times New Roman" w:cs="Times New Roman"/>
                <w:bCs/>
                <w:lang w:val="it-IT"/>
              </w:rPr>
              <w:t>.</w:t>
            </w:r>
            <w:r w:rsidRPr="00BE5472">
              <w:rPr>
                <w:rFonts w:ascii="Times New Roman" w:hAnsi="Times New Roman" w:cs="Times New Roman"/>
                <w:bCs/>
                <w:vertAlign w:val="superscript"/>
                <w:lang w:val="en-US"/>
              </w:rPr>
              <w:footnoteReference w:id="40"/>
            </w:r>
          </w:p>
        </w:tc>
        <w:tc>
          <w:tcPr>
            <w:tcW w:w="1415" w:type="dxa"/>
          </w:tcPr>
          <w:p w14:paraId="18DBFC7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rujan 2022.</w:t>
            </w:r>
          </w:p>
        </w:tc>
        <w:tc>
          <w:tcPr>
            <w:tcW w:w="1700" w:type="dxa"/>
          </w:tcPr>
          <w:p w14:paraId="4A707A5B"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Cavtat</w:t>
            </w:r>
          </w:p>
        </w:tc>
      </w:tr>
      <w:tr w:rsidR="006E052A" w:rsidRPr="00BE5472" w14:paraId="2FFCFD67" w14:textId="77777777" w:rsidTr="00B86DFB">
        <w:tc>
          <w:tcPr>
            <w:tcW w:w="704" w:type="dxa"/>
          </w:tcPr>
          <w:p w14:paraId="62565938"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16.</w:t>
            </w:r>
          </w:p>
        </w:tc>
        <w:tc>
          <w:tcPr>
            <w:tcW w:w="1850" w:type="dxa"/>
          </w:tcPr>
          <w:p w14:paraId="25A9A970"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lang w:val="en-US"/>
              </w:rPr>
              <w:t>Aminess</w:t>
            </w:r>
            <w:r w:rsidRPr="00BE5472">
              <w:rPr>
                <w:rFonts w:ascii="Times New Roman" w:hAnsi="Times New Roman" w:cs="Times New Roman"/>
                <w:bCs/>
                <w:lang w:val="en-US"/>
              </w:rPr>
              <w:t xml:space="preserve"> d.d. i </w:t>
            </w:r>
            <w:r w:rsidRPr="00BE5472">
              <w:rPr>
                <w:rFonts w:ascii="Times New Roman" w:hAnsi="Times New Roman" w:cs="Times New Roman"/>
                <w:bCs/>
                <w:i/>
                <w:iCs/>
                <w:lang w:val="en-US"/>
              </w:rPr>
              <w:t>Hoteli Njivice</w:t>
            </w:r>
            <w:r w:rsidRPr="00BE5472">
              <w:rPr>
                <w:rFonts w:ascii="Times New Roman" w:hAnsi="Times New Roman" w:cs="Times New Roman"/>
                <w:bCs/>
                <w:lang w:val="en-US"/>
              </w:rPr>
              <w:t xml:space="preserve"> d.o.o. </w:t>
            </w:r>
          </w:p>
        </w:tc>
        <w:tc>
          <w:tcPr>
            <w:tcW w:w="3681" w:type="dxa"/>
          </w:tcPr>
          <w:p w14:paraId="78D5FD55" w14:textId="5363A70F"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i/>
                <w:iCs/>
                <w:u w:val="single"/>
                <w:lang w:val="en-US"/>
              </w:rPr>
              <w:t>Aminess</w:t>
            </w:r>
            <w:r w:rsidRPr="00BE5472">
              <w:rPr>
                <w:rFonts w:ascii="Times New Roman" w:hAnsi="Times New Roman" w:cs="Times New Roman"/>
                <w:bCs/>
                <w:lang w:val="en-US"/>
              </w:rPr>
              <w:t xml:space="preserve"> d.d. postaje vlasnik 33</w:t>
            </w:r>
            <w:r w:rsidR="00D72CCB" w:rsidRPr="00BE5472">
              <w:rPr>
                <w:rFonts w:ascii="Times New Roman" w:hAnsi="Times New Roman" w:cs="Times New Roman"/>
                <w:bCs/>
                <w:lang w:val="en-US"/>
              </w:rPr>
              <w:t xml:space="preserve"> </w:t>
            </w:r>
            <w:r w:rsidRPr="00BE5472">
              <w:rPr>
                <w:rFonts w:ascii="Times New Roman" w:hAnsi="Times New Roman" w:cs="Times New Roman"/>
                <w:bCs/>
                <w:lang w:val="en-US"/>
              </w:rPr>
              <w:t xml:space="preserve">% temeljnog kapitala društva </w:t>
            </w:r>
            <w:r w:rsidRPr="00BE5472">
              <w:rPr>
                <w:rFonts w:ascii="Times New Roman" w:hAnsi="Times New Roman" w:cs="Times New Roman"/>
                <w:bCs/>
                <w:i/>
                <w:iCs/>
                <w:lang w:val="en-US"/>
              </w:rPr>
              <w:t>Njivice</w:t>
            </w:r>
            <w:r w:rsidRPr="00BE5472">
              <w:rPr>
                <w:rFonts w:ascii="Times New Roman" w:hAnsi="Times New Roman" w:cs="Times New Roman"/>
                <w:bCs/>
                <w:lang w:val="en-US"/>
              </w:rPr>
              <w:t xml:space="preserve"> d.o.o. </w:t>
            </w:r>
          </w:p>
        </w:tc>
        <w:tc>
          <w:tcPr>
            <w:tcW w:w="1415" w:type="dxa"/>
          </w:tcPr>
          <w:p w14:paraId="4464A94E" w14:textId="77777777" w:rsidR="006E052A" w:rsidRPr="00BE5472" w:rsidRDefault="006E052A" w:rsidP="006E052A">
            <w:pPr>
              <w:spacing w:line="360" w:lineRule="auto"/>
              <w:jc w:val="both"/>
              <w:rPr>
                <w:rFonts w:ascii="Times New Roman" w:hAnsi="Times New Roman" w:cs="Times New Roman"/>
                <w:bCs/>
                <w:lang w:val="en-US"/>
              </w:rPr>
            </w:pPr>
          </w:p>
        </w:tc>
        <w:tc>
          <w:tcPr>
            <w:tcW w:w="1700" w:type="dxa"/>
          </w:tcPr>
          <w:p w14:paraId="64BFDFE3" w14:textId="77777777" w:rsidR="006E052A" w:rsidRPr="00BE5472" w:rsidRDefault="006E052A" w:rsidP="006E052A">
            <w:pPr>
              <w:spacing w:line="360" w:lineRule="auto"/>
              <w:jc w:val="both"/>
              <w:rPr>
                <w:rFonts w:ascii="Times New Roman" w:hAnsi="Times New Roman" w:cs="Times New Roman"/>
                <w:bCs/>
                <w:lang w:val="en-US"/>
              </w:rPr>
            </w:pPr>
            <w:r w:rsidRPr="00BE5472">
              <w:rPr>
                <w:rFonts w:ascii="Times New Roman" w:hAnsi="Times New Roman" w:cs="Times New Roman"/>
                <w:bCs/>
                <w:lang w:val="en-US"/>
              </w:rPr>
              <w:t>Njivice</w:t>
            </w:r>
          </w:p>
        </w:tc>
      </w:tr>
    </w:tbl>
    <w:p w14:paraId="17922E83" w14:textId="77777777" w:rsidR="006E052A" w:rsidRPr="00BE5472" w:rsidRDefault="006E052A" w:rsidP="006E052A">
      <w:pPr>
        <w:spacing w:line="360" w:lineRule="auto"/>
        <w:jc w:val="both"/>
        <w:rPr>
          <w:rFonts w:ascii="Times New Roman" w:hAnsi="Times New Roman" w:cs="Times New Roman"/>
          <w:sz w:val="24"/>
          <w:szCs w:val="24"/>
          <w:highlight w:val="yellow"/>
        </w:rPr>
      </w:pPr>
      <w:r w:rsidRPr="00BE5472">
        <w:rPr>
          <w:rFonts w:ascii="Times New Roman" w:hAnsi="Times New Roman" w:cs="Times New Roman"/>
          <w:sz w:val="24"/>
          <w:szCs w:val="24"/>
        </w:rPr>
        <w:t xml:space="preserve">Izvor: </w:t>
      </w:r>
      <w:bookmarkStart w:id="128" w:name="_Hlk160640671"/>
      <w:r w:rsidRPr="00BE5472">
        <w:rPr>
          <w:rFonts w:ascii="Times New Roman" w:hAnsi="Times New Roman" w:cs="Times New Roman"/>
          <w:sz w:val="24"/>
          <w:szCs w:val="24"/>
        </w:rPr>
        <w:t xml:space="preserve">Prilagođeno prema: Golja, T. Kukurin, Ž. i Prevolšek, D. (2024). </w:t>
      </w:r>
      <w:r w:rsidRPr="00BE5472">
        <w:rPr>
          <w:rFonts w:ascii="Times New Roman" w:hAnsi="Times New Roman" w:cs="Times New Roman"/>
          <w:i/>
          <w:sz w:val="24"/>
          <w:szCs w:val="24"/>
        </w:rPr>
        <w:t>Razvojne strategije u hotelijerstvu.</w:t>
      </w:r>
      <w:r w:rsidRPr="00BE5472">
        <w:rPr>
          <w:rFonts w:ascii="Times New Roman" w:hAnsi="Times New Roman" w:cs="Times New Roman"/>
          <w:sz w:val="24"/>
          <w:szCs w:val="24"/>
        </w:rPr>
        <w:t xml:space="preserve"> Pula: Sveučilište Jurja Dobrile u Puli, </w:t>
      </w:r>
      <w:bookmarkEnd w:id="128"/>
      <w:r w:rsidRPr="00BE5472">
        <w:rPr>
          <w:rFonts w:ascii="Times New Roman" w:hAnsi="Times New Roman" w:cs="Times New Roman"/>
          <w:sz w:val="24"/>
          <w:szCs w:val="24"/>
        </w:rPr>
        <w:t>str. 131 – 134.</w:t>
      </w:r>
    </w:p>
    <w:p w14:paraId="5E0F261D" w14:textId="5CF66D23"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Poduzeća koja se prilagode promjena u okruženju vjerojatno su ona koja će preživjeti bilo koju krizu</w:t>
      </w:r>
      <w:r w:rsidR="00D72CCB" w:rsidRPr="00BE5472">
        <w:rPr>
          <w:rFonts w:ascii="Times New Roman" w:hAnsi="Times New Roman" w:cs="Times New Roman"/>
          <w:sz w:val="24"/>
          <w:szCs w:val="24"/>
        </w:rPr>
        <w:t>, a</w:t>
      </w:r>
      <w:r w:rsidRPr="00BE5472">
        <w:rPr>
          <w:rFonts w:ascii="Times New Roman" w:hAnsi="Times New Roman" w:cs="Times New Roman"/>
          <w:sz w:val="24"/>
          <w:szCs w:val="24"/>
        </w:rPr>
        <w:t>li to ne znači da je svaka promjena dobra. Oni koji djeluju s pomnim i namjernim analizama i planiranjem najvjerojatnije će imati koristi od velikih i novih poslovnih poteza, uključujući spajanja i preuzimanja u hotelijerstvu.</w:t>
      </w:r>
    </w:p>
    <w:p w14:paraId="06360E2A"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tablice primjećuju se sljedeće pojave i trendovi u hrvatskom hotelskom sektoru: </w:t>
      </w:r>
    </w:p>
    <w:p w14:paraId="62CA1CC0" w14:textId="1F1DE7FD"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najveći broj poduzetih transakcija spajanja i preuzimanja ima obilježja horizontalnih s obzirom </w:t>
      </w:r>
      <w:r w:rsidR="00D72CCB" w:rsidRPr="00BE5472">
        <w:rPr>
          <w:rFonts w:ascii="Times New Roman" w:hAnsi="Times New Roman" w:cs="Times New Roman"/>
          <w:sz w:val="24"/>
          <w:szCs w:val="24"/>
        </w:rPr>
        <w:t xml:space="preserve">na to da </w:t>
      </w:r>
      <w:r w:rsidRPr="00BE5472">
        <w:rPr>
          <w:rFonts w:ascii="Times New Roman" w:hAnsi="Times New Roman" w:cs="Times New Roman"/>
          <w:sz w:val="24"/>
          <w:szCs w:val="24"/>
        </w:rPr>
        <w:t>velika hotelska poduzeća preuzimaju ona manja s nekoliko hotela,</w:t>
      </w:r>
    </w:p>
    <w:p w14:paraId="7EBDD421" w14:textId="77777777"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proširenje portfelja i geografska diverzifikacija velikih hotelska poduzeća u Hrvatskoj (prema ostvarenoj dobiti i ukupnim kapacitetima),</w:t>
      </w:r>
    </w:p>
    <w:p w14:paraId="537FE2C9" w14:textId="4B5D64A0"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najatraktivnija poduzeća mete su ona čiji se portfelj hotela nalazi na Jadranu</w:t>
      </w:r>
      <w:r w:rsidR="00D72CCB" w:rsidRPr="00BE5472">
        <w:rPr>
          <w:rFonts w:ascii="Times New Roman" w:hAnsi="Times New Roman" w:cs="Times New Roman"/>
          <w:sz w:val="24"/>
          <w:szCs w:val="24"/>
        </w:rPr>
        <w:t>,</w:t>
      </w:r>
      <w:r w:rsidRPr="00BE5472">
        <w:rPr>
          <w:rFonts w:ascii="Times New Roman" w:hAnsi="Times New Roman" w:cs="Times New Roman"/>
          <w:sz w:val="24"/>
          <w:szCs w:val="24"/>
        </w:rPr>
        <w:t xml:space="preserve"> i to u vrlo atraktivnim turističkim destinacija</w:t>
      </w:r>
      <w:r w:rsidR="00D72CCB" w:rsidRPr="00BE5472">
        <w:rPr>
          <w:rFonts w:ascii="Times New Roman" w:hAnsi="Times New Roman" w:cs="Times New Roman"/>
          <w:sz w:val="24"/>
          <w:szCs w:val="24"/>
        </w:rPr>
        <w:t>ma</w:t>
      </w:r>
      <w:r w:rsidRPr="00BE5472">
        <w:rPr>
          <w:rFonts w:ascii="Times New Roman" w:hAnsi="Times New Roman" w:cs="Times New Roman"/>
          <w:sz w:val="24"/>
          <w:szCs w:val="24"/>
        </w:rPr>
        <w:t xml:space="preserve"> čime se smanjuje rizik neuspješnog preuzimanja u smislu realizacije očekivanih poslovnih rezultata,</w:t>
      </w:r>
    </w:p>
    <w:p w14:paraId="6C2C08F7" w14:textId="58EA2950"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prisutno je strateško partnerstvo hotelskih poduzeća preuzimatelja i mirovinskih fondova te osiguravajućih društava</w:t>
      </w:r>
      <w:r w:rsidR="00D72CCB" w:rsidRPr="00BE5472">
        <w:rPr>
          <w:rFonts w:ascii="Times New Roman" w:hAnsi="Times New Roman" w:cs="Times New Roman"/>
          <w:sz w:val="24"/>
          <w:szCs w:val="24"/>
        </w:rPr>
        <w:t>,</w:t>
      </w:r>
      <w:r w:rsidRPr="00BE5472">
        <w:rPr>
          <w:rFonts w:ascii="Times New Roman" w:hAnsi="Times New Roman" w:cs="Times New Roman"/>
          <w:sz w:val="24"/>
          <w:szCs w:val="24"/>
        </w:rPr>
        <w:t xml:space="preserve"> čime se osigurava financiranje većih transakcija,</w:t>
      </w:r>
    </w:p>
    <w:p w14:paraId="7060E4AA" w14:textId="2A3FBE13"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preuzimaju se i hotelska poduzeća</w:t>
      </w:r>
      <w:r w:rsidR="00D72CCB" w:rsidRPr="00BE5472">
        <w:rPr>
          <w:rFonts w:ascii="Times New Roman" w:hAnsi="Times New Roman" w:cs="Times New Roman"/>
          <w:sz w:val="24"/>
          <w:szCs w:val="24"/>
        </w:rPr>
        <w:t>,</w:t>
      </w:r>
      <w:r w:rsidRPr="00BE5472">
        <w:rPr>
          <w:rFonts w:ascii="Times New Roman" w:hAnsi="Times New Roman" w:cs="Times New Roman"/>
          <w:sz w:val="24"/>
          <w:szCs w:val="24"/>
        </w:rPr>
        <w:t xml:space="preserve"> čija je atraktivna imovina još uvijek u pretežitom državnom vlasništvu,</w:t>
      </w:r>
    </w:p>
    <w:p w14:paraId="50312E31" w14:textId="6A6BBAD6"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identificirana su i pripajanja poduzeća matici, odnosno pripajanja unutar vlasničkih grupacija i konsolidacija poduzeća</w:t>
      </w:r>
      <w:r w:rsidR="00D72CCB" w:rsidRPr="00BE5472">
        <w:rPr>
          <w:rFonts w:ascii="Times New Roman" w:hAnsi="Times New Roman" w:cs="Times New Roman"/>
          <w:sz w:val="24"/>
          <w:szCs w:val="24"/>
        </w:rPr>
        <w:t>,</w:t>
      </w:r>
      <w:r w:rsidRPr="00BE5472">
        <w:rPr>
          <w:rFonts w:ascii="Times New Roman" w:hAnsi="Times New Roman" w:cs="Times New Roman"/>
          <w:sz w:val="24"/>
          <w:szCs w:val="24"/>
        </w:rPr>
        <w:t xml:space="preserve"> čime se osigurava upravljačka sinergija, bolja prepoznatljivost na tržištu i lakše pozicioniranje i</w:t>
      </w:r>
    </w:p>
    <w:p w14:paraId="09C5DEF4" w14:textId="41EB9F13" w:rsidR="006E052A" w:rsidRPr="00BE5472" w:rsidRDefault="006E052A" w:rsidP="00120B4F">
      <w:pPr>
        <w:numPr>
          <w:ilvl w:val="0"/>
          <w:numId w:val="8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hotelska poduzeća </w:t>
      </w:r>
      <w:r w:rsidRPr="00BE5472">
        <w:rPr>
          <w:rFonts w:ascii="Times New Roman" w:hAnsi="Times New Roman" w:cs="Times New Roman"/>
          <w:i/>
          <w:iCs/>
          <w:sz w:val="24"/>
          <w:szCs w:val="24"/>
        </w:rPr>
        <w:t>Valamar</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Riviera</w:t>
      </w:r>
      <w:r w:rsidRPr="00BE5472">
        <w:rPr>
          <w:rFonts w:ascii="Times New Roman" w:hAnsi="Times New Roman" w:cs="Times New Roman"/>
          <w:sz w:val="24"/>
          <w:szCs w:val="24"/>
        </w:rPr>
        <w:t xml:space="preserve"> d.d. i </w:t>
      </w:r>
      <w:r w:rsidRPr="00BE5472">
        <w:rPr>
          <w:rFonts w:ascii="Times New Roman" w:hAnsi="Times New Roman" w:cs="Times New Roman"/>
          <w:i/>
          <w:iCs/>
          <w:sz w:val="24"/>
          <w:szCs w:val="24"/>
        </w:rPr>
        <w:t>Aminess</w:t>
      </w:r>
      <w:r w:rsidRPr="00BE5472">
        <w:rPr>
          <w:rFonts w:ascii="Times New Roman" w:hAnsi="Times New Roman" w:cs="Times New Roman"/>
          <w:sz w:val="24"/>
          <w:szCs w:val="24"/>
        </w:rPr>
        <w:t xml:space="preserve"> d.d. izdvajaju se kao najaktivnija poduzeća preuzimatelji</w:t>
      </w:r>
      <w:r w:rsidR="00D72CCB"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sukladno njihovim strateškim prioritetima u nadolazećem razdoblju.</w:t>
      </w:r>
    </w:p>
    <w:p w14:paraId="0706DF41"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Koristi spajanja i preuzimanja hrvatskih hotelskih poduzeća koja su uključena u ove procese u analiziranim godinama jesu: </w:t>
      </w:r>
    </w:p>
    <w:p w14:paraId="2DAF8553"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smanjenje konkurencije;</w:t>
      </w:r>
    </w:p>
    <w:p w14:paraId="419A8A48"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povećanje profita i prihoda;</w:t>
      </w:r>
    </w:p>
    <w:p w14:paraId="60B7D0C9"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smanjenje troškova i operativnih troškova;</w:t>
      </w:r>
    </w:p>
    <w:p w14:paraId="06D186B0"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pristup imovini;</w:t>
      </w:r>
    </w:p>
    <w:p w14:paraId="2F28D558"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proširenje geografskog tržišta;</w:t>
      </w:r>
    </w:p>
    <w:p w14:paraId="4C8D6EC7"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povećanje tržišnog udjela i </w:t>
      </w:r>
    </w:p>
    <w:p w14:paraId="68DFB204" w14:textId="77777777" w:rsidR="006E052A" w:rsidRPr="00BE5472" w:rsidRDefault="006E052A" w:rsidP="00120B4F">
      <w:pPr>
        <w:numPr>
          <w:ilvl w:val="0"/>
          <w:numId w:val="5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povećanje kapaciteta, usluga.</w:t>
      </w:r>
    </w:p>
    <w:p w14:paraId="68BD289B" w14:textId="77777777" w:rsidR="006E052A" w:rsidRPr="00BE5472" w:rsidRDefault="006E052A" w:rsidP="006E052A">
      <w:pPr>
        <w:spacing w:line="360" w:lineRule="auto"/>
        <w:rPr>
          <w:rFonts w:ascii="Times New Roman" w:hAnsi="Times New Roman" w:cs="Times New Roman"/>
          <w:b/>
          <w:sz w:val="26"/>
          <w:szCs w:val="26"/>
        </w:rPr>
      </w:pPr>
    </w:p>
    <w:p w14:paraId="3BCBA464" w14:textId="25D688B9" w:rsidR="006E052A" w:rsidRPr="00BE5472" w:rsidRDefault="006E052A" w:rsidP="003D13C0">
      <w:pPr>
        <w:pStyle w:val="Heading3"/>
        <w:rPr>
          <w:rFonts w:ascii="Times New Roman" w:hAnsi="Times New Roman" w:cs="Times New Roman"/>
        </w:rPr>
      </w:pPr>
      <w:bookmarkStart w:id="129" w:name="_Toc210381426"/>
      <w:bookmarkStart w:id="130" w:name="_Toc241865150"/>
      <w:r w:rsidRPr="00BE5472">
        <w:rPr>
          <w:rFonts w:ascii="Times New Roman" w:hAnsi="Times New Roman" w:cs="Times New Roman"/>
        </w:rPr>
        <w:t>3.4.3. Uspješnost spajanja i preuzimanja u hotelskom sektoru</w:t>
      </w:r>
      <w:bookmarkEnd w:id="129"/>
      <w:bookmarkEnd w:id="130"/>
      <w:r w:rsidRPr="00BE5472">
        <w:rPr>
          <w:rFonts w:ascii="Times New Roman" w:hAnsi="Times New Roman" w:cs="Times New Roman"/>
        </w:rPr>
        <w:t xml:space="preserve"> </w:t>
      </w:r>
    </w:p>
    <w:p w14:paraId="3247EC10" w14:textId="77777777" w:rsidR="00BC3443" w:rsidRPr="00BE5472" w:rsidRDefault="00BC3443" w:rsidP="00BC3443">
      <w:pPr>
        <w:rPr>
          <w:rFonts w:ascii="Times New Roman" w:hAnsi="Times New Roman" w:cs="Times New Roman"/>
        </w:rPr>
      </w:pPr>
    </w:p>
    <w:p w14:paraId="0E6E6141" w14:textId="35C23186" w:rsidR="006E052A" w:rsidRPr="00BE5472"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Istraživanj strategija rasta</w:t>
      </w:r>
      <w:r w:rsidR="00D72CCB"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kao i načina provedbe razvojnih strategija hotelskih poduzeća (horizontalnih, vertikalnih ili konglomeratskih), posebice spajanja i preuzimanja poduzeća, doživjelo je gotovo eksponencijalni rast u razdoblju od 60-ih godina prošlog stoljeća pa do danas (Canina i sur. 2010). Jedan od razloga sigurno leži i u činjenici da globalnu hotelsku industriju posljednjih desetljeća obilježavaju procesi okrupnjavanja, odnosno konsolidacije, posebice od 80-ih godina prošlog stoljeća. </w:t>
      </w:r>
      <w:bookmarkStart w:id="131" w:name="_Hlk160529611"/>
      <w:r w:rsidRPr="00BE5472">
        <w:rPr>
          <w:rFonts w:ascii="Times New Roman" w:hAnsi="Times New Roman" w:cs="Times New Roman"/>
          <w:noProof/>
          <w:sz w:val="24"/>
          <w:szCs w:val="24"/>
        </w:rPr>
        <w:t xml:space="preserve">Tu je i velika konkurencija među postojećim hotelskim poduzećima, ali i činjenica da danas hotelska poduzeća vrlo često posežu za tzv. ALFO strategijom (eng. </w:t>
      </w:r>
      <w:r w:rsidRPr="00BE5472">
        <w:rPr>
          <w:rFonts w:ascii="Times New Roman" w:hAnsi="Times New Roman" w:cs="Times New Roman"/>
          <w:i/>
          <w:noProof/>
          <w:sz w:val="24"/>
          <w:szCs w:val="24"/>
        </w:rPr>
        <w:t>asset-light and fee-oriented</w:t>
      </w:r>
      <w:r w:rsidRPr="00BE5472">
        <w:rPr>
          <w:rFonts w:ascii="Times New Roman" w:hAnsi="Times New Roman" w:cs="Times New Roman"/>
          <w:noProof/>
          <w:sz w:val="24"/>
          <w:szCs w:val="24"/>
        </w:rPr>
        <w:t>)</w:t>
      </w:r>
      <w:r w:rsidR="00D72CCB"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pri čemu odabiru posjedovati manju imovinu, a više se orijentiraju na plaćanja franšize ili ugovora o menadžmentu (Li i Singal 2019). Proces ubrzane konsolidacije hotelske industrije ubrzava i potiče određene promjene koje se događaju u okruženju hotelskih poduzeća. Prije svega, riječ je o sve snažnijem utjecaju i tržišnoj moći konkurenata s disruptivnim inovacijama poput </w:t>
      </w:r>
      <w:r w:rsidRPr="00BE5472">
        <w:rPr>
          <w:rFonts w:ascii="Times New Roman" w:hAnsi="Times New Roman" w:cs="Times New Roman"/>
          <w:i/>
          <w:iCs/>
          <w:noProof/>
          <w:sz w:val="24"/>
          <w:szCs w:val="24"/>
        </w:rPr>
        <w:t>AirBNB</w:t>
      </w:r>
      <w:r w:rsidR="002155AF" w:rsidRPr="00BE5472">
        <w:rPr>
          <w:rFonts w:ascii="Times New Roman" w:hAnsi="Times New Roman" w:cs="Times New Roman"/>
          <w:i/>
          <w:iCs/>
          <w:noProof/>
          <w:sz w:val="24"/>
          <w:szCs w:val="24"/>
        </w:rPr>
        <w:t>-a</w:t>
      </w:r>
      <w:r w:rsidRPr="00BE5472">
        <w:rPr>
          <w:rFonts w:ascii="Times New Roman" w:hAnsi="Times New Roman" w:cs="Times New Roman"/>
          <w:noProof/>
          <w:sz w:val="24"/>
          <w:szCs w:val="24"/>
        </w:rPr>
        <w:t xml:space="preserve"> ili pak </w:t>
      </w:r>
      <w:r w:rsidRPr="00BE5472">
        <w:rPr>
          <w:rFonts w:ascii="Times New Roman" w:hAnsi="Times New Roman" w:cs="Times New Roman"/>
          <w:i/>
          <w:noProof/>
          <w:sz w:val="24"/>
          <w:szCs w:val="24"/>
        </w:rPr>
        <w:t>online</w:t>
      </w:r>
      <w:r w:rsidRPr="00BE5472">
        <w:rPr>
          <w:rFonts w:ascii="Times New Roman" w:hAnsi="Times New Roman" w:cs="Times New Roman"/>
          <w:noProof/>
          <w:sz w:val="24"/>
          <w:szCs w:val="24"/>
        </w:rPr>
        <w:t xml:space="preserve"> travel agenata (OTA) poput </w:t>
      </w:r>
      <w:r w:rsidRPr="00BE5472">
        <w:rPr>
          <w:rFonts w:ascii="Times New Roman" w:hAnsi="Times New Roman" w:cs="Times New Roman"/>
          <w:i/>
          <w:iCs/>
          <w:noProof/>
          <w:sz w:val="24"/>
          <w:szCs w:val="24"/>
        </w:rPr>
        <w:t>Expedi</w:t>
      </w:r>
      <w:r w:rsidR="002155AF" w:rsidRPr="00BE5472">
        <w:rPr>
          <w:rFonts w:ascii="Times New Roman" w:hAnsi="Times New Roman" w:cs="Times New Roman"/>
          <w:i/>
          <w:iCs/>
          <w:noProof/>
          <w:sz w:val="24"/>
          <w:szCs w:val="24"/>
        </w:rPr>
        <w:t>j</w:t>
      </w:r>
      <w:r w:rsidRPr="00BE5472">
        <w:rPr>
          <w:rFonts w:ascii="Times New Roman" w:hAnsi="Times New Roman" w:cs="Times New Roman"/>
          <w:i/>
          <w:iCs/>
          <w:noProof/>
          <w:sz w:val="24"/>
          <w:szCs w:val="24"/>
        </w:rPr>
        <w:t>e</w:t>
      </w:r>
      <w:r w:rsidRPr="00BE5472">
        <w:rPr>
          <w:rFonts w:ascii="Times New Roman" w:hAnsi="Times New Roman" w:cs="Times New Roman"/>
          <w:noProof/>
          <w:sz w:val="24"/>
          <w:szCs w:val="24"/>
        </w:rPr>
        <w:t xml:space="preserve"> ili </w:t>
      </w:r>
      <w:r w:rsidRPr="00BE5472">
        <w:rPr>
          <w:rFonts w:ascii="Times New Roman" w:hAnsi="Times New Roman" w:cs="Times New Roman"/>
          <w:i/>
          <w:iCs/>
          <w:noProof/>
          <w:sz w:val="24"/>
          <w:szCs w:val="24"/>
        </w:rPr>
        <w:t>Booking</w:t>
      </w:r>
      <w:r w:rsidRPr="00BE5472">
        <w:rPr>
          <w:rFonts w:ascii="Times New Roman" w:hAnsi="Times New Roman" w:cs="Times New Roman"/>
          <w:noProof/>
          <w:sz w:val="24"/>
          <w:szCs w:val="24"/>
        </w:rPr>
        <w:t>.</w:t>
      </w:r>
      <w:r w:rsidRPr="00BE5472">
        <w:rPr>
          <w:rFonts w:ascii="Times New Roman" w:hAnsi="Times New Roman" w:cs="Times New Roman"/>
          <w:i/>
          <w:iCs/>
          <w:noProof/>
          <w:sz w:val="24"/>
          <w:szCs w:val="24"/>
        </w:rPr>
        <w:t>com</w:t>
      </w:r>
      <w:r w:rsidRPr="00BE5472">
        <w:rPr>
          <w:rFonts w:ascii="Times New Roman" w:hAnsi="Times New Roman" w:cs="Times New Roman"/>
          <w:noProof/>
          <w:sz w:val="24"/>
          <w:szCs w:val="24"/>
        </w:rPr>
        <w:t>-</w:t>
      </w:r>
      <w:r w:rsidRPr="00BE5472">
        <w:rPr>
          <w:rFonts w:ascii="Times New Roman" w:hAnsi="Times New Roman" w:cs="Times New Roman"/>
          <w:i/>
          <w:iCs/>
          <w:noProof/>
          <w:sz w:val="24"/>
          <w:szCs w:val="24"/>
        </w:rPr>
        <w:t>a</w:t>
      </w:r>
      <w:r w:rsidRPr="00BE5472">
        <w:rPr>
          <w:rFonts w:ascii="Times New Roman" w:hAnsi="Times New Roman" w:cs="Times New Roman"/>
          <w:noProof/>
          <w:sz w:val="24"/>
          <w:szCs w:val="24"/>
        </w:rPr>
        <w:t xml:space="preserve">. No, pored okruženja koje neminovno ubrzava i potiče konsolidaciju, tu su i prednosti spajanja i preuzimanja poduzeća koje su dokazane mnogim istraživanjima, a dijelom se preklapaju s determinantama okruženja, posebice važnog industrijskog segmenta (konkurencija i potrošači). Prvenstveno se tu može naglasiti očekivani značaj sinergije između preuzimatelje i mete. Sinergija u hotelijerstvu počiva na činjenici da olakšava dostizanje ekonomije obujma, snižavanje troškova dijeljenjem troškova na više jedinica (veći broj kreveta) ili pak spajanje određenih funkcija konsolidiranih poduzeća (npr. preuzimanje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od strane </w:t>
      </w:r>
      <w:r w:rsidRPr="00BE5472">
        <w:rPr>
          <w:rFonts w:ascii="Times New Roman" w:hAnsi="Times New Roman" w:cs="Times New Roman"/>
          <w:i/>
          <w:iCs/>
          <w:noProof/>
          <w:sz w:val="24"/>
          <w:szCs w:val="24"/>
        </w:rPr>
        <w:t>Marriott</w:t>
      </w:r>
      <w:r w:rsidRPr="00BE5472">
        <w:rPr>
          <w:rFonts w:ascii="Times New Roman" w:hAnsi="Times New Roman" w:cs="Times New Roman"/>
          <w:noProof/>
          <w:sz w:val="24"/>
          <w:szCs w:val="24"/>
        </w:rPr>
        <w:t xml:space="preserve"> </w:t>
      </w:r>
      <w:r w:rsidRPr="00BE5472">
        <w:rPr>
          <w:rFonts w:ascii="Times New Roman" w:hAnsi="Times New Roman" w:cs="Times New Roman"/>
          <w:i/>
          <w:iCs/>
          <w:noProof/>
          <w:sz w:val="24"/>
          <w:szCs w:val="24"/>
        </w:rPr>
        <w:t>Internationala</w:t>
      </w:r>
      <w:r w:rsidRPr="00BE5472">
        <w:rPr>
          <w:rFonts w:ascii="Times New Roman" w:hAnsi="Times New Roman" w:cs="Times New Roman"/>
          <w:noProof/>
          <w:sz w:val="24"/>
          <w:szCs w:val="24"/>
        </w:rPr>
        <w:t xml:space="preserve">). Nadalje, tu su programi lojalnosti koji doprinose stvaranju sinergije (Clark 2018), a nije zanemariva ni činjenica da poduzeće preuzimatelj, preuzimanjem drugog poduzeća s već razvijenim i učinkovitim poslovnim funkcijama te stabilnim tržištem, olakšava sebi stjecanje većeg tržišnog udjela i ostvarivanje tehnoloških, ali i marketinških sinergija, kao i zadržavanje postojećih, ali i privlačenje novih tržišnih segmenata jer je razvoj novih proizvoda i marki zahtjevan i skup proces (Jargon 2018). Od ostalih čimbenika mogu se izdvojiti: financijski sinergijski učinci, upravljačka </w:t>
      </w:r>
      <w:r w:rsidRPr="00BE5472">
        <w:rPr>
          <w:rFonts w:ascii="Times New Roman" w:hAnsi="Times New Roman" w:cs="Times New Roman"/>
          <w:noProof/>
          <w:sz w:val="24"/>
          <w:szCs w:val="24"/>
        </w:rPr>
        <w:lastRenderedPageBreak/>
        <w:t xml:space="preserve">sinergija, diversifikacija, veći prihodi i profit, ostvarivanje veće mogućnosti i više pogodnosti za nova zaduživanja, znanje. </w:t>
      </w:r>
    </w:p>
    <w:p w14:paraId="3B95B4AF" w14:textId="77777777" w:rsidR="006E052A" w:rsidRPr="00BE5472" w:rsidRDefault="006E052A" w:rsidP="006E052A">
      <w:pPr>
        <w:spacing w:after="0" w:line="360" w:lineRule="auto"/>
        <w:jc w:val="both"/>
        <w:rPr>
          <w:rFonts w:ascii="Times New Roman" w:hAnsi="Times New Roman" w:cs="Times New Roman"/>
          <w:noProof/>
          <w:sz w:val="24"/>
          <w:szCs w:val="24"/>
        </w:rPr>
      </w:pPr>
    </w:p>
    <w:p w14:paraId="5E3E9E4F" w14:textId="57E1E0C6" w:rsidR="006E052A"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Unatoč inicijativama istraživača i velikom broju provedenih istraživanja procesa spajanja i preuzimanja još uvijek se nije došlo do jedinstvenog stava i odgovora na pitanje: </w:t>
      </w:r>
      <w:r w:rsidRPr="00BE5472">
        <w:rPr>
          <w:rFonts w:ascii="Times New Roman" w:hAnsi="Times New Roman" w:cs="Times New Roman"/>
          <w:i/>
          <w:noProof/>
          <w:sz w:val="24"/>
          <w:szCs w:val="24"/>
        </w:rPr>
        <w:t>Zbog čega su neka spajanja i preuzimanja uspješnija od drugih?</w:t>
      </w:r>
    </w:p>
    <w:p w14:paraId="2D77F834" w14:textId="77777777" w:rsidR="00C31E80" w:rsidRPr="00BE5472" w:rsidRDefault="00C31E80" w:rsidP="006E052A">
      <w:pPr>
        <w:spacing w:after="0" w:line="360" w:lineRule="auto"/>
        <w:jc w:val="both"/>
        <w:rPr>
          <w:rFonts w:ascii="Times New Roman" w:hAnsi="Times New Roman" w:cs="Times New Roman"/>
          <w:noProof/>
          <w:sz w:val="24"/>
          <w:szCs w:val="24"/>
        </w:rPr>
      </w:pPr>
    </w:p>
    <w:p w14:paraId="1073D46A" w14:textId="77777777" w:rsidR="00713FE3"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Jedan od razloga zasigurno leži u kompleksnosti kompletnog procesa spajanja i preuzimanja, od njegove inicijalne faze pa sve do faze integracije nakon spajanja i preuzimanja, o čemu će više riječi biti u poglavlju 3.5. </w:t>
      </w:r>
    </w:p>
    <w:p w14:paraId="3F4055C1" w14:textId="77777777" w:rsidR="00BF247A" w:rsidRDefault="00BF247A" w:rsidP="006E052A">
      <w:pPr>
        <w:spacing w:after="0" w:line="360" w:lineRule="auto"/>
        <w:jc w:val="both"/>
        <w:rPr>
          <w:rFonts w:ascii="Times New Roman" w:hAnsi="Times New Roman" w:cs="Times New Roman"/>
          <w:noProof/>
          <w:sz w:val="24"/>
          <w:szCs w:val="24"/>
        </w:rPr>
      </w:pPr>
    </w:p>
    <w:p w14:paraId="6ED66DF4" w14:textId="6049F61E" w:rsidR="006E052A" w:rsidRDefault="006E052A" w:rsidP="006E052A">
      <w:pPr>
        <w:spacing w:after="0" w:line="360" w:lineRule="auto"/>
        <w:jc w:val="both"/>
        <w:rPr>
          <w:rFonts w:ascii="Times New Roman" w:hAnsi="Times New Roman" w:cs="Times New Roman"/>
        </w:rPr>
      </w:pPr>
      <w:r w:rsidRPr="00BE5472">
        <w:rPr>
          <w:rFonts w:ascii="Times New Roman" w:hAnsi="Times New Roman" w:cs="Times New Roman"/>
          <w:noProof/>
          <w:sz w:val="24"/>
          <w:szCs w:val="24"/>
        </w:rPr>
        <w:t>Provedena istraživanja pokazuju da postoje određene specifičnosti sektora hotelijerstva, koje ga razlikuju od ostalih industrija. Radi se o radnointenzivnom i o ljudskim resursima uvelike ovisnom sektoru, i vrlo konkurentnom sektoru s proizvodima i uslugama visokog stupnja supstitucije i elastičnosti. Uz navedeno, sama uspješnost procesa spajanja i preuzimanja promatrana s aspekta stvaranja vrijednosti (financijski učinci) u sektoru hotelijerstva razlikuje se od ostalih industrija. Nerijetko se odstupanja od ostalih industrija manifestiraju u koristima koje poduzeća uživaju</w:t>
      </w:r>
      <w:r w:rsidR="009E42BC" w:rsidRPr="00BE5472">
        <w:rPr>
          <w:rFonts w:ascii="Times New Roman" w:hAnsi="Times New Roman" w:cs="Times New Roman"/>
          <w:noProof/>
          <w:sz w:val="24"/>
          <w:szCs w:val="24"/>
        </w:rPr>
        <w:t xml:space="preserve"> i</w:t>
      </w:r>
      <w:r w:rsidRPr="00BE5472">
        <w:rPr>
          <w:rFonts w:ascii="Times New Roman" w:hAnsi="Times New Roman" w:cs="Times New Roman"/>
          <w:noProof/>
          <w:sz w:val="24"/>
          <w:szCs w:val="24"/>
        </w:rPr>
        <w:t xml:space="preserve"> poduzeća preuzimatelji i poduzeća mete (Li i Singal 2021). Ma i sur. (2011), su u svom istraživanju na 452 hotelska poduzeća koja su se odlučila na preuzimanje drugih</w:t>
      </w:r>
      <w:r w:rsidR="009E42BC" w:rsidRPr="00BE5472">
        <w:rPr>
          <w:rFonts w:ascii="Times New Roman" w:hAnsi="Times New Roman" w:cs="Times New Roman"/>
          <w:noProof/>
          <w:sz w:val="24"/>
          <w:szCs w:val="24"/>
        </w:rPr>
        <w:t xml:space="preserve"> i</w:t>
      </w:r>
      <w:r w:rsidRPr="00BE5472">
        <w:rPr>
          <w:rFonts w:ascii="Times New Roman" w:hAnsi="Times New Roman" w:cs="Times New Roman"/>
          <w:noProof/>
          <w:sz w:val="24"/>
          <w:szCs w:val="24"/>
        </w:rPr>
        <w:t xml:space="preserve"> onih koja kotiraju na burzi  i onih koja ne, u razdoblju od 1981. do 2006. godine, pokazali da vrijednost za dioničare poduzeća preuzimatelja u prosjeku raste, da su isplativija preuzimanja onih poduzeća koja ne kotiraju na burzi i da su plaćanja temeljena na dionicama isplativija kada je riječ o preuzimanja većih privatnih poduzeća koja ne kotiraju na burzi.  Kakav je utjecaj odabrane metode plaćanja na uspješnost spajanja u ugostiteljskom sektoru glavno je istraživačko pitanje Chatfielda, Chatfielda i Dalbora (2012). Koristeći</w:t>
      </w:r>
      <w:r w:rsidR="009E42BC" w:rsidRPr="00BE5472">
        <w:rPr>
          <w:rFonts w:ascii="Times New Roman" w:hAnsi="Times New Roman" w:cs="Times New Roman"/>
          <w:noProof/>
          <w:sz w:val="24"/>
          <w:szCs w:val="24"/>
        </w:rPr>
        <w:t xml:space="preserve"> se</w:t>
      </w:r>
      <w:r w:rsidRPr="00BE5472">
        <w:rPr>
          <w:rFonts w:ascii="Times New Roman" w:hAnsi="Times New Roman" w:cs="Times New Roman"/>
          <w:noProof/>
          <w:sz w:val="24"/>
          <w:szCs w:val="24"/>
        </w:rPr>
        <w:t xml:space="preserve"> standardn</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metodologij</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studije slučaja odredili su kumulativne abnormalne povrate za poduzeća koja sudjeluju u ponudi za preuzimanje drugih poduzeća. Studije slučaja temelje se na analizi reziduala i istražuju promjene u bogatstvu dioničara koje proizlaze iz objave spajanja i preuzimanja. Tržišni model procjenjuje se provođenjem obične regresije najmanjih kvadrata tijekom razdoblja procjene. Razdoblje procjene započinje 240 dana prije objave i završava 61. dan prije objave spajanja/preuzimanja.</w:t>
      </w:r>
      <w:r w:rsidRPr="00BE5472">
        <w:rPr>
          <w:rFonts w:ascii="Times New Roman" w:hAnsi="Times New Roman" w:cs="Times New Roman"/>
          <w:sz w:val="24"/>
          <w:szCs w:val="24"/>
        </w:rPr>
        <w:t xml:space="preserve"> </w:t>
      </w:r>
      <w:r w:rsidRPr="00BE5472">
        <w:rPr>
          <w:rFonts w:ascii="Times New Roman" w:hAnsi="Times New Roman" w:cs="Times New Roman"/>
          <w:noProof/>
          <w:sz w:val="24"/>
          <w:szCs w:val="24"/>
        </w:rPr>
        <w:t xml:space="preserve">Ključni zaključak njihova istraživanja jest da su povrati poduzeća ponuditelja (preuzimatelja) pozitivni i statistički značajni kada se </w:t>
      </w:r>
      <w:r w:rsidRPr="00BE5472">
        <w:rPr>
          <w:rFonts w:ascii="Times New Roman" w:hAnsi="Times New Roman" w:cs="Times New Roman"/>
          <w:noProof/>
          <w:sz w:val="24"/>
          <w:szCs w:val="24"/>
        </w:rPr>
        <w:lastRenderedPageBreak/>
        <w:t>spajanja i preuzimanja plaćaju gotovinski. Međutim, povrati nisu značajno različiti od nule ako su spajanja i preuzimanja plaćena dionicama ili kombinacijom gotovine i dionica. Rezultati podupiru teoriju asimetrije informacija i teoriju signalizacije, odnosno, negativna tržišna reakcija na ponude s dionicama neutralizira potencijalne dobitke od spajanja i preuzimanja. Stoga, ako bi ponuđači iz ugostiteljstva željeli ostvariti veći povrat od spajanja i preuzimanja, trebali bi razmotriti mogućnosti gotovinskih plaćanja.</w:t>
      </w:r>
      <w:r w:rsidRPr="00BE5472">
        <w:rPr>
          <w:rFonts w:ascii="Times New Roman" w:hAnsi="Times New Roman" w:cs="Times New Roman"/>
          <w:sz w:val="24"/>
          <w:szCs w:val="24"/>
        </w:rPr>
        <w:t xml:space="preserve"> S</w:t>
      </w:r>
      <w:r w:rsidRPr="00BE5472">
        <w:rPr>
          <w:rFonts w:ascii="Times New Roman" w:hAnsi="Times New Roman" w:cs="Times New Roman"/>
          <w:noProof/>
          <w:sz w:val="24"/>
          <w:szCs w:val="24"/>
        </w:rPr>
        <w:t>tandardn</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studij</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slučaja za izračun volatilnosti abnormalnih povrata koristili su i Dogru, Erdogan i Kizildag (2018). Autori su </w:t>
      </w:r>
      <w:r w:rsidR="009E42BC" w:rsidRPr="00BE5472">
        <w:rPr>
          <w:rFonts w:ascii="Times New Roman" w:hAnsi="Times New Roman" w:cs="Times New Roman"/>
          <w:noProof/>
          <w:sz w:val="24"/>
          <w:szCs w:val="24"/>
        </w:rPr>
        <w:t xml:space="preserve">se </w:t>
      </w:r>
      <w:r w:rsidRPr="00BE5472">
        <w:rPr>
          <w:rFonts w:ascii="Times New Roman" w:hAnsi="Times New Roman" w:cs="Times New Roman"/>
          <w:noProof/>
          <w:sz w:val="24"/>
          <w:szCs w:val="24"/>
        </w:rPr>
        <w:t>još koristili analiz</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kretanja cijena dionica nakon preuzimanja, a za procjenu očekivanog povrata koristili su</w:t>
      </w:r>
      <w:r w:rsidR="009E42BC" w:rsidRPr="00BE5472">
        <w:rPr>
          <w:rFonts w:ascii="Times New Roman" w:hAnsi="Times New Roman" w:cs="Times New Roman"/>
          <w:noProof/>
          <w:sz w:val="24"/>
          <w:szCs w:val="24"/>
        </w:rPr>
        <w:t xml:space="preserve"> se</w:t>
      </w:r>
      <w:r w:rsidRPr="00BE5472">
        <w:rPr>
          <w:rFonts w:ascii="Times New Roman" w:hAnsi="Times New Roman" w:cs="Times New Roman"/>
          <w:noProof/>
          <w:sz w:val="24"/>
          <w:szCs w:val="24"/>
        </w:rPr>
        <w:t>, također, uobičajeni</w:t>
      </w:r>
      <w:r w:rsidR="009E42BC" w:rsidRPr="00BE5472">
        <w:rPr>
          <w:rFonts w:ascii="Times New Roman" w:hAnsi="Times New Roman" w:cs="Times New Roman"/>
          <w:noProof/>
          <w:sz w:val="24"/>
          <w:szCs w:val="24"/>
        </w:rPr>
        <w:t>m</w:t>
      </w:r>
      <w:r w:rsidRPr="00BE5472">
        <w:rPr>
          <w:rFonts w:ascii="Times New Roman" w:hAnsi="Times New Roman" w:cs="Times New Roman"/>
          <w:noProof/>
          <w:sz w:val="24"/>
          <w:szCs w:val="24"/>
        </w:rPr>
        <w:t xml:space="preserve"> tržišni</w:t>
      </w:r>
      <w:r w:rsidR="009E42BC" w:rsidRPr="00BE5472">
        <w:rPr>
          <w:rFonts w:ascii="Times New Roman" w:hAnsi="Times New Roman" w:cs="Times New Roman"/>
          <w:noProof/>
          <w:sz w:val="24"/>
          <w:szCs w:val="24"/>
        </w:rPr>
        <w:t>m</w:t>
      </w:r>
      <w:r w:rsidRPr="00BE5472">
        <w:rPr>
          <w:rFonts w:ascii="Times New Roman" w:hAnsi="Times New Roman" w:cs="Times New Roman"/>
          <w:noProof/>
          <w:sz w:val="24"/>
          <w:szCs w:val="24"/>
        </w:rPr>
        <w:t xml:space="preserve"> model</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upotrebom metode najmanjih kvadrata i Fama-French trofaktorski</w:t>
      </w:r>
      <w:r w:rsidR="009E42BC" w:rsidRPr="00BE5472">
        <w:rPr>
          <w:rFonts w:ascii="Times New Roman" w:hAnsi="Times New Roman" w:cs="Times New Roman"/>
          <w:noProof/>
          <w:sz w:val="24"/>
          <w:szCs w:val="24"/>
        </w:rPr>
        <w:t>m</w:t>
      </w:r>
      <w:r w:rsidRPr="00BE5472">
        <w:rPr>
          <w:rFonts w:ascii="Times New Roman" w:hAnsi="Times New Roman" w:cs="Times New Roman"/>
          <w:noProof/>
          <w:sz w:val="24"/>
          <w:szCs w:val="24"/>
        </w:rPr>
        <w:t xml:space="preserve"> model</w:t>
      </w:r>
      <w:r w:rsidR="009E42BC" w:rsidRPr="00BE5472">
        <w:rPr>
          <w:rFonts w:ascii="Times New Roman" w:hAnsi="Times New Roman" w:cs="Times New Roman"/>
          <w:noProof/>
          <w:sz w:val="24"/>
          <w:szCs w:val="24"/>
        </w:rPr>
        <w:t>om</w:t>
      </w:r>
      <w:r w:rsidRPr="00BE5472">
        <w:rPr>
          <w:rFonts w:ascii="Times New Roman" w:hAnsi="Times New Roman" w:cs="Times New Roman"/>
          <w:noProof/>
          <w:sz w:val="24"/>
          <w:szCs w:val="24"/>
        </w:rPr>
        <w:t xml:space="preserve"> za svaki događaj. Modeli su dali slične rezultate. Ove je istraživače zanimala reakcija burzovnog tržišta na objavu preuzimanja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od strane </w:t>
      </w:r>
      <w:r w:rsidRPr="00BE5472">
        <w:rPr>
          <w:rFonts w:ascii="Times New Roman" w:hAnsi="Times New Roman" w:cs="Times New Roman"/>
          <w:i/>
          <w:iCs/>
          <w:noProof/>
          <w:sz w:val="24"/>
          <w:szCs w:val="24"/>
        </w:rPr>
        <w:t>Marriot</w:t>
      </w:r>
      <w:r w:rsidRPr="00BE5472">
        <w:rPr>
          <w:rFonts w:ascii="Times New Roman" w:hAnsi="Times New Roman" w:cs="Times New Roman"/>
          <w:noProof/>
          <w:sz w:val="24"/>
          <w:szCs w:val="24"/>
        </w:rPr>
        <w:t xml:space="preserve"> </w:t>
      </w:r>
      <w:r w:rsidRPr="00BE5472">
        <w:rPr>
          <w:rFonts w:ascii="Times New Roman" w:hAnsi="Times New Roman" w:cs="Times New Roman"/>
          <w:i/>
          <w:iCs/>
          <w:noProof/>
          <w:sz w:val="24"/>
          <w:szCs w:val="24"/>
        </w:rPr>
        <w:t>Internationala</w:t>
      </w:r>
      <w:r w:rsidRPr="00BE5472">
        <w:rPr>
          <w:rFonts w:ascii="Times New Roman" w:hAnsi="Times New Roman" w:cs="Times New Roman"/>
          <w:noProof/>
          <w:sz w:val="24"/>
          <w:szCs w:val="24"/>
        </w:rPr>
        <w:t>. Autori su napravili i analizu sadržaja novosti vezanih uz ovu transakciju oko datuma objave preuzimanja. Vezano uz analizu sadržaja, autori su analizu primarno podijeli</w:t>
      </w:r>
      <w:r w:rsidR="009E42BC" w:rsidRPr="00BE5472">
        <w:rPr>
          <w:rFonts w:ascii="Times New Roman" w:hAnsi="Times New Roman" w:cs="Times New Roman"/>
          <w:noProof/>
          <w:sz w:val="24"/>
          <w:szCs w:val="24"/>
        </w:rPr>
        <w:t>li</w:t>
      </w:r>
      <w:r w:rsidRPr="00BE5472">
        <w:rPr>
          <w:rFonts w:ascii="Times New Roman" w:hAnsi="Times New Roman" w:cs="Times New Roman"/>
          <w:noProof/>
          <w:sz w:val="24"/>
          <w:szCs w:val="24"/>
        </w:rPr>
        <w:t xml:space="preserve"> na članke i objave koje su transakciju opisivali kao lošu i one koji su transakciju opisivali kao dobru.  Analizirali su dnevni povrat na dionice, očekivane povrate i kumulativne abnormalne stope povrata (CAR), pri čemu se datumi objave i drugi relevantni datumi vijesti smatraju danom 0. Dnevni povrati na dionice izračunavaju se za razdoblje od 3 dana (-1, 1), 5 dana (-2, 2) i 11 dana (-5, 5) oko datuma objave i datuma vijesti. Analiza povrata na dionice </w:t>
      </w:r>
      <w:r w:rsidRPr="00BE5472">
        <w:rPr>
          <w:rFonts w:ascii="Times New Roman" w:hAnsi="Times New Roman" w:cs="Times New Roman"/>
          <w:i/>
          <w:iCs/>
          <w:noProof/>
          <w:sz w:val="24"/>
          <w:szCs w:val="24"/>
        </w:rPr>
        <w:t>Marriotta</w:t>
      </w:r>
      <w:r w:rsidRPr="00BE5472">
        <w:rPr>
          <w:rFonts w:ascii="Times New Roman" w:hAnsi="Times New Roman" w:cs="Times New Roman"/>
          <w:noProof/>
          <w:sz w:val="24"/>
          <w:szCs w:val="24"/>
        </w:rPr>
        <w:t xml:space="preserve"> i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oko datuma objave preuzimanja, dakle na početku, ukazuje da je </w:t>
      </w:r>
      <w:r w:rsidRPr="00BE5472">
        <w:rPr>
          <w:rFonts w:ascii="Times New Roman" w:hAnsi="Times New Roman" w:cs="Times New Roman"/>
          <w:i/>
          <w:iCs/>
          <w:noProof/>
          <w:sz w:val="24"/>
          <w:szCs w:val="24"/>
        </w:rPr>
        <w:t>Marriott</w:t>
      </w:r>
      <w:r w:rsidRPr="00BE5472">
        <w:rPr>
          <w:rFonts w:ascii="Times New Roman" w:hAnsi="Times New Roman" w:cs="Times New Roman"/>
          <w:noProof/>
          <w:sz w:val="24"/>
          <w:szCs w:val="24"/>
        </w:rPr>
        <w:t xml:space="preserve"> doživio značajno negativne povrate. Kod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situacija </w:t>
      </w:r>
      <w:r w:rsidR="009E42BC" w:rsidRPr="00BE5472">
        <w:rPr>
          <w:rFonts w:ascii="Times New Roman" w:hAnsi="Times New Roman" w:cs="Times New Roman"/>
          <w:noProof/>
          <w:sz w:val="24"/>
          <w:szCs w:val="24"/>
        </w:rPr>
        <w:t xml:space="preserve">je </w:t>
      </w:r>
      <w:r w:rsidRPr="00BE5472">
        <w:rPr>
          <w:rFonts w:ascii="Times New Roman" w:hAnsi="Times New Roman" w:cs="Times New Roman"/>
          <w:noProof/>
          <w:sz w:val="24"/>
          <w:szCs w:val="24"/>
        </w:rPr>
        <w:t xml:space="preserve">bila potpuno drugačija. Drugim riječima, kad god bi se pojavio članak o preuzimanju, dioničari </w:t>
      </w:r>
      <w:r w:rsidRPr="00BE5472">
        <w:rPr>
          <w:rFonts w:ascii="Times New Roman" w:hAnsi="Times New Roman" w:cs="Times New Roman"/>
          <w:i/>
          <w:iCs/>
          <w:noProof/>
          <w:sz w:val="24"/>
          <w:szCs w:val="24"/>
        </w:rPr>
        <w:t>Marriotta</w:t>
      </w:r>
      <w:r w:rsidRPr="00BE5472">
        <w:rPr>
          <w:rFonts w:ascii="Times New Roman" w:hAnsi="Times New Roman" w:cs="Times New Roman"/>
          <w:noProof/>
          <w:sz w:val="24"/>
          <w:szCs w:val="24"/>
        </w:rPr>
        <w:t xml:space="preserve"> doživljavali su negativne povrate</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dok dioničari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nisu uopće bili pogođeni takvim vijestima.  Autori su analizirali povrat na dionice </w:t>
      </w:r>
      <w:r w:rsidRPr="00BE5472">
        <w:rPr>
          <w:rFonts w:ascii="Times New Roman" w:hAnsi="Times New Roman" w:cs="Times New Roman"/>
          <w:i/>
          <w:iCs/>
          <w:noProof/>
          <w:sz w:val="24"/>
          <w:szCs w:val="24"/>
        </w:rPr>
        <w:t>Marriotta</w:t>
      </w:r>
      <w:r w:rsidRPr="00BE5472">
        <w:rPr>
          <w:rFonts w:ascii="Times New Roman" w:hAnsi="Times New Roman" w:cs="Times New Roman"/>
          <w:noProof/>
          <w:sz w:val="24"/>
          <w:szCs w:val="24"/>
        </w:rPr>
        <w:t xml:space="preserve"> oko datuma završetka ugovora o preuzimanju. Rezultati su slični. Rezultati koji ukazuju na negativne prinose dionica </w:t>
      </w:r>
      <w:r w:rsidRPr="00BE5472">
        <w:rPr>
          <w:rFonts w:ascii="Times New Roman" w:hAnsi="Times New Roman" w:cs="Times New Roman"/>
          <w:i/>
          <w:iCs/>
          <w:noProof/>
          <w:sz w:val="24"/>
          <w:szCs w:val="24"/>
        </w:rPr>
        <w:t>Marriotta</w:t>
      </w:r>
      <w:r w:rsidRPr="00BE5472">
        <w:rPr>
          <w:rFonts w:ascii="Times New Roman" w:hAnsi="Times New Roman" w:cs="Times New Roman"/>
          <w:noProof/>
          <w:sz w:val="24"/>
          <w:szCs w:val="24"/>
        </w:rPr>
        <w:t xml:space="preserve"> i </w:t>
      </w:r>
      <w:r w:rsidRPr="00BE5472">
        <w:rPr>
          <w:rFonts w:ascii="Times New Roman" w:hAnsi="Times New Roman" w:cs="Times New Roman"/>
          <w:i/>
          <w:iCs/>
          <w:noProof/>
          <w:sz w:val="24"/>
          <w:szCs w:val="24"/>
        </w:rPr>
        <w:t>Starwooda</w:t>
      </w:r>
      <w:r w:rsidRPr="00BE5472">
        <w:rPr>
          <w:rFonts w:ascii="Times New Roman" w:hAnsi="Times New Roman" w:cs="Times New Roman"/>
          <w:noProof/>
          <w:sz w:val="24"/>
          <w:szCs w:val="24"/>
        </w:rPr>
        <w:t xml:space="preserve"> proturječni su predviđanjima sinergijske hipoteze o pozitivnim abnormalnim prinosima za obje strane – kako za preuzimatelja, tako i za metu.</w:t>
      </w:r>
      <w:r w:rsidRPr="00BE5472">
        <w:rPr>
          <w:rFonts w:ascii="Times New Roman" w:hAnsi="Times New Roman" w:cs="Times New Roman"/>
          <w:sz w:val="24"/>
          <w:szCs w:val="24"/>
        </w:rPr>
        <w:t xml:space="preserve"> </w:t>
      </w:r>
      <w:r w:rsidRPr="00BE5472">
        <w:rPr>
          <w:rFonts w:ascii="Times New Roman" w:hAnsi="Times New Roman" w:cs="Times New Roman"/>
          <w:noProof/>
          <w:sz w:val="24"/>
          <w:szCs w:val="24"/>
        </w:rPr>
        <w:t xml:space="preserve">Plaćanje ove transakcije provedeno je samo manjim dijelom gotovinski, a većim dionički, jer su izvršni direktori vjerovali da su dionice </w:t>
      </w:r>
      <w:r w:rsidRPr="00BE5472">
        <w:rPr>
          <w:rFonts w:ascii="Times New Roman" w:hAnsi="Times New Roman" w:cs="Times New Roman"/>
          <w:i/>
          <w:iCs/>
          <w:noProof/>
          <w:sz w:val="24"/>
          <w:szCs w:val="24"/>
        </w:rPr>
        <w:t>Marriota</w:t>
      </w:r>
      <w:r w:rsidRPr="00BE5472">
        <w:rPr>
          <w:rFonts w:ascii="Times New Roman" w:hAnsi="Times New Roman" w:cs="Times New Roman"/>
          <w:noProof/>
          <w:sz w:val="24"/>
          <w:szCs w:val="24"/>
        </w:rPr>
        <w:t xml:space="preserve"> bile podcijenjene prije preuzimanja, no bilo je suprotno i, sukladno rezultatima, bilo bi bolje da se transakcija provela većim dijelom gotovinski.  Ključno je da su rezultati pokazali da devet mjeseci nakon datuma efektivnog preuzimanja, prihod od prodaje je porastao i  dioničari </w:t>
      </w:r>
      <w:r w:rsidRPr="00BE5472">
        <w:rPr>
          <w:rFonts w:ascii="Times New Roman" w:hAnsi="Times New Roman" w:cs="Times New Roman"/>
          <w:i/>
          <w:iCs/>
          <w:noProof/>
          <w:sz w:val="24"/>
          <w:szCs w:val="24"/>
        </w:rPr>
        <w:t>Marriotta</w:t>
      </w:r>
      <w:r w:rsidRPr="00BE5472">
        <w:rPr>
          <w:rFonts w:ascii="Times New Roman" w:hAnsi="Times New Roman" w:cs="Times New Roman"/>
          <w:noProof/>
          <w:sz w:val="24"/>
          <w:szCs w:val="24"/>
        </w:rPr>
        <w:t xml:space="preserve"> ostvarili su bolji prinos. Rezultati signaliziraju da nakon negativne reakcija u kratkom roku slijedi ispravak s poboljšanjem prinosa i performansi prodaje </w:t>
      </w:r>
      <w:r w:rsidRPr="00BE5472">
        <w:rPr>
          <w:rFonts w:ascii="Times New Roman" w:hAnsi="Times New Roman" w:cs="Times New Roman"/>
          <w:i/>
          <w:iCs/>
          <w:noProof/>
          <w:sz w:val="24"/>
          <w:szCs w:val="24"/>
        </w:rPr>
        <w:lastRenderedPageBreak/>
        <w:t>Marriotta</w:t>
      </w:r>
      <w:r w:rsidRPr="00BE5472">
        <w:rPr>
          <w:rFonts w:ascii="Times New Roman" w:hAnsi="Times New Roman" w:cs="Times New Roman"/>
          <w:noProof/>
          <w:sz w:val="24"/>
          <w:szCs w:val="24"/>
        </w:rPr>
        <w:t xml:space="preserve">. Autori zaključuju da uspješnost spajanja i preuzimanja, u smislu povrata na ulaganja, treba mjeriti u dugom roku jer, u konačnici, stvaranje vrijednosti koja se događa nakon uspješne integracije dovest </w:t>
      </w:r>
      <w:r w:rsidR="009E42BC" w:rsidRPr="00BE5472">
        <w:rPr>
          <w:rFonts w:ascii="Times New Roman" w:hAnsi="Times New Roman" w:cs="Times New Roman"/>
          <w:noProof/>
          <w:sz w:val="24"/>
          <w:szCs w:val="24"/>
        </w:rPr>
        <w:t xml:space="preserve">će </w:t>
      </w:r>
      <w:r w:rsidRPr="00BE5472">
        <w:rPr>
          <w:rFonts w:ascii="Times New Roman" w:hAnsi="Times New Roman" w:cs="Times New Roman"/>
          <w:noProof/>
          <w:sz w:val="24"/>
          <w:szCs w:val="24"/>
        </w:rPr>
        <w:t>do pozitivnih sinergijskih učinaka. U hotelijerstvu se još mogu izdvojiti istraživanja Hsu i Janga (2007), Sheela i Negpala (2013)</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čiji rezultati ukazuju na to da preuzeta poduzeća, u konačnici, propuštaju ostvariti pozitivne financijske rezultate u procesima spajanja i preuzimanja</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dokazujući to analizom pokazatelja učinkovitosti korištenja imovine (ROA) i povrata na kapital, odnosno dobiti po jedinici uloženog kapitala (ROE). Istraživanje Ferraz Lucerne (2017)  ukazuje na neutralni utjecaj procesa spajanja i preuzimanja na financijsku uspješnost poduzeća preuzimatelja (operativni i financijski pokazatelji). Canina (2001), Ma i sur. (2011) i Dogru (2017) koji svoja istraživanja provode na uzorku poduzeća u sektoru hotelijerstva, dokazuju da prednosti ostvaruju kako jedni tako i drugi. Također, u sektoru hotelijerstvu su uočene veće razlike u procesima preuzimanja i spajanja na koje su već upozoravali Canina et al. (2010)</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dodatno potkrjepljujući to rezultatima svojih istraživanja koji su ukazali da i poduzeće preuzimatelj i poduzeće meta nakon konsolidacijskog procesa bilježe poslovni uspjeh. Nadalje, Li i Singal (2021) u jednom od posljednjih značajnijih istraživanja spajanja i preuzimanja u hotelijerstvu iskoristili su jaz koji postoji među dostupnim istraživanjima, a odnosi se na odnos i utjecaj specifičnog industrijskog okruženja na uspješnost konsolidacijskih procesa. Tako su metodom komparacije usporedili uspješnost spajanja i preuzimanja u hotelijerstvu s drugim industrijama. Dodatno su istražili čimbenike koji mogu objasniti potencijalnu razliku u uspješnosti unutar i između industrijske klasifikacije poduzeća. Izdvojili su tako: povezanost s industrijom (horizontalne integracije), metodu plaćanja, tip mete (poduzeće na burzi ili ne) i relativnu veličinu preuzimatelja i mete. Tako su istražili učinke ovih čimbenika na uspješnost spajanja i preuzimanja u hotelijerstvu i dokazali da, kako preuzimatelji, tako i mete ostvaruju koristi od konsolidacijskog procesa, no poduzeća u hotelijerskom sektoru nadmašuju ona u drugim sektorima. Svi čimbenici osim industrijske povezanosti pozitivno su korelirani s procesima spajanja i preuzimanja. Ovi su autori također potvrdili rezultate istraživanja prethodno navedenih istraživača, no išli su korak dalje uspoređujući hotelijerstvo s drugim sektorima. Unatoč mnoštvu studija temeljenih na analizi omeđivanja podataka (eng. </w:t>
      </w:r>
      <w:r w:rsidRPr="00BE5472">
        <w:rPr>
          <w:rFonts w:ascii="Times New Roman" w:hAnsi="Times New Roman" w:cs="Times New Roman"/>
          <w:i/>
          <w:noProof/>
          <w:sz w:val="24"/>
          <w:szCs w:val="24"/>
        </w:rPr>
        <w:t xml:space="preserve">Data Envelopment Analysis </w:t>
      </w:r>
      <w:r w:rsidRPr="00BE5472">
        <w:rPr>
          <w:rFonts w:ascii="Times New Roman" w:hAnsi="Times New Roman" w:cs="Times New Roman"/>
          <w:noProof/>
          <w:sz w:val="24"/>
          <w:szCs w:val="24"/>
        </w:rPr>
        <w:t>ili DEA) koje se bave učinkovitošću u hotelskoj industriji, studije posvećene isključivo učinkovitosti spajanja i preuzimanja u hotelima gotovo da ne postoje. Stoga se izdvaja znanstveni doprinos rada autora Amara (2024)</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koji je prvi pokušao uvesti primjenu IDEA metode, odnosno inverziju DEA metode u hotelskoj industriji kao </w:t>
      </w:r>
      <w:r w:rsidRPr="00BE5472">
        <w:rPr>
          <w:rFonts w:ascii="Times New Roman" w:hAnsi="Times New Roman" w:cs="Times New Roman"/>
          <w:noProof/>
          <w:sz w:val="24"/>
          <w:szCs w:val="24"/>
        </w:rPr>
        <w:lastRenderedPageBreak/>
        <w:t>i u razvoju procedure optimalnog odabira partnera u planiranom spajanju u cilju ostvarivanja</w:t>
      </w:r>
      <w:r w:rsidRPr="00BE5472">
        <w:rPr>
          <w:rFonts w:ascii="Times New Roman" w:hAnsi="Times New Roman" w:cs="Times New Roman"/>
          <w:sz w:val="24"/>
          <w:szCs w:val="24"/>
        </w:rPr>
        <w:t xml:space="preserve"> </w:t>
      </w:r>
      <w:r w:rsidRPr="00BE5472">
        <w:rPr>
          <w:rFonts w:ascii="Times New Roman" w:hAnsi="Times New Roman" w:cs="Times New Roman"/>
          <w:noProof/>
          <w:sz w:val="24"/>
          <w:szCs w:val="24"/>
        </w:rPr>
        <w:t xml:space="preserve">maksimalnih ušteda i najvećih koristi svakog pojedinačnog hotela u fazi nakon spajanja i preuzimanja. DEA </w:t>
      </w:r>
      <w:r w:rsidR="007E4C55" w:rsidRPr="00BE5472">
        <w:rPr>
          <w:rFonts w:ascii="Times New Roman" w:hAnsi="Times New Roman" w:cs="Times New Roman"/>
          <w:noProof/>
          <w:sz w:val="24"/>
          <w:szCs w:val="24"/>
        </w:rPr>
        <w:t xml:space="preserve">je </w:t>
      </w:r>
      <w:r w:rsidRPr="00BE5472">
        <w:rPr>
          <w:rFonts w:ascii="Times New Roman" w:hAnsi="Times New Roman" w:cs="Times New Roman"/>
          <w:noProof/>
          <w:sz w:val="24"/>
          <w:szCs w:val="24"/>
        </w:rPr>
        <w:t>matematička metoda koja se  koristi se za evaluaciju učinkovitosti u većini uslužnih poduzeća identificirajući različite DMU-ove (jedinice za donošenje odluka) i zajednički skup ulaza i izlaza.</w:t>
      </w:r>
      <w:r w:rsidRPr="00BE5472">
        <w:rPr>
          <w:rFonts w:ascii="Times New Roman" w:hAnsi="Times New Roman" w:cs="Times New Roman"/>
        </w:rPr>
        <w:t xml:space="preserve"> </w:t>
      </w:r>
    </w:p>
    <w:p w14:paraId="70181CB7" w14:textId="77777777" w:rsidR="00501E3F" w:rsidRPr="00BE5472" w:rsidRDefault="00501E3F" w:rsidP="006E052A">
      <w:pPr>
        <w:spacing w:after="0" w:line="360" w:lineRule="auto"/>
        <w:jc w:val="both"/>
        <w:rPr>
          <w:rFonts w:ascii="Times New Roman" w:hAnsi="Times New Roman" w:cs="Times New Roman"/>
          <w:noProof/>
          <w:sz w:val="24"/>
          <w:szCs w:val="24"/>
        </w:rPr>
      </w:pPr>
    </w:p>
    <w:p w14:paraId="3345164A" w14:textId="3C05A0E6" w:rsidR="006E052A"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Može se istaknuti da istraživanja o procesima spajanja i preuzimanja u hotelskom sektoru dobivaju značajnu pozornost, potaknuta različitim čimbenicima poput globalne konsolidacije industrije, pojačane konkurencije i promjena u poslovnim strategijama</w:t>
      </w:r>
      <w:r w:rsidR="009E42BC" w:rsidRPr="00BE5472">
        <w:rPr>
          <w:rFonts w:ascii="Times New Roman" w:hAnsi="Times New Roman" w:cs="Times New Roman"/>
          <w:noProof/>
          <w:sz w:val="24"/>
          <w:szCs w:val="24"/>
        </w:rPr>
        <w:t>,</w:t>
      </w:r>
      <w:r w:rsidRPr="00BE5472">
        <w:rPr>
          <w:rFonts w:ascii="Times New Roman" w:hAnsi="Times New Roman" w:cs="Times New Roman"/>
          <w:noProof/>
          <w:sz w:val="24"/>
          <w:szCs w:val="24"/>
        </w:rPr>
        <w:t xml:space="preserve"> poput usvajanja ALFO strategije. Ključni aspekti istraživanja u ovom području uključuju analizu sinergijskih učinaka, financijske performanse, utjecaj okruženja i industrijske klasifikacije na uspjeh spajanja i preuzimanja, kao i metodologije za procjenu učinkovitosti ovih procesa. Iako su financijska sinergija i operativne učinkovitosti često fokus istraživanja, važno je napomenuti da fokusiranje isključivo na financijske aspekte možda neće pružiti sveobuhvatno razumijevanje uspjeha spajanja i preuzimanja u hotelskom sektoru. Drugi ključni čimbenici poput kulturne integracije, upravljanja ljudskim resursima i iskustvima korisnika također bi trebali biti temeljito istraženi.</w:t>
      </w:r>
    </w:p>
    <w:p w14:paraId="4EA0A98D" w14:textId="77777777" w:rsidR="00BB5545" w:rsidRPr="00BE5472" w:rsidRDefault="00BB5545" w:rsidP="006E052A">
      <w:pPr>
        <w:spacing w:after="0" w:line="360" w:lineRule="auto"/>
        <w:jc w:val="both"/>
        <w:rPr>
          <w:rFonts w:ascii="Times New Roman" w:hAnsi="Times New Roman" w:cs="Times New Roman"/>
          <w:noProof/>
          <w:sz w:val="24"/>
          <w:szCs w:val="24"/>
        </w:rPr>
      </w:pPr>
    </w:p>
    <w:p w14:paraId="7C74D70B" w14:textId="77777777" w:rsidR="006E052A" w:rsidRPr="00BE5472"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Studije u ovom području su istaknule važnost sinergije između preuzimatelja i poduzeća meta, kao i različite financijske i operativne sinergije. Primjena metode DEA i analiza različitih načina plaćanja transakcija spajanja i preuzimanja također su značajne teme istraživanja, iako, još uvijek bez konzistentnih rezultata. Treba naglasiti da bi se istraživanja ostvarenih financijskih učinaka ipak morala fokusirati na duži rok. Brojna istraživanja naglašavaju važnost dugoročne perspektive prilikom procjene uspjeha spajanja i preuzimanja, s fokusom na stvaranje vrijednosti nakon integracije. Uspoređujući hotelski sektor s drugim sektorima, istraživači su identificirali specifične karakteristike koje utječu na uspjeh spajanja i preuzimanja poput intenzivnosti rada, visoke konkurencije i elastičnosti proizvoda/usluga.</w:t>
      </w:r>
    </w:p>
    <w:p w14:paraId="296AA9BF" w14:textId="77777777" w:rsidR="006E052A" w:rsidRPr="00BE5472" w:rsidRDefault="006E052A" w:rsidP="006E052A">
      <w:pPr>
        <w:spacing w:after="0" w:line="360" w:lineRule="auto"/>
        <w:jc w:val="both"/>
        <w:rPr>
          <w:rFonts w:ascii="Times New Roman" w:hAnsi="Times New Roman" w:cs="Times New Roman"/>
          <w:noProof/>
          <w:sz w:val="24"/>
          <w:szCs w:val="24"/>
        </w:rPr>
      </w:pPr>
    </w:p>
    <w:p w14:paraId="7BFEDBD3" w14:textId="77777777" w:rsidR="006E052A" w:rsidRPr="00BE5472"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t>Iako još uvijek nema konsenzusa o tome zašto neka spajanja i preuzimanja ostvaruju bolje rezultate od drugih, istraživači ističu važnost analize cijelog procesa, uključujući početnu fazu, integraciju te faktore poput financijske i upravljačke sinergije i diverzifikacije.</w:t>
      </w:r>
    </w:p>
    <w:p w14:paraId="7B442CE1" w14:textId="77777777" w:rsidR="006E052A" w:rsidRPr="00BE5472" w:rsidRDefault="006E052A" w:rsidP="006E052A">
      <w:pPr>
        <w:spacing w:after="0" w:line="360" w:lineRule="auto"/>
        <w:jc w:val="both"/>
        <w:rPr>
          <w:rFonts w:ascii="Times New Roman" w:hAnsi="Times New Roman" w:cs="Times New Roman"/>
          <w:noProof/>
          <w:sz w:val="24"/>
          <w:szCs w:val="24"/>
        </w:rPr>
      </w:pPr>
    </w:p>
    <w:p w14:paraId="017A9E11" w14:textId="77777777" w:rsidR="006E052A" w:rsidRPr="00BE5472" w:rsidRDefault="006E052A" w:rsidP="006E052A">
      <w:pPr>
        <w:spacing w:after="0" w:line="360" w:lineRule="auto"/>
        <w:jc w:val="both"/>
        <w:rPr>
          <w:rFonts w:ascii="Times New Roman" w:hAnsi="Times New Roman" w:cs="Times New Roman"/>
          <w:noProof/>
          <w:sz w:val="24"/>
          <w:szCs w:val="24"/>
        </w:rPr>
      </w:pPr>
      <w:r w:rsidRPr="00BE5472">
        <w:rPr>
          <w:rFonts w:ascii="Times New Roman" w:hAnsi="Times New Roman" w:cs="Times New Roman"/>
          <w:noProof/>
          <w:sz w:val="24"/>
          <w:szCs w:val="24"/>
        </w:rPr>
        <w:lastRenderedPageBreak/>
        <w:t>Istraživanja područja spajanja i preuzimanja u hotelskom sektoru pružaju vrijedne uvide u složenost ovih procesa i ističu važnost temeljitog razumijevanja karakteristika i specifičnosti industrije kako bi se maksimizirale koristi od spajanja i preuzimanja. Važno je stoga proširiti opseg istraživanja izvan financijskih aspekata i dublje istražiti operativne, kulturne i korisničke čimbenike kako bi se steklo sveobuhvatno razumijevanje uspjeha spajanja i preuzimanja u hotelskom sektoru.</w:t>
      </w:r>
    </w:p>
    <w:bookmarkEnd w:id="131"/>
    <w:p w14:paraId="580E9C0F" w14:textId="77777777" w:rsidR="006E052A" w:rsidRPr="00BE5472" w:rsidRDefault="006E052A" w:rsidP="006E052A">
      <w:pPr>
        <w:spacing w:line="360" w:lineRule="auto"/>
        <w:jc w:val="both"/>
        <w:rPr>
          <w:rFonts w:ascii="Times New Roman" w:hAnsi="Times New Roman" w:cs="Times New Roman"/>
          <w:color w:val="70AD47" w:themeColor="accent6"/>
          <w:kern w:val="2"/>
          <w:sz w:val="18"/>
          <w:szCs w:val="18"/>
          <w14:ligatures w14:val="standardContextual"/>
        </w:rPr>
      </w:pPr>
    </w:p>
    <w:p w14:paraId="4385D9E5" w14:textId="0C37E6E6" w:rsidR="006E052A" w:rsidRPr="00BE5472" w:rsidRDefault="006E052A" w:rsidP="003D13C0">
      <w:pPr>
        <w:pStyle w:val="Heading2"/>
        <w:rPr>
          <w:rFonts w:ascii="Times New Roman" w:hAnsi="Times New Roman" w:cs="Times New Roman"/>
        </w:rPr>
      </w:pPr>
      <w:bookmarkStart w:id="132" w:name="_Toc210381427"/>
      <w:bookmarkStart w:id="133" w:name="_Toc241865151"/>
      <w:r w:rsidRPr="00BE5472">
        <w:rPr>
          <w:rFonts w:ascii="Times New Roman" w:hAnsi="Times New Roman" w:cs="Times New Roman"/>
        </w:rPr>
        <w:t>3.5. Faze i čimbenici procesa spajanja i preuzimanja</w:t>
      </w:r>
      <w:bookmarkEnd w:id="132"/>
      <w:bookmarkEnd w:id="133"/>
      <w:r w:rsidRPr="00BE5472">
        <w:rPr>
          <w:rFonts w:ascii="Times New Roman" w:hAnsi="Times New Roman" w:cs="Times New Roman"/>
        </w:rPr>
        <w:t xml:space="preserve"> </w:t>
      </w:r>
    </w:p>
    <w:p w14:paraId="57A1CB29" w14:textId="77777777" w:rsidR="00BC3443" w:rsidRPr="00BE5472" w:rsidRDefault="00BC3443" w:rsidP="00BC3443">
      <w:pPr>
        <w:rPr>
          <w:rFonts w:ascii="Times New Roman" w:hAnsi="Times New Roman" w:cs="Times New Roman"/>
        </w:rPr>
      </w:pPr>
    </w:p>
    <w:p w14:paraId="01050175" w14:textId="6E07FE9B"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Transakcije spajanja i preuzimanja nikada nisu identične. Složeniji poslovi često poprimaju različite obrasce</w:t>
      </w:r>
      <w:r w:rsidR="009E42BC" w:rsidRPr="00BE5472">
        <w:rPr>
          <w:rFonts w:ascii="Times New Roman" w:hAnsi="Times New Roman" w:cs="Times New Roman"/>
          <w:sz w:val="24"/>
          <w:szCs w:val="24"/>
        </w:rPr>
        <w:t>,</w:t>
      </w:r>
      <w:r w:rsidRPr="00BE5472">
        <w:rPr>
          <w:rFonts w:ascii="Times New Roman" w:hAnsi="Times New Roman" w:cs="Times New Roman"/>
          <w:sz w:val="24"/>
          <w:szCs w:val="24"/>
        </w:rPr>
        <w:t xml:space="preserve"> ovisno o nizu čimbenika, uključujući veličinu transakcije, okruženje (nacionalno/međunarodno), broj zaposlenika u poduzeću meti, konkurencij</w:t>
      </w:r>
      <w:r w:rsidR="00DE20DA" w:rsidRPr="00BE5472">
        <w:rPr>
          <w:rFonts w:ascii="Times New Roman" w:hAnsi="Times New Roman" w:cs="Times New Roman"/>
          <w:sz w:val="24"/>
          <w:szCs w:val="24"/>
        </w:rPr>
        <w:t>u</w:t>
      </w:r>
      <w:r w:rsidRPr="00BE5472">
        <w:rPr>
          <w:rFonts w:ascii="Times New Roman" w:hAnsi="Times New Roman" w:cs="Times New Roman"/>
          <w:sz w:val="24"/>
          <w:szCs w:val="24"/>
        </w:rPr>
        <w:t>, tržište, regulatorno okruženje, fiskalne implikacije te odnose između uključenih strana. Aktivnosti spajanja i preuzimanja često se pokreću željom za povećanjem tržišnog udjela, proširenjem proizvodnih linija ili dobivanjem pristupa novim tržištima. Uspješne transakcije spajanja i preuzimanja zahtijevaju pažljivo planiranje, temeljitu analizu, i učinkovito izvršenje kako bi se postigli željeni rezultati i stvorila vrijednost za interesne dionike. Iako načelno ne postoji suglasnost o jasnim granicama procesa spajanja i preuzimanja, sukladno postojećoj literaturi proces spajanja i preuzimanja najčešće se dijeli u tri faze, iako postoje i drugačija razmišljanja. Gomes i sur. (2013) navode da postoji jasan ključni trenutak kada se vlasništvo prenosi s preuzetog poduzeća (mete) na poduzeće preuzimatelja. Oni smatraju da je takva podjela procesa utemeljena zakonom i dijeli proces u dvije faze: (1) faza prije preuzimanja i (2) faza nakon preuzimanja. Bez stjecanja vlasništva integracija nakon preuzimanja ni ne može započeti, zaključuju spomenuti autori. Na tragu sličnih zaključaka, Boland (1970) je podijelio proces spajanja i preuzimanja u dvije faze: prije preuzimanja i nakon preuzimanja. Schweiger i Weber (1989) su podijelili proces u dvije faze: prije preuzimanja i provedba. Pablo (1994) razlikuje prvu fazu kao fazu koja prethodi spajanjima i preuzimanjima, drugu kao fazu stvarnog dogovora i sklapanja ugovora, a treću fazu naziva integracijskim procesom nakon spajanja i preuzimanja. Carpenter i Sanders (2007) izdvajaju četiri faze procesa spajanja i preuzimanja i to: ideja, opravdanje (dubinska analiza i pregovori), integracija i procjena rezultata. Raznolikost promišljanja o fazama procesa spajanja i preuzimanja zorno su sistematizirali Calipha, Tarba i Brock (2010)</w:t>
      </w:r>
      <w:r w:rsidR="00162E35"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sistematizirano Tablicom </w:t>
      </w:r>
      <w:r w:rsidR="00DE20DA" w:rsidRPr="00BE5472">
        <w:rPr>
          <w:rFonts w:ascii="Times New Roman" w:hAnsi="Times New Roman" w:cs="Times New Roman"/>
          <w:sz w:val="24"/>
          <w:szCs w:val="24"/>
        </w:rPr>
        <w:t>1</w:t>
      </w:r>
      <w:r w:rsidR="00BD51CD" w:rsidRPr="00BE5472">
        <w:rPr>
          <w:rFonts w:ascii="Times New Roman" w:hAnsi="Times New Roman" w:cs="Times New Roman"/>
          <w:sz w:val="24"/>
          <w:szCs w:val="24"/>
        </w:rPr>
        <w:t>4</w:t>
      </w:r>
      <w:r w:rsidRPr="00BE5472">
        <w:rPr>
          <w:rFonts w:ascii="Times New Roman" w:hAnsi="Times New Roman" w:cs="Times New Roman"/>
          <w:sz w:val="24"/>
          <w:szCs w:val="24"/>
        </w:rPr>
        <w:t xml:space="preserve">.  </w:t>
      </w:r>
    </w:p>
    <w:p w14:paraId="3815A21F" w14:textId="27DCA450" w:rsidR="006E052A" w:rsidRPr="001B337F" w:rsidRDefault="001B337F" w:rsidP="001B337F">
      <w:pPr>
        <w:pStyle w:val="Caption"/>
        <w:rPr>
          <w:rFonts w:ascii="Times New Roman" w:hAnsi="Times New Roman" w:cs="Times New Roman"/>
          <w:sz w:val="24"/>
          <w:szCs w:val="24"/>
        </w:rPr>
      </w:pPr>
      <w:bookmarkStart w:id="134" w:name="_Toc241865208"/>
      <w:r w:rsidRPr="001B337F">
        <w:rPr>
          <w:rFonts w:ascii="Times New Roman" w:hAnsi="Times New Roman" w:cs="Times New Roman"/>
          <w:sz w:val="24"/>
          <w:szCs w:val="24"/>
        </w:rPr>
        <w:lastRenderedPageBreak/>
        <w:t xml:space="preserve">Tablica </w:t>
      </w:r>
      <w:r w:rsidRPr="001B337F">
        <w:rPr>
          <w:rFonts w:ascii="Times New Roman" w:hAnsi="Times New Roman" w:cs="Times New Roman"/>
          <w:sz w:val="24"/>
          <w:szCs w:val="24"/>
        </w:rPr>
        <w:fldChar w:fldCharType="begin"/>
      </w:r>
      <w:r w:rsidRPr="001B337F">
        <w:rPr>
          <w:rFonts w:ascii="Times New Roman" w:hAnsi="Times New Roman" w:cs="Times New Roman"/>
          <w:sz w:val="24"/>
          <w:szCs w:val="24"/>
        </w:rPr>
        <w:instrText xml:space="preserve"> SEQ Tablica \* ARABIC </w:instrText>
      </w:r>
      <w:r w:rsidRPr="001B337F">
        <w:rPr>
          <w:rFonts w:ascii="Times New Roman" w:hAnsi="Times New Roman" w:cs="Times New Roman"/>
          <w:sz w:val="24"/>
          <w:szCs w:val="24"/>
        </w:rPr>
        <w:fldChar w:fldCharType="separate"/>
      </w:r>
      <w:r w:rsidR="00044BF6">
        <w:rPr>
          <w:rFonts w:ascii="Times New Roman" w:hAnsi="Times New Roman" w:cs="Times New Roman"/>
          <w:noProof/>
          <w:sz w:val="24"/>
          <w:szCs w:val="24"/>
        </w:rPr>
        <w:t>14</w:t>
      </w:r>
      <w:r w:rsidRPr="001B337F">
        <w:rPr>
          <w:rFonts w:ascii="Times New Roman" w:hAnsi="Times New Roman" w:cs="Times New Roman"/>
          <w:sz w:val="24"/>
          <w:szCs w:val="24"/>
        </w:rPr>
        <w:fldChar w:fldCharType="end"/>
      </w:r>
      <w:r w:rsidR="006E052A" w:rsidRPr="001B337F">
        <w:rPr>
          <w:rFonts w:ascii="Times New Roman" w:hAnsi="Times New Roman" w:cs="Times New Roman"/>
          <w:sz w:val="24"/>
          <w:szCs w:val="24"/>
        </w:rPr>
        <w:t>: Različitost promišljanja o fazama procesa spajanja i preuzimanja</w:t>
      </w:r>
      <w:bookmarkEnd w:id="134"/>
    </w:p>
    <w:tbl>
      <w:tblPr>
        <w:tblStyle w:val="Reetkatablice3"/>
        <w:tblW w:w="0" w:type="auto"/>
        <w:tblLook w:val="04A0" w:firstRow="1" w:lastRow="0" w:firstColumn="1" w:lastColumn="0" w:noHBand="0" w:noVBand="1"/>
      </w:tblPr>
      <w:tblGrid>
        <w:gridCol w:w="7213"/>
        <w:gridCol w:w="1146"/>
      </w:tblGrid>
      <w:tr w:rsidR="006E052A" w:rsidRPr="00BE5472" w14:paraId="3D145574" w14:textId="77777777" w:rsidTr="00DE20DA">
        <w:trPr>
          <w:trHeight w:val="239"/>
        </w:trPr>
        <w:tc>
          <w:tcPr>
            <w:tcW w:w="7213" w:type="dxa"/>
          </w:tcPr>
          <w:p w14:paraId="30F95715" w14:textId="77777777" w:rsidR="006E052A" w:rsidRPr="00BE5472" w:rsidRDefault="006E052A" w:rsidP="006E052A">
            <w:pPr>
              <w:spacing w:line="360" w:lineRule="auto"/>
              <w:jc w:val="both"/>
              <w:rPr>
                <w:rFonts w:ascii="Times New Roman" w:hAnsi="Times New Roman" w:cs="Times New Roman"/>
                <w:b/>
                <w:sz w:val="24"/>
                <w:szCs w:val="24"/>
                <w:lang w:val="it-IT"/>
              </w:rPr>
            </w:pPr>
            <w:r w:rsidRPr="00BE5472">
              <w:rPr>
                <w:rFonts w:ascii="Times New Roman" w:hAnsi="Times New Roman" w:cs="Times New Roman"/>
                <w:b/>
                <w:sz w:val="24"/>
                <w:szCs w:val="24"/>
                <w:lang w:val="it-IT"/>
              </w:rPr>
              <w:t xml:space="preserve">Faze procesa spajanja i preuzimanja </w:t>
            </w:r>
          </w:p>
        </w:tc>
        <w:tc>
          <w:tcPr>
            <w:tcW w:w="1146" w:type="dxa"/>
          </w:tcPr>
          <w:p w14:paraId="688E7B12" w14:textId="2D395152" w:rsidR="006E052A" w:rsidRPr="00BE5472" w:rsidRDefault="00522D14"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B</w:t>
            </w:r>
            <w:r w:rsidR="006E052A" w:rsidRPr="00BE5472">
              <w:rPr>
                <w:rFonts w:ascii="Times New Roman" w:hAnsi="Times New Roman" w:cs="Times New Roman"/>
                <w:sz w:val="24"/>
                <w:szCs w:val="24"/>
                <w:lang w:val="en-US"/>
              </w:rPr>
              <w:t>roj faza</w:t>
            </w:r>
          </w:p>
        </w:tc>
      </w:tr>
      <w:tr w:rsidR="006E052A" w:rsidRPr="00BE5472" w14:paraId="4EA6330F" w14:textId="77777777" w:rsidTr="00522D14">
        <w:trPr>
          <w:trHeight w:val="248"/>
        </w:trPr>
        <w:tc>
          <w:tcPr>
            <w:tcW w:w="7213" w:type="dxa"/>
          </w:tcPr>
          <w:p w14:paraId="501F1CE7"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faza prije spajanja i faza nakon spajanja</w:t>
            </w:r>
          </w:p>
        </w:tc>
        <w:tc>
          <w:tcPr>
            <w:tcW w:w="1146" w:type="dxa"/>
            <w:vAlign w:val="center"/>
          </w:tcPr>
          <w:p w14:paraId="54A4BAFC"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2</w:t>
            </w:r>
          </w:p>
        </w:tc>
      </w:tr>
      <w:tr w:rsidR="006E052A" w:rsidRPr="00BE5472" w14:paraId="08A5DA79" w14:textId="77777777" w:rsidTr="00522D14">
        <w:trPr>
          <w:trHeight w:val="230"/>
        </w:trPr>
        <w:tc>
          <w:tcPr>
            <w:tcW w:w="7213" w:type="dxa"/>
          </w:tcPr>
          <w:p w14:paraId="5901944C"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faza prije spajanja i faza implementacije</w:t>
            </w:r>
          </w:p>
        </w:tc>
        <w:tc>
          <w:tcPr>
            <w:tcW w:w="1146" w:type="dxa"/>
            <w:vAlign w:val="center"/>
          </w:tcPr>
          <w:p w14:paraId="2CA31D40"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2</w:t>
            </w:r>
          </w:p>
        </w:tc>
      </w:tr>
      <w:tr w:rsidR="006E052A" w:rsidRPr="00BE5472" w14:paraId="71F5E07B" w14:textId="77777777" w:rsidTr="00522D14">
        <w:trPr>
          <w:trHeight w:val="239"/>
        </w:trPr>
        <w:tc>
          <w:tcPr>
            <w:tcW w:w="7213" w:type="dxa"/>
          </w:tcPr>
          <w:p w14:paraId="5DBB0C9A"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prije spajanja, faza spajanja, faza nakon spajanja</w:t>
            </w:r>
          </w:p>
        </w:tc>
        <w:tc>
          <w:tcPr>
            <w:tcW w:w="1146" w:type="dxa"/>
            <w:vAlign w:val="center"/>
          </w:tcPr>
          <w:p w14:paraId="6BDF5612"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w:t>
            </w:r>
          </w:p>
        </w:tc>
      </w:tr>
      <w:tr w:rsidR="006E052A" w:rsidRPr="00BE5472" w14:paraId="198916F7" w14:textId="77777777" w:rsidTr="00522D14">
        <w:trPr>
          <w:trHeight w:val="248"/>
        </w:trPr>
        <w:tc>
          <w:tcPr>
            <w:tcW w:w="7213" w:type="dxa"/>
          </w:tcPr>
          <w:p w14:paraId="00B1B6EA"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prije spajanja, faza tijekom spajanja i faza nakon spajanja</w:t>
            </w:r>
          </w:p>
        </w:tc>
        <w:tc>
          <w:tcPr>
            <w:tcW w:w="1146" w:type="dxa"/>
            <w:vAlign w:val="center"/>
          </w:tcPr>
          <w:p w14:paraId="3CC2D599"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w:t>
            </w:r>
          </w:p>
        </w:tc>
      </w:tr>
      <w:tr w:rsidR="006E052A" w:rsidRPr="00BE5472" w14:paraId="4613AFBD" w14:textId="77777777" w:rsidTr="00522D14">
        <w:trPr>
          <w:trHeight w:val="479"/>
        </w:trPr>
        <w:tc>
          <w:tcPr>
            <w:tcW w:w="7213" w:type="dxa"/>
          </w:tcPr>
          <w:p w14:paraId="3B42D281"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faza ideja, faza opravdanja (dubinska analiza i pregovori),</w:t>
            </w:r>
            <w:r w:rsidRPr="00BE5472">
              <w:rPr>
                <w:rFonts w:ascii="Times New Roman" w:hAnsi="Times New Roman" w:cs="Times New Roman"/>
                <w:kern w:val="2"/>
                <w:sz w:val="24"/>
                <w:szCs w:val="24"/>
                <w:lang w:val="it-IT"/>
                <w14:ligatures w14:val="standardContextual"/>
              </w:rPr>
              <w:t xml:space="preserve"> </w:t>
            </w:r>
            <w:r w:rsidRPr="00BE5472">
              <w:rPr>
                <w:rFonts w:ascii="Times New Roman" w:hAnsi="Times New Roman" w:cs="Times New Roman"/>
                <w:sz w:val="24"/>
                <w:szCs w:val="24"/>
                <w:lang w:val="it-IT"/>
              </w:rPr>
              <w:t>faza integracije i rezultati</w:t>
            </w:r>
          </w:p>
        </w:tc>
        <w:tc>
          <w:tcPr>
            <w:tcW w:w="1146" w:type="dxa"/>
            <w:vAlign w:val="center"/>
          </w:tcPr>
          <w:p w14:paraId="0D92715D"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w:t>
            </w:r>
          </w:p>
        </w:tc>
      </w:tr>
      <w:tr w:rsidR="006E052A" w:rsidRPr="00BE5472" w14:paraId="6A66D3A3" w14:textId="77777777" w:rsidTr="00522D14">
        <w:trPr>
          <w:trHeight w:val="488"/>
        </w:trPr>
        <w:tc>
          <w:tcPr>
            <w:tcW w:w="7213" w:type="dxa"/>
          </w:tcPr>
          <w:p w14:paraId="7C49ACEA"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udvaranja, faza ceremonije vjenčanja, faza medenog mjeseca i faza nakon medenog mjeseca</w:t>
            </w:r>
          </w:p>
        </w:tc>
        <w:tc>
          <w:tcPr>
            <w:tcW w:w="1146" w:type="dxa"/>
            <w:vAlign w:val="center"/>
          </w:tcPr>
          <w:p w14:paraId="317B833F"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w:t>
            </w:r>
          </w:p>
        </w:tc>
      </w:tr>
      <w:tr w:rsidR="006E052A" w:rsidRPr="00BE5472" w14:paraId="22CC0E1D" w14:textId="77777777" w:rsidTr="00522D14">
        <w:trPr>
          <w:trHeight w:val="1225"/>
        </w:trPr>
        <w:tc>
          <w:tcPr>
            <w:tcW w:w="7213" w:type="dxa"/>
          </w:tcPr>
          <w:p w14:paraId="05D2068F"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integracije sa ​​strateškim planom, faza inteligentnog odabiranja, faza evaluacije ciljeva kroz kreativnost i analizu, faza razumijevanja vrijednosti i cijene, predviđanje faze nakon preuzimanja i faza učinkovite implementacije</w:t>
            </w:r>
          </w:p>
        </w:tc>
        <w:tc>
          <w:tcPr>
            <w:tcW w:w="1146" w:type="dxa"/>
            <w:vAlign w:val="center"/>
          </w:tcPr>
          <w:p w14:paraId="65525677"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6</w:t>
            </w:r>
          </w:p>
        </w:tc>
      </w:tr>
      <w:tr w:rsidR="006E052A" w:rsidRPr="00BE5472" w14:paraId="41AB165F" w14:textId="77777777" w:rsidTr="00522D14">
        <w:trPr>
          <w:trHeight w:val="976"/>
        </w:trPr>
        <w:tc>
          <w:tcPr>
            <w:tcW w:w="7213" w:type="dxa"/>
          </w:tcPr>
          <w:p w14:paraId="0946442F"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procjena, faza zajedničkog planiranja, faza analize problema, faza odabira strukture, faza osiguravanja odobrenja, faza konačnog planiranja i faza implementacije</w:t>
            </w:r>
          </w:p>
        </w:tc>
        <w:tc>
          <w:tcPr>
            <w:tcW w:w="1146" w:type="dxa"/>
            <w:vAlign w:val="center"/>
          </w:tcPr>
          <w:p w14:paraId="67B263C9"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7</w:t>
            </w:r>
          </w:p>
        </w:tc>
      </w:tr>
      <w:tr w:rsidR="006E052A" w:rsidRPr="00BE5472" w14:paraId="4B74D31E" w14:textId="77777777" w:rsidTr="00522D14">
        <w:trPr>
          <w:trHeight w:val="728"/>
        </w:trPr>
        <w:tc>
          <w:tcPr>
            <w:tcW w:w="7213" w:type="dxa"/>
          </w:tcPr>
          <w:p w14:paraId="5B861A1E"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planiranje strategije, faza skeniranja kandidata, faza dubinske analize i izvršenje posla te faza integracije</w:t>
            </w:r>
          </w:p>
        </w:tc>
        <w:tc>
          <w:tcPr>
            <w:tcW w:w="1146" w:type="dxa"/>
            <w:vAlign w:val="center"/>
          </w:tcPr>
          <w:p w14:paraId="42A4E869" w14:textId="77777777" w:rsidR="006E052A" w:rsidRPr="00BE5472" w:rsidRDefault="006E052A" w:rsidP="00522D14">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5</w:t>
            </w:r>
          </w:p>
        </w:tc>
      </w:tr>
    </w:tbl>
    <w:p w14:paraId="5BD410F8" w14:textId="77777777" w:rsidR="006E052A" w:rsidRPr="00BE5472" w:rsidRDefault="006E052A" w:rsidP="006E052A">
      <w:pPr>
        <w:spacing w:line="360" w:lineRule="auto"/>
        <w:jc w:val="both"/>
        <w:rPr>
          <w:rFonts w:ascii="Times New Roman" w:hAnsi="Times New Roman" w:cs="Times New Roman"/>
          <w:i/>
          <w:sz w:val="24"/>
          <w:szCs w:val="24"/>
        </w:rPr>
      </w:pPr>
      <w:r w:rsidRPr="00BE5472">
        <w:rPr>
          <w:rFonts w:ascii="Times New Roman" w:hAnsi="Times New Roman" w:cs="Times New Roman"/>
          <w:sz w:val="24"/>
          <w:szCs w:val="24"/>
        </w:rPr>
        <w:t xml:space="preserve">Izvor: Prilagođeno prema: Calipha, R., Tarba, S. i Brock, D. (2010). Mergers and Acquisitions: A Review of Phases, Motives and Success factors. </w:t>
      </w:r>
      <w:r w:rsidRPr="00BE5472">
        <w:rPr>
          <w:rFonts w:ascii="Times New Roman" w:hAnsi="Times New Roman" w:cs="Times New Roman"/>
          <w:i/>
          <w:sz w:val="24"/>
          <w:szCs w:val="24"/>
          <w:lang w:val="en-US"/>
        </w:rPr>
        <w:t>Advances in Mergers and Acquisitions</w:t>
      </w:r>
      <w:r w:rsidRPr="00BE5472">
        <w:rPr>
          <w:rFonts w:ascii="Times New Roman" w:hAnsi="Times New Roman" w:cs="Times New Roman"/>
          <w:sz w:val="24"/>
          <w:szCs w:val="24"/>
          <w:lang w:val="en-US"/>
        </w:rPr>
        <w:t>, 9, str. 7.</w:t>
      </w:r>
    </w:p>
    <w:p w14:paraId="3312B994" w14:textId="7DAF4136" w:rsidR="001E15EF"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No, nisu rijetke inicijative holističkog pristupa u razmatranju procesa spajanja i preuzimanja. Istraživači pritom zagovaraju da proces spajanja i preuzimanja započinje strategijom koja prethodi samom dogovoru, nastavlja se sklapanjem ugovora te završava integracijom nakon spajanja i preuzimanja (Chanmugam i sur. 2005).  </w:t>
      </w:r>
    </w:p>
    <w:p w14:paraId="055D0420" w14:textId="1DC3EE73"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Kim i Olsen (1999a; 1999b) cjelokupni </w:t>
      </w:r>
      <w:r w:rsidR="00162E35" w:rsidRPr="00BE5472">
        <w:rPr>
          <w:rFonts w:ascii="Times New Roman" w:hAnsi="Times New Roman" w:cs="Times New Roman"/>
          <w:sz w:val="24"/>
          <w:szCs w:val="24"/>
        </w:rPr>
        <w:t xml:space="preserve">su </w:t>
      </w:r>
      <w:r w:rsidRPr="00BE5472">
        <w:rPr>
          <w:rFonts w:ascii="Times New Roman" w:hAnsi="Times New Roman" w:cs="Times New Roman"/>
          <w:sz w:val="24"/>
          <w:szCs w:val="24"/>
        </w:rPr>
        <w:t xml:space="preserve">proces spajanja i preuzimanja u industriji hotelijerstva klasificirali u tri faze: </w:t>
      </w:r>
    </w:p>
    <w:p w14:paraId="5C73F100" w14:textId="77777777" w:rsidR="006E052A" w:rsidRPr="00BE5472" w:rsidRDefault="006E052A" w:rsidP="00120B4F">
      <w:pPr>
        <w:numPr>
          <w:ilvl w:val="0"/>
          <w:numId w:val="7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faza upravljanja prije preuzimanja, </w:t>
      </w:r>
    </w:p>
    <w:p w14:paraId="66F181BC" w14:textId="70662885" w:rsidR="006E052A" w:rsidRPr="00BE5472" w:rsidRDefault="006E052A" w:rsidP="00120B4F">
      <w:pPr>
        <w:numPr>
          <w:ilvl w:val="0"/>
          <w:numId w:val="7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faza integracije nakon preuzimanja i </w:t>
      </w:r>
    </w:p>
    <w:p w14:paraId="5A0B0959" w14:textId="77777777" w:rsidR="006E052A" w:rsidRPr="00BE5472" w:rsidRDefault="006E052A" w:rsidP="00120B4F">
      <w:pPr>
        <w:numPr>
          <w:ilvl w:val="0"/>
          <w:numId w:val="75"/>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faza analize uspješnosti poslovanja nakon preuzimanja. </w:t>
      </w:r>
    </w:p>
    <w:p w14:paraId="7472856D" w14:textId="77777777" w:rsidR="006E052A" w:rsidRPr="00BE5472" w:rsidRDefault="006E052A" w:rsidP="006E052A">
      <w:pPr>
        <w:spacing w:line="360" w:lineRule="auto"/>
        <w:jc w:val="both"/>
        <w:rPr>
          <w:rFonts w:ascii="Times New Roman" w:hAnsi="Times New Roman" w:cs="Times New Roman"/>
          <w:sz w:val="24"/>
          <w:szCs w:val="24"/>
        </w:rPr>
      </w:pPr>
    </w:p>
    <w:p w14:paraId="6875AE97"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Chanmugam et al. (2005) također napominju da očekivane koristi spajanja i preuzimanju mogu biti ostvarene jedino ako se aktivnosti integracije nakon spajanja i preuzimanja prioritiziraju sukladno njihovom potencijalu za stvaranje vrijednosti.  </w:t>
      </w:r>
    </w:p>
    <w:p w14:paraId="05B7CAC6" w14:textId="009F8121"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Tako Kim i Olsen (1999a; 1999b) proces spajanja i preuzimanja opisuju s ukupno petnaest (15) dimenzija, pri čemu se svaka dimenzija predstavlja s određenim brojem čimbenika, odnosno utjecajnih elemenata.  One su: namjera (6 elemenata); informacije (9 elemenata); vrijednost (5 elemenata); cijena (3 elementa); pristup u preakvizicijskoj fazi (6 elemenata); pristup u post-akvizicijskoj fazi (7 elemenata); ljudi (5 elemenata); kultura (4 elementa); organizacija (4 elementa); strategija (4 elementa); računovodstveni profit (1 element); povrat na dionicama (2 elementa); tržišni udio (1 element); operativna učinkovitost (1 element); i novčani tijek iz operacija (2 elementa). Opisi svake od spomenutih dimenzija prikazuje se tablicama</w:t>
      </w:r>
      <w:r w:rsidR="0056615D" w:rsidRPr="00BE5472">
        <w:rPr>
          <w:rFonts w:ascii="Times New Roman" w:hAnsi="Times New Roman" w:cs="Times New Roman"/>
          <w:sz w:val="24"/>
          <w:szCs w:val="24"/>
        </w:rPr>
        <w:t xml:space="preserve"> 1</w:t>
      </w:r>
      <w:r w:rsidR="00B14D6A" w:rsidRPr="00BE5472">
        <w:rPr>
          <w:rFonts w:ascii="Times New Roman" w:hAnsi="Times New Roman" w:cs="Times New Roman"/>
          <w:sz w:val="24"/>
          <w:szCs w:val="24"/>
        </w:rPr>
        <w:t>5</w:t>
      </w:r>
      <w:r w:rsidR="0056615D" w:rsidRPr="00BE5472">
        <w:rPr>
          <w:rFonts w:ascii="Times New Roman" w:hAnsi="Times New Roman" w:cs="Times New Roman"/>
          <w:sz w:val="24"/>
          <w:szCs w:val="24"/>
        </w:rPr>
        <w:t xml:space="preserve"> i 1</w:t>
      </w:r>
      <w:r w:rsidR="00B14D6A" w:rsidRPr="00BE5472">
        <w:rPr>
          <w:rFonts w:ascii="Times New Roman" w:hAnsi="Times New Roman" w:cs="Times New Roman"/>
          <w:sz w:val="24"/>
          <w:szCs w:val="24"/>
        </w:rPr>
        <w:t>6</w:t>
      </w:r>
      <w:r w:rsidRPr="00BE5472">
        <w:rPr>
          <w:rFonts w:ascii="Times New Roman" w:hAnsi="Times New Roman" w:cs="Times New Roman"/>
          <w:sz w:val="24"/>
          <w:szCs w:val="24"/>
        </w:rPr>
        <w:t xml:space="preserve"> u nastavku. </w:t>
      </w:r>
    </w:p>
    <w:p w14:paraId="76EAC154" w14:textId="56A23831" w:rsidR="006E052A" w:rsidRPr="00E1098E" w:rsidRDefault="00E1098E" w:rsidP="00E1098E">
      <w:pPr>
        <w:pStyle w:val="Caption"/>
        <w:rPr>
          <w:rFonts w:ascii="Times New Roman" w:hAnsi="Times New Roman" w:cs="Times New Roman"/>
          <w:sz w:val="24"/>
          <w:szCs w:val="24"/>
        </w:rPr>
      </w:pPr>
      <w:bookmarkStart w:id="135" w:name="_Toc241865209"/>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15</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Opis dimenzija u fazi upravljanja prije preuzimanja</w:t>
      </w:r>
      <w:bookmarkEnd w:id="135"/>
    </w:p>
    <w:tbl>
      <w:tblPr>
        <w:tblStyle w:val="Reetkatablice3"/>
        <w:tblW w:w="0" w:type="auto"/>
        <w:tblLook w:val="04A0" w:firstRow="1" w:lastRow="0" w:firstColumn="1" w:lastColumn="0" w:noHBand="0" w:noVBand="1"/>
      </w:tblPr>
      <w:tblGrid>
        <w:gridCol w:w="1838"/>
        <w:gridCol w:w="7512"/>
      </w:tblGrid>
      <w:tr w:rsidR="006E052A" w:rsidRPr="00BE5472" w14:paraId="554AD24C" w14:textId="77777777" w:rsidTr="007201FA">
        <w:tc>
          <w:tcPr>
            <w:tcW w:w="1838" w:type="dxa"/>
          </w:tcPr>
          <w:p w14:paraId="2707A496" w14:textId="4F78F134"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DIMENZIJ</w:t>
            </w:r>
            <w:r w:rsidR="009537CB" w:rsidRPr="00BE5472">
              <w:rPr>
                <w:rFonts w:ascii="Times New Roman" w:hAnsi="Times New Roman" w:cs="Times New Roman"/>
                <w:b/>
                <w:sz w:val="24"/>
                <w:szCs w:val="24"/>
                <w:lang w:val="en-US"/>
              </w:rPr>
              <w:t>E</w:t>
            </w:r>
          </w:p>
        </w:tc>
        <w:tc>
          <w:tcPr>
            <w:tcW w:w="7512" w:type="dxa"/>
          </w:tcPr>
          <w:p w14:paraId="6B41C5B6" w14:textId="5D3BAF72"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OPIS</w:t>
            </w:r>
            <w:r w:rsidR="009537CB" w:rsidRPr="00BE5472">
              <w:rPr>
                <w:rFonts w:ascii="Times New Roman" w:hAnsi="Times New Roman" w:cs="Times New Roman"/>
                <w:b/>
                <w:sz w:val="24"/>
                <w:szCs w:val="24"/>
                <w:lang w:val="en-US"/>
              </w:rPr>
              <w:t xml:space="preserve"> DIMENZIJA</w:t>
            </w:r>
          </w:p>
        </w:tc>
      </w:tr>
      <w:tr w:rsidR="006E052A" w:rsidRPr="00BE5472" w14:paraId="6C78829D" w14:textId="77777777" w:rsidTr="00F10A0B">
        <w:tc>
          <w:tcPr>
            <w:tcW w:w="1838" w:type="dxa"/>
            <w:vAlign w:val="center"/>
          </w:tcPr>
          <w:p w14:paraId="32729F20"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Namjera</w:t>
            </w:r>
          </w:p>
        </w:tc>
        <w:tc>
          <w:tcPr>
            <w:tcW w:w="7512" w:type="dxa"/>
          </w:tcPr>
          <w:p w14:paraId="724F6F94" w14:textId="55C6950F"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Skup motiva i/ili ciljeva za provođenje preuzimanja konkurenta</w:t>
            </w:r>
            <w:r w:rsidR="009537CB" w:rsidRPr="00BE5472">
              <w:rPr>
                <w:rFonts w:ascii="Times New Roman" w:hAnsi="Times New Roman" w:cs="Times New Roman"/>
                <w:sz w:val="24"/>
                <w:szCs w:val="24"/>
                <w:lang w:val="it-IT"/>
              </w:rPr>
              <w:t>.</w:t>
            </w:r>
          </w:p>
        </w:tc>
      </w:tr>
      <w:tr w:rsidR="006E052A" w:rsidRPr="00BE5472" w14:paraId="3C89AEAB" w14:textId="77777777" w:rsidTr="00F10A0B">
        <w:tc>
          <w:tcPr>
            <w:tcW w:w="1838" w:type="dxa"/>
            <w:vAlign w:val="center"/>
          </w:tcPr>
          <w:p w14:paraId="6637B8FE"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Informacija</w:t>
            </w:r>
          </w:p>
        </w:tc>
        <w:tc>
          <w:tcPr>
            <w:tcW w:w="7512" w:type="dxa"/>
          </w:tcPr>
          <w:p w14:paraId="02C0E123" w14:textId="29510264"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Uspjeh akvizicijskih poslova ovisi o tome koliko učinkovito akvizitor procjenjuje vrijednost i potencijalnu sinergiju koja proizlazi iz </w:t>
            </w:r>
            <w:r w:rsidR="00F10A0B" w:rsidRPr="00BE5472">
              <w:rPr>
                <w:rFonts w:ascii="Times New Roman" w:hAnsi="Times New Roman" w:cs="Times New Roman"/>
                <w:sz w:val="24"/>
                <w:szCs w:val="24"/>
                <w:lang w:val="en-US"/>
              </w:rPr>
              <w:t xml:space="preserve">cilja </w:t>
            </w:r>
            <w:r w:rsidRPr="00BE5472">
              <w:rPr>
                <w:rFonts w:ascii="Times New Roman" w:hAnsi="Times New Roman" w:cs="Times New Roman"/>
                <w:sz w:val="24"/>
                <w:szCs w:val="24"/>
                <w:lang w:val="en-US"/>
              </w:rPr>
              <w:t>preuzimanja. Skupljanje sveobuhvatnih i točnih informacija ključno je za uspješan posao. Informacije se ovdje mogu definirati kao raznoliki činjenice i podaci potrebni za održavanje i jačanje odluke o kupnji.</w:t>
            </w:r>
          </w:p>
        </w:tc>
      </w:tr>
      <w:tr w:rsidR="006E052A" w:rsidRPr="00BE5472" w14:paraId="337B3670" w14:textId="77777777" w:rsidTr="00F10A0B">
        <w:tc>
          <w:tcPr>
            <w:tcW w:w="1838" w:type="dxa"/>
            <w:vAlign w:val="center"/>
          </w:tcPr>
          <w:p w14:paraId="08FE9D62"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Vrijednost</w:t>
            </w:r>
          </w:p>
        </w:tc>
        <w:tc>
          <w:tcPr>
            <w:tcW w:w="7512" w:type="dxa"/>
          </w:tcPr>
          <w:p w14:paraId="2AE8791E"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Ključni cilj preuzimanja jest stvaranje vrijednosti za poduzeće preuzimatelja, a zatim maksimiziranje bogatstva dioničara. Vrijednost preuzimanja obično ovisi o određenoj razini novčanog toka iz kombiniranih operativnih struktura, što dovodi do povećanja bogatstva dioničara. Vrijednost se može definirati kao vrijednost akvizicijskog posla stvorena uglavnom na temelju očekivanih sinergijskih prednosti kombiniranog poduzeća. Kod horizontalnih preuzimanja, vrijednost se obično  stvara iz očekivanih sinergijskih prednosti. </w:t>
            </w:r>
          </w:p>
        </w:tc>
      </w:tr>
      <w:tr w:rsidR="006E052A" w:rsidRPr="00BE5472" w14:paraId="1962F93C" w14:textId="77777777" w:rsidTr="00F10A0B">
        <w:tc>
          <w:tcPr>
            <w:tcW w:w="1838" w:type="dxa"/>
            <w:vAlign w:val="center"/>
          </w:tcPr>
          <w:p w14:paraId="18E4258E"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lastRenderedPageBreak/>
              <w:t>Cijena</w:t>
            </w:r>
          </w:p>
        </w:tc>
        <w:tc>
          <w:tcPr>
            <w:tcW w:w="7512" w:type="dxa"/>
          </w:tcPr>
          <w:p w14:paraId="03817B47" w14:textId="0229902E"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Pregovaranje i određivanje cijene preuzimanja imaju velik utjecaj na uspješnost nakon preuzimanja. Općenito, kupovna cijena se određuje prema trenutačnom konkurentskom položaju poduz</w:t>
            </w:r>
            <w:r w:rsidR="00162E35" w:rsidRPr="00BE5472">
              <w:rPr>
                <w:rFonts w:ascii="Times New Roman" w:hAnsi="Times New Roman" w:cs="Times New Roman"/>
                <w:sz w:val="24"/>
                <w:szCs w:val="24"/>
                <w:lang w:val="en-US"/>
              </w:rPr>
              <w:t>e</w:t>
            </w:r>
            <w:r w:rsidRPr="00BE5472">
              <w:rPr>
                <w:rFonts w:ascii="Times New Roman" w:hAnsi="Times New Roman" w:cs="Times New Roman"/>
                <w:sz w:val="24"/>
                <w:szCs w:val="24"/>
                <w:lang w:val="en-US"/>
              </w:rPr>
              <w:t>ća mete unutar industrije.</w:t>
            </w:r>
          </w:p>
        </w:tc>
      </w:tr>
      <w:tr w:rsidR="006E052A" w:rsidRPr="00BE5472" w14:paraId="5B02BFAA" w14:textId="77777777" w:rsidTr="00F10A0B">
        <w:tc>
          <w:tcPr>
            <w:tcW w:w="1838" w:type="dxa"/>
            <w:vAlign w:val="center"/>
          </w:tcPr>
          <w:p w14:paraId="05002D3F"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Pristup</w:t>
            </w:r>
          </w:p>
        </w:tc>
        <w:tc>
          <w:tcPr>
            <w:tcW w:w="7512" w:type="dxa"/>
          </w:tcPr>
          <w:p w14:paraId="72D47112"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Pristup je definiran kao raznolikost okolnih postupaka koji se koriste kako bi se uvjerilo poduzeće metu da prihvati i dovrši namjeravano preuzimanje. </w:t>
            </w:r>
          </w:p>
        </w:tc>
      </w:tr>
    </w:tbl>
    <w:p w14:paraId="137FCDFA" w14:textId="16D60575"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rPr>
        <w:t xml:space="preserve">Izvor: </w:t>
      </w:r>
      <w:r w:rsidRPr="00BE5472">
        <w:rPr>
          <w:rFonts w:ascii="Times New Roman" w:hAnsi="Times New Roman" w:cs="Times New Roman"/>
          <w:sz w:val="24"/>
          <w:szCs w:val="24"/>
          <w:lang w:val="en-US"/>
        </w:rPr>
        <w:t xml:space="preserve">Kim, K. H. i Olsen, M. D. (1999a). Determinants of successful acquisition processes in the US lodging industry. </w:t>
      </w:r>
      <w:r w:rsidRPr="00BE5472">
        <w:rPr>
          <w:rFonts w:ascii="Times New Roman" w:hAnsi="Times New Roman" w:cs="Times New Roman"/>
          <w:i/>
          <w:sz w:val="24"/>
          <w:szCs w:val="24"/>
          <w:lang w:val="en-US"/>
        </w:rPr>
        <w:t xml:space="preserve">Hospitality Management, </w:t>
      </w:r>
      <w:r w:rsidRPr="00BE5472">
        <w:rPr>
          <w:rFonts w:ascii="Times New Roman" w:hAnsi="Times New Roman" w:cs="Times New Roman"/>
          <w:sz w:val="24"/>
          <w:szCs w:val="24"/>
          <w:lang w:val="en-US"/>
        </w:rPr>
        <w:t>18, str. 288.</w:t>
      </w:r>
    </w:p>
    <w:p w14:paraId="290DB4E8" w14:textId="7B31566B" w:rsidR="006E052A" w:rsidRPr="00E1098E" w:rsidRDefault="00E1098E" w:rsidP="00E1098E">
      <w:pPr>
        <w:pStyle w:val="Caption"/>
        <w:rPr>
          <w:rFonts w:ascii="Times New Roman" w:hAnsi="Times New Roman" w:cs="Times New Roman"/>
          <w:sz w:val="24"/>
          <w:szCs w:val="24"/>
        </w:rPr>
      </w:pPr>
      <w:bookmarkStart w:id="136" w:name="_Toc241865210"/>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16</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Opis dimenzija u fazi integracije nakon preuzimanja</w:t>
      </w:r>
      <w:bookmarkEnd w:id="136"/>
    </w:p>
    <w:tbl>
      <w:tblPr>
        <w:tblStyle w:val="Reetkatablice3"/>
        <w:tblW w:w="0" w:type="auto"/>
        <w:tblLook w:val="04A0" w:firstRow="1" w:lastRow="0" w:firstColumn="1" w:lastColumn="0" w:noHBand="0" w:noVBand="1"/>
      </w:tblPr>
      <w:tblGrid>
        <w:gridCol w:w="1838"/>
        <w:gridCol w:w="7512"/>
      </w:tblGrid>
      <w:tr w:rsidR="006E052A" w:rsidRPr="00BE5472" w14:paraId="79B66BBB" w14:textId="77777777" w:rsidTr="007201FA">
        <w:tc>
          <w:tcPr>
            <w:tcW w:w="1838" w:type="dxa"/>
          </w:tcPr>
          <w:p w14:paraId="0DE1EDE5" w14:textId="7CCF899D"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DIMENZIJ</w:t>
            </w:r>
            <w:r w:rsidR="00F10A0B" w:rsidRPr="00BE5472">
              <w:rPr>
                <w:rFonts w:ascii="Times New Roman" w:hAnsi="Times New Roman" w:cs="Times New Roman"/>
                <w:b/>
                <w:sz w:val="24"/>
                <w:szCs w:val="24"/>
                <w:lang w:val="en-US"/>
              </w:rPr>
              <w:t>E</w:t>
            </w:r>
          </w:p>
        </w:tc>
        <w:tc>
          <w:tcPr>
            <w:tcW w:w="7512" w:type="dxa"/>
          </w:tcPr>
          <w:p w14:paraId="2F7013DA" w14:textId="4EAD9FA3" w:rsidR="006E052A" w:rsidRPr="00BE5472" w:rsidRDefault="006E052A" w:rsidP="006E052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OPIS</w:t>
            </w:r>
            <w:r w:rsidR="004A4E4C" w:rsidRPr="00BE5472">
              <w:rPr>
                <w:rFonts w:ascii="Times New Roman" w:hAnsi="Times New Roman" w:cs="Times New Roman"/>
                <w:b/>
                <w:sz w:val="24"/>
                <w:szCs w:val="24"/>
                <w:lang w:val="en-US"/>
              </w:rPr>
              <w:t xml:space="preserve"> DIMENZIJA</w:t>
            </w:r>
          </w:p>
        </w:tc>
      </w:tr>
      <w:tr w:rsidR="006E052A" w:rsidRPr="00BE5472" w14:paraId="2563DEB5" w14:textId="77777777" w:rsidTr="00F10A0B">
        <w:tc>
          <w:tcPr>
            <w:tcW w:w="1838" w:type="dxa"/>
            <w:vAlign w:val="center"/>
          </w:tcPr>
          <w:p w14:paraId="664FE775"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Pristup</w:t>
            </w:r>
          </w:p>
        </w:tc>
        <w:tc>
          <w:tcPr>
            <w:tcW w:w="7512" w:type="dxa"/>
          </w:tcPr>
          <w:p w14:paraId="226F5D88"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Pristup je definiran kao raznolikost okolnih postupaka usmjerenih na usklađivanje unaprijed određene namjere za preuzimanjem poduzeća mete pri čemu se minimiziraju problemi i prepreke. </w:t>
            </w:r>
          </w:p>
        </w:tc>
      </w:tr>
      <w:tr w:rsidR="006E052A" w:rsidRPr="00BE5472" w14:paraId="7B4BA343" w14:textId="77777777" w:rsidTr="00F10A0B">
        <w:tc>
          <w:tcPr>
            <w:tcW w:w="1838" w:type="dxa"/>
            <w:vAlign w:val="center"/>
          </w:tcPr>
          <w:p w14:paraId="0363975B"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Ljudi</w:t>
            </w:r>
          </w:p>
        </w:tc>
        <w:tc>
          <w:tcPr>
            <w:tcW w:w="7512" w:type="dxa"/>
          </w:tcPr>
          <w:p w14:paraId="1EB22A1E"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Skupina članova organizacije (zaposlenika) poduzeća mete koji mogu imati pozitivan ili negativan stav oko transakcije spajanja i preuzimanja. </w:t>
            </w:r>
          </w:p>
          <w:p w14:paraId="3406933F" w14:textId="77777777" w:rsidR="006E052A" w:rsidRPr="00BE5472" w:rsidRDefault="006E052A" w:rsidP="006E052A">
            <w:pPr>
              <w:spacing w:line="360" w:lineRule="auto"/>
              <w:jc w:val="both"/>
              <w:rPr>
                <w:rFonts w:ascii="Times New Roman" w:hAnsi="Times New Roman" w:cs="Times New Roman"/>
                <w:sz w:val="24"/>
                <w:szCs w:val="24"/>
                <w:lang w:val="en-US"/>
              </w:rPr>
            </w:pPr>
          </w:p>
        </w:tc>
      </w:tr>
      <w:tr w:rsidR="006E052A" w:rsidRPr="00BE5472" w14:paraId="19496CF9" w14:textId="77777777" w:rsidTr="00F10A0B">
        <w:tc>
          <w:tcPr>
            <w:tcW w:w="1838" w:type="dxa"/>
            <w:vAlign w:val="center"/>
          </w:tcPr>
          <w:p w14:paraId="1FC33734"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Kultura</w:t>
            </w:r>
          </w:p>
        </w:tc>
        <w:tc>
          <w:tcPr>
            <w:tcW w:w="7512" w:type="dxa"/>
          </w:tcPr>
          <w:p w14:paraId="1F299518" w14:textId="59CCD9BA"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Organizacijska kultura definirana je kao skup važnih pretpostavki, poput normi, vrijednosti i politika, koje </w:t>
            </w:r>
            <w:r w:rsidR="009110E3" w:rsidRPr="00BE5472">
              <w:rPr>
                <w:rFonts w:ascii="Times New Roman" w:hAnsi="Times New Roman" w:cs="Times New Roman"/>
                <w:sz w:val="24"/>
                <w:szCs w:val="24"/>
                <w:lang w:val="en-US"/>
              </w:rPr>
              <w:t xml:space="preserve">dijele </w:t>
            </w:r>
            <w:r w:rsidRPr="00BE5472">
              <w:rPr>
                <w:rFonts w:ascii="Times New Roman" w:hAnsi="Times New Roman" w:cs="Times New Roman"/>
                <w:sz w:val="24"/>
                <w:szCs w:val="24"/>
                <w:lang w:val="en-US"/>
              </w:rPr>
              <w:t>članovi organizacije. U fazi integracije nakon preuzimanja, usklađivanje filozofije uprave i poslovne kulture važno je za uspjeh.</w:t>
            </w:r>
          </w:p>
        </w:tc>
      </w:tr>
      <w:tr w:rsidR="006E052A" w:rsidRPr="00BE5472" w14:paraId="003C7CF9" w14:textId="77777777" w:rsidTr="00F10A0B">
        <w:tc>
          <w:tcPr>
            <w:tcW w:w="1838" w:type="dxa"/>
            <w:vAlign w:val="center"/>
          </w:tcPr>
          <w:p w14:paraId="30E6493A"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Organizacija</w:t>
            </w:r>
          </w:p>
        </w:tc>
        <w:tc>
          <w:tcPr>
            <w:tcW w:w="7512" w:type="dxa"/>
          </w:tcPr>
          <w:p w14:paraId="0D93F577" w14:textId="01A95984"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Kako bi se poboljšale prakse raspodjele resursa za kombinirano poduzeće, važna je učinkovita i dobro uspostavljena organizacijska struktura </w:t>
            </w:r>
            <w:r w:rsidR="00F9655B" w:rsidRPr="00BE5472">
              <w:rPr>
                <w:rFonts w:ascii="Times New Roman" w:hAnsi="Times New Roman" w:cs="Times New Roman"/>
                <w:sz w:val="24"/>
                <w:szCs w:val="24"/>
                <w:lang w:val="it-IT"/>
              </w:rPr>
              <w:t>da</w:t>
            </w:r>
            <w:r w:rsidRPr="00BE5472">
              <w:rPr>
                <w:rFonts w:ascii="Times New Roman" w:hAnsi="Times New Roman" w:cs="Times New Roman"/>
                <w:sz w:val="24"/>
                <w:szCs w:val="24"/>
                <w:lang w:val="it-IT"/>
              </w:rPr>
              <w:t xml:space="preserve"> bi se ostvarile prednosti preuzimanja. Organizacija se definira kao raznolikost organizacijskih konfiguracija, uključujući formalne i neformalne strukture, sustave i procese.</w:t>
            </w:r>
          </w:p>
        </w:tc>
      </w:tr>
      <w:tr w:rsidR="006E052A" w:rsidRPr="00BE5472" w14:paraId="6E73200C" w14:textId="77777777" w:rsidTr="00F10A0B">
        <w:tc>
          <w:tcPr>
            <w:tcW w:w="1838" w:type="dxa"/>
            <w:vAlign w:val="center"/>
          </w:tcPr>
          <w:p w14:paraId="2B930C6A" w14:textId="77777777" w:rsidR="006E052A" w:rsidRPr="00BE5472" w:rsidRDefault="006E052A" w:rsidP="00F10A0B">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Strategija</w:t>
            </w:r>
          </w:p>
        </w:tc>
        <w:tc>
          <w:tcPr>
            <w:tcW w:w="7512" w:type="dxa"/>
          </w:tcPr>
          <w:p w14:paraId="434FFB93" w14:textId="58DBC530"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Strategiju se može definirati kao skup dosljednih</w:t>
            </w:r>
            <w:r w:rsidR="00F9655B" w:rsidRPr="00BE5472">
              <w:rPr>
                <w:rFonts w:ascii="Times New Roman" w:hAnsi="Times New Roman" w:cs="Times New Roman"/>
                <w:sz w:val="24"/>
                <w:szCs w:val="24"/>
                <w:lang w:val="en-US"/>
              </w:rPr>
              <w:t>,</w:t>
            </w:r>
            <w:r w:rsidRPr="00BE5472">
              <w:rPr>
                <w:rFonts w:ascii="Times New Roman" w:hAnsi="Times New Roman" w:cs="Times New Roman"/>
                <w:sz w:val="24"/>
                <w:szCs w:val="24"/>
                <w:lang w:val="en-US"/>
              </w:rPr>
              <w:t xml:space="preserve"> usklađenih napora za postizanje dugoročnih ciljeva. Ključno je obnoviti opću strategiju kombiniranog poduzeća kako bi se ostvarili ciljevi preuzimanja. </w:t>
            </w:r>
          </w:p>
        </w:tc>
      </w:tr>
    </w:tbl>
    <w:p w14:paraId="51A170E8"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rPr>
        <w:t xml:space="preserve">Izvor: </w:t>
      </w:r>
      <w:r w:rsidRPr="00BE5472">
        <w:rPr>
          <w:rFonts w:ascii="Times New Roman" w:hAnsi="Times New Roman" w:cs="Times New Roman"/>
          <w:sz w:val="24"/>
          <w:szCs w:val="24"/>
          <w:lang w:val="en-US"/>
        </w:rPr>
        <w:t xml:space="preserve">Kim, K. H. i Olsen, M. D. (1999a). Determinants of successful acquisition processes in the US lodging industry. </w:t>
      </w:r>
      <w:r w:rsidRPr="00BE5472">
        <w:rPr>
          <w:rFonts w:ascii="Times New Roman" w:hAnsi="Times New Roman" w:cs="Times New Roman"/>
          <w:i/>
          <w:sz w:val="24"/>
          <w:szCs w:val="24"/>
          <w:lang w:val="en-US"/>
        </w:rPr>
        <w:t xml:space="preserve">Hospitality Management, </w:t>
      </w:r>
      <w:r w:rsidRPr="00BE5472">
        <w:rPr>
          <w:rFonts w:ascii="Times New Roman" w:hAnsi="Times New Roman" w:cs="Times New Roman"/>
          <w:sz w:val="24"/>
          <w:szCs w:val="24"/>
          <w:lang w:val="en-US"/>
        </w:rPr>
        <w:t>18, str. 288.</w:t>
      </w:r>
    </w:p>
    <w:p w14:paraId="39755A8F" w14:textId="3D71628F"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Okvir uspješnog upravljanja integracijom Kim i Olsen (1999b) pojašnjen je na Prikazu </w:t>
      </w:r>
      <w:r w:rsidR="00A254EE" w:rsidRPr="00BE5472">
        <w:rPr>
          <w:rFonts w:ascii="Times New Roman" w:hAnsi="Times New Roman" w:cs="Times New Roman"/>
          <w:sz w:val="24"/>
          <w:szCs w:val="24"/>
          <w:lang w:val="en-US"/>
        </w:rPr>
        <w:t>2</w:t>
      </w:r>
      <w:r w:rsidR="00B11EB4">
        <w:rPr>
          <w:rFonts w:ascii="Times New Roman" w:hAnsi="Times New Roman" w:cs="Times New Roman"/>
          <w:sz w:val="24"/>
          <w:szCs w:val="24"/>
          <w:lang w:val="en-US"/>
        </w:rPr>
        <w:t>0</w:t>
      </w:r>
      <w:r w:rsidRPr="00BE5472">
        <w:rPr>
          <w:rFonts w:ascii="Times New Roman" w:hAnsi="Times New Roman" w:cs="Times New Roman"/>
          <w:sz w:val="24"/>
          <w:szCs w:val="24"/>
          <w:lang w:val="en-US"/>
        </w:rPr>
        <w:t>.</w:t>
      </w:r>
    </w:p>
    <w:p w14:paraId="4765A250" w14:textId="77777777" w:rsidR="00E53E09" w:rsidRDefault="00E53E09" w:rsidP="006E052A">
      <w:pPr>
        <w:spacing w:line="360" w:lineRule="auto"/>
        <w:jc w:val="both"/>
        <w:rPr>
          <w:rFonts w:ascii="Times New Roman" w:hAnsi="Times New Roman" w:cs="Times New Roman"/>
          <w:sz w:val="24"/>
          <w:szCs w:val="24"/>
          <w:lang w:val="en-US"/>
        </w:rPr>
        <w:sectPr w:rsidR="00E53E09" w:rsidSect="00D03C2F">
          <w:pgSz w:w="12240" w:h="15840"/>
          <w:pgMar w:top="1440" w:right="1440" w:bottom="1440" w:left="1440" w:header="708" w:footer="708" w:gutter="0"/>
          <w:cols w:space="708"/>
          <w:docGrid w:linePitch="360"/>
        </w:sectPr>
      </w:pPr>
    </w:p>
    <w:p w14:paraId="128EE879" w14:textId="263C96AF" w:rsidR="008461E7" w:rsidRPr="00E1098E" w:rsidRDefault="00E1098E" w:rsidP="00E1098E">
      <w:pPr>
        <w:pStyle w:val="Caption"/>
        <w:rPr>
          <w:rFonts w:ascii="Times New Roman" w:hAnsi="Times New Roman" w:cs="Times New Roman"/>
          <w:sz w:val="24"/>
          <w:szCs w:val="24"/>
          <w:lang w:val="en-US"/>
        </w:rPr>
      </w:pPr>
      <w:bookmarkStart w:id="137" w:name="_Toc241865288"/>
      <w:r w:rsidRPr="00E1098E">
        <w:rPr>
          <w:rFonts w:ascii="Times New Roman" w:hAnsi="Times New Roman" w:cs="Times New Roman"/>
          <w:sz w:val="24"/>
          <w:szCs w:val="24"/>
        </w:rPr>
        <w:lastRenderedPageBreak/>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20</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lang w:val="en-US"/>
        </w:rPr>
        <w:t>: Okvir uspješnog upravljanja spajanjima i preuzimanjima</w:t>
      </w:r>
      <w:bookmarkEnd w:id="137"/>
    </w:p>
    <w:p w14:paraId="258B7E28" w14:textId="538F3DFE" w:rsidR="00F647BC" w:rsidRPr="00BE5472" w:rsidRDefault="005530CC" w:rsidP="00F647BC">
      <w:pPr>
        <w:spacing w:line="360" w:lineRule="auto"/>
        <w:jc w:val="center"/>
        <w:rPr>
          <w:rFonts w:ascii="Times New Roman" w:hAnsi="Times New Roman" w:cs="Times New Roman"/>
          <w:b/>
          <w:bCs/>
          <w:noProof/>
          <w:sz w:val="24"/>
          <w:szCs w:val="24"/>
          <w:lang w:val="en-US"/>
        </w:rPr>
      </w:pPr>
      <w:r w:rsidRPr="00BE5472">
        <w:rPr>
          <w:rFonts w:ascii="Times New Roman" w:hAnsi="Times New Roman" w:cs="Times New Roman"/>
          <w:b/>
          <w:bCs/>
          <w:noProof/>
          <w:sz w:val="24"/>
          <w:szCs w:val="24"/>
          <w:lang w:val="en-US"/>
        </w:rPr>
        <w:t>Faza upravljanja prije spajanja i preuzimanja</w:t>
      </w:r>
    </w:p>
    <w:p w14:paraId="73657010" w14:textId="19CE9735"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noProof/>
          <w:sz w:val="24"/>
          <w:szCs w:val="24"/>
          <w:lang w:eastAsia="hr-HR"/>
        </w:rPr>
        <w:drawing>
          <wp:inline distT="0" distB="0" distL="0" distR="0" wp14:anchorId="00A88A59" wp14:editId="3C0B5527">
            <wp:extent cx="5942251" cy="3564255"/>
            <wp:effectExtent l="0" t="0" r="1905" b="0"/>
            <wp:docPr id="1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a:srcRect t="18233" b="16711"/>
                    <a:stretch>
                      <a:fillRect/>
                    </a:stretch>
                  </pic:blipFill>
                  <pic:spPr bwMode="auto">
                    <a:xfrm>
                      <a:off x="0" y="0"/>
                      <a:ext cx="5943600" cy="3565064"/>
                    </a:xfrm>
                    <a:prstGeom prst="rect">
                      <a:avLst/>
                    </a:prstGeom>
                    <a:ln>
                      <a:noFill/>
                    </a:ln>
                    <a:extLst>
                      <a:ext uri="{53640926-AAD7-44D8-BBD7-CCE9431645EC}">
                        <a14:shadowObscured xmlns:a14="http://schemas.microsoft.com/office/drawing/2010/main"/>
                      </a:ext>
                    </a:extLst>
                  </pic:spPr>
                </pic:pic>
              </a:graphicData>
            </a:graphic>
          </wp:inline>
        </w:drawing>
      </w:r>
    </w:p>
    <w:p w14:paraId="6D050C17" w14:textId="60662343" w:rsidR="00F647BC" w:rsidRPr="00BE5472" w:rsidRDefault="008461E7" w:rsidP="00F647BC">
      <w:pPr>
        <w:spacing w:line="360" w:lineRule="auto"/>
        <w:jc w:val="center"/>
        <w:rPr>
          <w:rFonts w:ascii="Times New Roman" w:hAnsi="Times New Roman" w:cs="Times New Roman"/>
          <w:b/>
          <w:bCs/>
          <w:sz w:val="24"/>
          <w:szCs w:val="24"/>
          <w:lang w:val="it-IT"/>
        </w:rPr>
      </w:pPr>
      <w:r w:rsidRPr="00BE5472">
        <w:rPr>
          <w:rFonts w:ascii="Times New Roman" w:hAnsi="Times New Roman" w:cs="Times New Roman"/>
          <w:b/>
          <w:bCs/>
          <w:sz w:val="24"/>
          <w:szCs w:val="24"/>
          <w:lang w:val="it-IT"/>
        </w:rPr>
        <w:t>Faza integracije nakon spajanja i preuzimanja</w:t>
      </w:r>
    </w:p>
    <w:p w14:paraId="1588FBDE" w14:textId="394A289E"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Izvor: Prilagođeno prema: Kim, K. H. i Olsen, M. D. (1999b). Managing the Corporate Acquisition Process for Success. </w:t>
      </w:r>
      <w:r w:rsidRPr="00BE5472">
        <w:rPr>
          <w:rFonts w:ascii="Times New Roman" w:hAnsi="Times New Roman" w:cs="Times New Roman"/>
          <w:i/>
          <w:sz w:val="24"/>
          <w:szCs w:val="24"/>
          <w:lang w:val="en-US"/>
        </w:rPr>
        <w:t>The Journal of Hospitality Financial Management</w:t>
      </w:r>
      <w:r w:rsidRPr="00BE5472">
        <w:rPr>
          <w:rFonts w:ascii="Times New Roman" w:hAnsi="Times New Roman" w:cs="Times New Roman"/>
          <w:sz w:val="24"/>
          <w:szCs w:val="24"/>
          <w:lang w:val="en-US"/>
        </w:rPr>
        <w:t>, 7(1), str. 24.</w:t>
      </w:r>
    </w:p>
    <w:p w14:paraId="43333669" w14:textId="7797C08A"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Prikaz pokazatelja koji služe za procjenu uspješnosti procesa spajanja i preuzimanja, i pojedinih faza procesa </w:t>
      </w:r>
      <w:r w:rsidR="00162E35" w:rsidRPr="00BE5472">
        <w:rPr>
          <w:rFonts w:ascii="Times New Roman" w:hAnsi="Times New Roman" w:cs="Times New Roman"/>
          <w:sz w:val="24"/>
          <w:szCs w:val="24"/>
          <w:lang w:val="en-US"/>
        </w:rPr>
        <w:t>naveden</w:t>
      </w:r>
      <w:r w:rsidRPr="00BE5472">
        <w:rPr>
          <w:rFonts w:ascii="Times New Roman" w:hAnsi="Times New Roman" w:cs="Times New Roman"/>
          <w:sz w:val="24"/>
          <w:szCs w:val="24"/>
          <w:lang w:val="en-US"/>
        </w:rPr>
        <w:t xml:space="preserve"> je u tablicama koje slijede</w:t>
      </w:r>
      <w:r w:rsidR="00B12A0D" w:rsidRPr="00BE5472">
        <w:rPr>
          <w:rFonts w:ascii="Times New Roman" w:hAnsi="Times New Roman" w:cs="Times New Roman"/>
          <w:sz w:val="24"/>
          <w:szCs w:val="24"/>
          <w:lang w:val="en-US"/>
        </w:rPr>
        <w:t xml:space="preserve"> (1</w:t>
      </w:r>
      <w:r w:rsidR="00187661" w:rsidRPr="00BE5472">
        <w:rPr>
          <w:rFonts w:ascii="Times New Roman" w:hAnsi="Times New Roman" w:cs="Times New Roman"/>
          <w:sz w:val="24"/>
          <w:szCs w:val="24"/>
          <w:lang w:val="en-US"/>
        </w:rPr>
        <w:t>7</w:t>
      </w:r>
      <w:r w:rsidR="00B12A0D" w:rsidRPr="00BE5472">
        <w:rPr>
          <w:rFonts w:ascii="Times New Roman" w:hAnsi="Times New Roman" w:cs="Times New Roman"/>
          <w:sz w:val="24"/>
          <w:szCs w:val="24"/>
          <w:lang w:val="en-US"/>
        </w:rPr>
        <w:t>-</w:t>
      </w:r>
      <w:r w:rsidR="00187661" w:rsidRPr="00BE5472">
        <w:rPr>
          <w:rFonts w:ascii="Times New Roman" w:hAnsi="Times New Roman" w:cs="Times New Roman"/>
          <w:sz w:val="24"/>
          <w:szCs w:val="24"/>
          <w:lang w:val="en-US"/>
        </w:rPr>
        <w:t>20</w:t>
      </w:r>
      <w:r w:rsidR="00B12A0D" w:rsidRPr="00BE5472">
        <w:rPr>
          <w:rFonts w:ascii="Times New Roman" w:hAnsi="Times New Roman" w:cs="Times New Roman"/>
          <w:sz w:val="24"/>
          <w:szCs w:val="24"/>
          <w:lang w:val="en-US"/>
        </w:rPr>
        <w:t>)</w:t>
      </w:r>
      <w:r w:rsidRPr="00BE5472">
        <w:rPr>
          <w:rFonts w:ascii="Times New Roman" w:hAnsi="Times New Roman" w:cs="Times New Roman"/>
          <w:sz w:val="24"/>
          <w:szCs w:val="24"/>
          <w:lang w:val="en-US"/>
        </w:rPr>
        <w:t xml:space="preserve">. </w:t>
      </w:r>
    </w:p>
    <w:p w14:paraId="1EBB2DEB" w14:textId="0BFE1175" w:rsidR="006E052A" w:rsidRPr="00E1098E" w:rsidRDefault="00E1098E" w:rsidP="00E1098E">
      <w:pPr>
        <w:pStyle w:val="Caption"/>
        <w:rPr>
          <w:rFonts w:ascii="Times New Roman" w:hAnsi="Times New Roman" w:cs="Times New Roman"/>
          <w:sz w:val="24"/>
          <w:szCs w:val="24"/>
        </w:rPr>
      </w:pPr>
      <w:bookmarkStart w:id="138" w:name="_Toc24186521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17</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Evaluacija uspješnosti procesa spajanja i preuzimanja</w:t>
      </w:r>
      <w:bookmarkEnd w:id="138"/>
      <w:r w:rsidR="006E052A" w:rsidRPr="00E1098E">
        <w:rPr>
          <w:rFonts w:ascii="Times New Roman" w:hAnsi="Times New Roman" w:cs="Times New Roman"/>
          <w:sz w:val="24"/>
          <w:szCs w:val="24"/>
        </w:rPr>
        <w:t xml:space="preserve"> </w:t>
      </w:r>
    </w:p>
    <w:tbl>
      <w:tblPr>
        <w:tblStyle w:val="Reetkatablice3"/>
        <w:tblW w:w="0" w:type="auto"/>
        <w:tblLook w:val="04A0" w:firstRow="1" w:lastRow="0" w:firstColumn="1" w:lastColumn="0" w:noHBand="0" w:noVBand="1"/>
      </w:tblPr>
      <w:tblGrid>
        <w:gridCol w:w="1937"/>
        <w:gridCol w:w="7413"/>
      </w:tblGrid>
      <w:tr w:rsidR="006E052A" w:rsidRPr="00BE5472" w14:paraId="4E00BF19" w14:textId="77777777" w:rsidTr="00B34A5A">
        <w:tc>
          <w:tcPr>
            <w:tcW w:w="1838" w:type="dxa"/>
            <w:vAlign w:val="center"/>
          </w:tcPr>
          <w:p w14:paraId="0DDD46B3" w14:textId="4FB28BAB" w:rsidR="006E052A" w:rsidRPr="00BE5472" w:rsidRDefault="006E052A" w:rsidP="00B34A5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POKAZATELJ</w:t>
            </w:r>
            <w:r w:rsidR="005F7CBA" w:rsidRPr="00BE5472">
              <w:rPr>
                <w:rFonts w:ascii="Times New Roman" w:hAnsi="Times New Roman" w:cs="Times New Roman"/>
                <w:b/>
                <w:sz w:val="24"/>
                <w:szCs w:val="24"/>
                <w:lang w:val="en-US"/>
              </w:rPr>
              <w:t>I</w:t>
            </w:r>
          </w:p>
        </w:tc>
        <w:tc>
          <w:tcPr>
            <w:tcW w:w="7512" w:type="dxa"/>
            <w:vAlign w:val="center"/>
          </w:tcPr>
          <w:p w14:paraId="7CEDE896" w14:textId="19378624" w:rsidR="006E052A" w:rsidRPr="00BE5472" w:rsidRDefault="006E052A" w:rsidP="00B34A5A">
            <w:pPr>
              <w:spacing w:line="360" w:lineRule="auto"/>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OPIS</w:t>
            </w:r>
            <w:r w:rsidR="005F7CBA" w:rsidRPr="00BE5472">
              <w:rPr>
                <w:rFonts w:ascii="Times New Roman" w:hAnsi="Times New Roman" w:cs="Times New Roman"/>
                <w:b/>
                <w:sz w:val="24"/>
                <w:szCs w:val="24"/>
                <w:lang w:val="en-US"/>
              </w:rPr>
              <w:t xml:space="preserve"> POKAZATELJA</w:t>
            </w:r>
          </w:p>
        </w:tc>
      </w:tr>
      <w:tr w:rsidR="006E052A" w:rsidRPr="00BE5472" w14:paraId="14F9793D" w14:textId="77777777" w:rsidTr="005F7CBA">
        <w:tc>
          <w:tcPr>
            <w:tcW w:w="1838" w:type="dxa"/>
            <w:vAlign w:val="center"/>
          </w:tcPr>
          <w:p w14:paraId="0DAFFE9F" w14:textId="77777777" w:rsidR="006E052A" w:rsidRPr="00BE5472" w:rsidRDefault="006E052A" w:rsidP="005F7CBA">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Računovodstveni profit</w:t>
            </w:r>
          </w:p>
        </w:tc>
        <w:tc>
          <w:tcPr>
            <w:tcW w:w="7512" w:type="dxa"/>
          </w:tcPr>
          <w:p w14:paraId="33C7D9C0"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Skup uobičajenih mjera financijske uspješnosti.</w:t>
            </w:r>
          </w:p>
        </w:tc>
      </w:tr>
      <w:tr w:rsidR="006E052A" w:rsidRPr="00BE5472" w14:paraId="1B12E720" w14:textId="77777777" w:rsidTr="005F7CBA">
        <w:tc>
          <w:tcPr>
            <w:tcW w:w="1838" w:type="dxa"/>
            <w:vAlign w:val="center"/>
          </w:tcPr>
          <w:p w14:paraId="41ACCE82" w14:textId="77777777" w:rsidR="006E052A" w:rsidRPr="00BE5472" w:rsidRDefault="006E052A" w:rsidP="005F7CBA">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Povrat na dionice</w:t>
            </w:r>
          </w:p>
        </w:tc>
        <w:tc>
          <w:tcPr>
            <w:tcW w:w="7512" w:type="dxa"/>
          </w:tcPr>
          <w:p w14:paraId="1D7B37A8" w14:textId="4E6C5BC0"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Promjene cijene dionica poduzeća preuzimatelja oko datuma objave preuzimanja ili određenih razdoblja nakon objave.</w:t>
            </w:r>
          </w:p>
        </w:tc>
      </w:tr>
      <w:tr w:rsidR="006E052A" w:rsidRPr="00BE5472" w14:paraId="1C63A492" w14:textId="77777777" w:rsidTr="005F7CBA">
        <w:tc>
          <w:tcPr>
            <w:tcW w:w="1838" w:type="dxa"/>
            <w:vAlign w:val="center"/>
          </w:tcPr>
          <w:p w14:paraId="3F3967DA" w14:textId="0221C0A3" w:rsidR="006E052A" w:rsidRPr="00BE5472" w:rsidRDefault="006E052A" w:rsidP="005F7CBA">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lastRenderedPageBreak/>
              <w:t>Tržišni udio</w:t>
            </w:r>
          </w:p>
        </w:tc>
        <w:tc>
          <w:tcPr>
            <w:tcW w:w="7512" w:type="dxa"/>
          </w:tcPr>
          <w:p w14:paraId="1851FD00" w14:textId="4EA9207B"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Omjer prihoda od prodaje kombiniranog poduzeća prema ukupnom prihodu od prodaje svih poduzeća u određenoj industriji, uključujući novostvoreno poduzeće.</w:t>
            </w:r>
          </w:p>
        </w:tc>
      </w:tr>
      <w:tr w:rsidR="006E052A" w:rsidRPr="00BE5472" w14:paraId="4B1E6FE2" w14:textId="77777777" w:rsidTr="005F7CBA">
        <w:tc>
          <w:tcPr>
            <w:tcW w:w="1838" w:type="dxa"/>
            <w:vAlign w:val="center"/>
          </w:tcPr>
          <w:p w14:paraId="35AD3807" w14:textId="77777777" w:rsidR="006E052A" w:rsidRPr="00BE5472" w:rsidRDefault="006E052A" w:rsidP="005F7CBA">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Operativna učinkovitost</w:t>
            </w:r>
          </w:p>
        </w:tc>
        <w:tc>
          <w:tcPr>
            <w:tcW w:w="7512" w:type="dxa"/>
          </w:tcPr>
          <w:p w14:paraId="514B26DB"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Povećanje dodane vrijednosti ostvareno kroz ostvarene sinergije, uključujući operativne i upravljačke sinergije.</w:t>
            </w:r>
          </w:p>
        </w:tc>
      </w:tr>
      <w:tr w:rsidR="006E052A" w:rsidRPr="00BE5472" w14:paraId="50D380D7" w14:textId="77777777" w:rsidTr="005F7CBA">
        <w:tc>
          <w:tcPr>
            <w:tcW w:w="1838" w:type="dxa"/>
            <w:vAlign w:val="center"/>
          </w:tcPr>
          <w:p w14:paraId="69B70026" w14:textId="77777777" w:rsidR="006E052A" w:rsidRPr="00BE5472" w:rsidRDefault="006E052A" w:rsidP="005F7CBA">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Novčani tijek iz operacija</w:t>
            </w:r>
          </w:p>
        </w:tc>
        <w:tc>
          <w:tcPr>
            <w:tcW w:w="7512" w:type="dxa"/>
          </w:tcPr>
          <w:p w14:paraId="2C8DA3D9" w14:textId="77777777" w:rsidR="006E052A" w:rsidRPr="00BE5472" w:rsidRDefault="006E052A" w:rsidP="006E052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Prihodi prodaje, umanjeni za troškove proizvedene robe i administrativne troškove prodaje, uvećani za amortizaciju i troškove </w:t>
            </w:r>
            <w:r w:rsidRPr="00BE5472">
              <w:rPr>
                <w:rFonts w:ascii="Times New Roman" w:hAnsi="Times New Roman" w:cs="Times New Roman"/>
                <w:i/>
                <w:sz w:val="24"/>
                <w:szCs w:val="24"/>
                <w:lang w:val="it-IT"/>
              </w:rPr>
              <w:t>goodwilla</w:t>
            </w:r>
            <w:r w:rsidRPr="00BE5472">
              <w:rPr>
                <w:rFonts w:ascii="Times New Roman" w:hAnsi="Times New Roman" w:cs="Times New Roman"/>
                <w:sz w:val="24"/>
                <w:szCs w:val="24"/>
                <w:lang w:val="it-IT"/>
              </w:rPr>
              <w:t>.</w:t>
            </w:r>
          </w:p>
        </w:tc>
      </w:tr>
    </w:tbl>
    <w:p w14:paraId="5D029D1B"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rPr>
        <w:t xml:space="preserve">Izvor: </w:t>
      </w:r>
      <w:r w:rsidRPr="00BE5472">
        <w:rPr>
          <w:rFonts w:ascii="Times New Roman" w:hAnsi="Times New Roman" w:cs="Times New Roman"/>
          <w:sz w:val="24"/>
          <w:szCs w:val="24"/>
          <w:lang w:val="en-US"/>
        </w:rPr>
        <w:t xml:space="preserve">Kim, K. H. i Olsen, M. D. (1999a). Determinants of successful acquisition processes in the US lodging industry. </w:t>
      </w:r>
      <w:r w:rsidRPr="00BE5472">
        <w:rPr>
          <w:rFonts w:ascii="Times New Roman" w:hAnsi="Times New Roman" w:cs="Times New Roman"/>
          <w:i/>
          <w:sz w:val="24"/>
          <w:szCs w:val="24"/>
          <w:lang w:val="en-US"/>
        </w:rPr>
        <w:t xml:space="preserve">Hospitality Management, </w:t>
      </w:r>
      <w:r w:rsidRPr="00BE5472">
        <w:rPr>
          <w:rFonts w:ascii="Times New Roman" w:hAnsi="Times New Roman" w:cs="Times New Roman"/>
          <w:sz w:val="24"/>
          <w:szCs w:val="24"/>
          <w:lang w:val="en-US"/>
        </w:rPr>
        <w:t>18, str. 288</w:t>
      </w:r>
    </w:p>
    <w:p w14:paraId="48520F51" w14:textId="50A348F6" w:rsidR="006E052A" w:rsidRPr="00E1098E" w:rsidRDefault="00E1098E" w:rsidP="00E1098E">
      <w:pPr>
        <w:pStyle w:val="Caption"/>
        <w:rPr>
          <w:rFonts w:ascii="Times New Roman" w:hAnsi="Times New Roman" w:cs="Times New Roman"/>
          <w:sz w:val="24"/>
          <w:szCs w:val="24"/>
        </w:rPr>
      </w:pPr>
      <w:bookmarkStart w:id="139" w:name="_Toc241865212"/>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18</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Ključni čimbenici uspješnosti procesa</w:t>
      </w:r>
      <w:r w:rsidR="00C931A2" w:rsidRPr="00E1098E">
        <w:rPr>
          <w:rFonts w:ascii="Times New Roman" w:hAnsi="Times New Roman" w:cs="Times New Roman"/>
          <w:sz w:val="24"/>
          <w:szCs w:val="24"/>
        </w:rPr>
        <w:t xml:space="preserve"> spajanja i preuzimanja</w:t>
      </w:r>
      <w:r w:rsidR="006E052A" w:rsidRPr="00E1098E">
        <w:rPr>
          <w:rFonts w:ascii="Times New Roman" w:hAnsi="Times New Roman" w:cs="Times New Roman"/>
          <w:sz w:val="24"/>
          <w:szCs w:val="24"/>
        </w:rPr>
        <w:t xml:space="preserve"> u fazi procesa prije samog</w:t>
      </w:r>
      <w:r w:rsidR="008E3344" w:rsidRPr="00E1098E">
        <w:rPr>
          <w:rFonts w:ascii="Times New Roman" w:hAnsi="Times New Roman" w:cs="Times New Roman"/>
          <w:sz w:val="24"/>
          <w:szCs w:val="24"/>
        </w:rPr>
        <w:t xml:space="preserve"> spajanja</w:t>
      </w:r>
      <w:r w:rsidR="006E052A" w:rsidRPr="00E1098E">
        <w:rPr>
          <w:rFonts w:ascii="Times New Roman" w:hAnsi="Times New Roman" w:cs="Times New Roman"/>
          <w:sz w:val="24"/>
          <w:szCs w:val="24"/>
        </w:rPr>
        <w:t xml:space="preserve"> </w:t>
      </w:r>
      <w:r w:rsidR="00844E98" w:rsidRPr="00E1098E">
        <w:rPr>
          <w:rFonts w:ascii="Times New Roman" w:hAnsi="Times New Roman" w:cs="Times New Roman"/>
          <w:sz w:val="24"/>
          <w:szCs w:val="24"/>
        </w:rPr>
        <w:t xml:space="preserve">i </w:t>
      </w:r>
      <w:r w:rsidR="006E052A" w:rsidRPr="00E1098E">
        <w:rPr>
          <w:rFonts w:ascii="Times New Roman" w:hAnsi="Times New Roman" w:cs="Times New Roman"/>
          <w:sz w:val="24"/>
          <w:szCs w:val="24"/>
        </w:rPr>
        <w:t>preuzimanja</w:t>
      </w:r>
      <w:bookmarkEnd w:id="139"/>
    </w:p>
    <w:tbl>
      <w:tblPr>
        <w:tblStyle w:val="Reetkatablice3"/>
        <w:tblW w:w="9351" w:type="dxa"/>
        <w:tblLook w:val="04A0" w:firstRow="1" w:lastRow="0" w:firstColumn="1" w:lastColumn="0" w:noHBand="0" w:noVBand="1"/>
      </w:tblPr>
      <w:tblGrid>
        <w:gridCol w:w="9351"/>
      </w:tblGrid>
      <w:tr w:rsidR="006E052A" w:rsidRPr="00BE5472" w14:paraId="371FD38A" w14:textId="77777777" w:rsidTr="00B34A5A">
        <w:trPr>
          <w:trHeight w:val="778"/>
        </w:trPr>
        <w:tc>
          <w:tcPr>
            <w:tcW w:w="9351" w:type="dxa"/>
            <w:vAlign w:val="center"/>
          </w:tcPr>
          <w:p w14:paraId="0F226F98" w14:textId="438041CB" w:rsidR="006E052A" w:rsidRPr="00BE5472" w:rsidRDefault="006E052A" w:rsidP="005F7CBA">
            <w:pPr>
              <w:jc w:val="center"/>
              <w:rPr>
                <w:rFonts w:ascii="Times New Roman" w:hAnsi="Times New Roman" w:cs="Times New Roman"/>
                <w:b/>
                <w:sz w:val="24"/>
                <w:szCs w:val="24"/>
              </w:rPr>
            </w:pPr>
            <w:r w:rsidRPr="00BE5472">
              <w:rPr>
                <w:rFonts w:ascii="Times New Roman" w:hAnsi="Times New Roman" w:cs="Times New Roman"/>
                <w:b/>
                <w:sz w:val="24"/>
                <w:szCs w:val="24"/>
              </w:rPr>
              <w:t>KLJUČNI ČIMBENICI U FAZI UPRAVLJANJA PRIJE</w:t>
            </w:r>
            <w:r w:rsidR="008E3344" w:rsidRPr="00BE5472">
              <w:rPr>
                <w:rFonts w:ascii="Times New Roman" w:hAnsi="Times New Roman" w:cs="Times New Roman"/>
                <w:b/>
                <w:sz w:val="24"/>
                <w:szCs w:val="24"/>
              </w:rPr>
              <w:t xml:space="preserve"> SPAJANJA I</w:t>
            </w:r>
            <w:r w:rsidRPr="00BE5472">
              <w:rPr>
                <w:rFonts w:ascii="Times New Roman" w:hAnsi="Times New Roman" w:cs="Times New Roman"/>
                <w:b/>
                <w:sz w:val="24"/>
                <w:szCs w:val="24"/>
              </w:rPr>
              <w:t xml:space="preserve"> PREUZIMANJA</w:t>
            </w:r>
          </w:p>
        </w:tc>
      </w:tr>
      <w:tr w:rsidR="006E052A" w:rsidRPr="00BE5472" w14:paraId="23EBBB1B" w14:textId="77777777" w:rsidTr="005F7CBA">
        <w:trPr>
          <w:trHeight w:val="10"/>
        </w:trPr>
        <w:tc>
          <w:tcPr>
            <w:tcW w:w="9351" w:type="dxa"/>
          </w:tcPr>
          <w:p w14:paraId="5B032D3F"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trenda operativnog novčanog toka poduzeća mete.</w:t>
            </w:r>
          </w:p>
        </w:tc>
      </w:tr>
      <w:tr w:rsidR="006E052A" w:rsidRPr="00BE5472" w14:paraId="314F79CD" w14:textId="77777777" w:rsidTr="005F7CBA">
        <w:trPr>
          <w:trHeight w:val="19"/>
        </w:trPr>
        <w:tc>
          <w:tcPr>
            <w:tcW w:w="9351" w:type="dxa"/>
          </w:tcPr>
          <w:p w14:paraId="2575BFE5"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potencijalne operativne sinergije (tj. poboljšanje operativne učinkovitosti).</w:t>
            </w:r>
          </w:p>
        </w:tc>
      </w:tr>
      <w:tr w:rsidR="006E052A" w:rsidRPr="00BE5472" w14:paraId="1ADB4AAE" w14:textId="77777777" w:rsidTr="005F7CBA">
        <w:trPr>
          <w:trHeight w:val="19"/>
        </w:trPr>
        <w:tc>
          <w:tcPr>
            <w:tcW w:w="9351" w:type="dxa"/>
          </w:tcPr>
          <w:p w14:paraId="51007D7F"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Mjera prirasta ili razrjeđenja dionica / Gotovinski tijek / FFO.</w:t>
            </w:r>
          </w:p>
        </w:tc>
      </w:tr>
      <w:tr w:rsidR="006E052A" w:rsidRPr="00BE5472" w14:paraId="6BC95599" w14:textId="77777777" w:rsidTr="005F7CBA">
        <w:trPr>
          <w:trHeight w:val="19"/>
        </w:trPr>
        <w:tc>
          <w:tcPr>
            <w:tcW w:w="9351" w:type="dxa"/>
          </w:tcPr>
          <w:p w14:paraId="69CCAB02"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Identificirati lokacije mete u odnosu na veličinu i karakteristike tržišta kojem se meta obraća. </w:t>
            </w:r>
          </w:p>
        </w:tc>
      </w:tr>
      <w:tr w:rsidR="006E052A" w:rsidRPr="00BE5472" w14:paraId="7A43BD52" w14:textId="77777777" w:rsidTr="005F7CBA">
        <w:trPr>
          <w:trHeight w:val="10"/>
        </w:trPr>
        <w:tc>
          <w:tcPr>
            <w:tcW w:w="9351" w:type="dxa"/>
          </w:tcPr>
          <w:p w14:paraId="25E5C1AC"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Dubinsko snimanje poduzeća mete (tzv. </w:t>
            </w:r>
            <w:r w:rsidRPr="00BE5472">
              <w:rPr>
                <w:rFonts w:ascii="Times New Roman" w:hAnsi="Times New Roman" w:cs="Times New Roman"/>
                <w:i/>
                <w:sz w:val="24"/>
                <w:szCs w:val="24"/>
                <w:lang w:val="it-IT"/>
              </w:rPr>
              <w:t>Due dilligence</w:t>
            </w:r>
            <w:r w:rsidRPr="00BE5472">
              <w:rPr>
                <w:rFonts w:ascii="Times New Roman" w:hAnsi="Times New Roman" w:cs="Times New Roman"/>
                <w:sz w:val="24"/>
                <w:szCs w:val="24"/>
                <w:lang w:val="it-IT"/>
              </w:rPr>
              <w:t>).</w:t>
            </w:r>
          </w:p>
        </w:tc>
      </w:tr>
      <w:tr w:rsidR="006E052A" w:rsidRPr="00BE5472" w14:paraId="37B77A31" w14:textId="77777777" w:rsidTr="005F7CBA">
        <w:trPr>
          <w:trHeight w:val="14"/>
        </w:trPr>
        <w:tc>
          <w:tcPr>
            <w:tcW w:w="9351" w:type="dxa"/>
          </w:tcPr>
          <w:p w14:paraId="13C2EAD4"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Shvaćanje kako će različiti dionici reagirati na transakciju (tj. dioničari).</w:t>
            </w:r>
          </w:p>
        </w:tc>
      </w:tr>
      <w:tr w:rsidR="006E052A" w:rsidRPr="00BE5472" w14:paraId="2B3B183E" w14:textId="77777777" w:rsidTr="005F7CBA">
        <w:trPr>
          <w:trHeight w:val="7"/>
        </w:trPr>
        <w:tc>
          <w:tcPr>
            <w:tcW w:w="9351" w:type="dxa"/>
          </w:tcPr>
          <w:p w14:paraId="14D785F7"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trenda ukupne uspješnosti mete.</w:t>
            </w:r>
          </w:p>
        </w:tc>
      </w:tr>
      <w:tr w:rsidR="006E052A" w:rsidRPr="00BE5472" w14:paraId="33A4A417" w14:textId="77777777" w:rsidTr="005F7CBA">
        <w:trPr>
          <w:trHeight w:val="19"/>
        </w:trPr>
        <w:tc>
          <w:tcPr>
            <w:tcW w:w="9351" w:type="dxa"/>
          </w:tcPr>
          <w:p w14:paraId="151DCF41"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potencijalnog unaprijeđena marke i reputacije.</w:t>
            </w:r>
          </w:p>
        </w:tc>
      </w:tr>
      <w:tr w:rsidR="006E052A" w:rsidRPr="00BE5472" w14:paraId="4F675DEF" w14:textId="77777777" w:rsidTr="005F7CBA">
        <w:trPr>
          <w:trHeight w:val="10"/>
        </w:trPr>
        <w:tc>
          <w:tcPr>
            <w:tcW w:w="9351" w:type="dxa"/>
          </w:tcPr>
          <w:p w14:paraId="4E37D807"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Način plaćanja (tj. gotovinsko, dioničko, itd.).</w:t>
            </w:r>
          </w:p>
        </w:tc>
      </w:tr>
      <w:tr w:rsidR="006E052A" w:rsidRPr="00BE5472" w14:paraId="3E23867A" w14:textId="77777777" w:rsidTr="005F7CBA">
        <w:trPr>
          <w:trHeight w:val="19"/>
        </w:trPr>
        <w:tc>
          <w:tcPr>
            <w:tcW w:w="9351" w:type="dxa"/>
          </w:tcPr>
          <w:p w14:paraId="4B8B680D"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strateške povezanosti između poduzeća preuzimatelja i poduzeća mete.</w:t>
            </w:r>
          </w:p>
        </w:tc>
      </w:tr>
      <w:tr w:rsidR="006E052A" w:rsidRPr="00BE5472" w14:paraId="102CBE7F" w14:textId="77777777" w:rsidTr="005F7CBA">
        <w:trPr>
          <w:trHeight w:val="14"/>
        </w:trPr>
        <w:tc>
          <w:tcPr>
            <w:tcW w:w="9351" w:type="dxa"/>
          </w:tcPr>
          <w:p w14:paraId="73EAC24B"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Identificiranje činjenice da će sadašnja vrijednost očekivanih sinergija biti veća od plaćenih premija (kontrolna premija</w:t>
            </w:r>
            <w:r w:rsidRPr="00BE5472">
              <w:rPr>
                <w:rFonts w:ascii="Times New Roman" w:hAnsi="Times New Roman" w:cs="Times New Roman"/>
                <w:sz w:val="24"/>
                <w:szCs w:val="24"/>
                <w:vertAlign w:val="superscript"/>
                <w:lang w:val="en-US"/>
              </w:rPr>
              <w:footnoteReference w:id="41"/>
            </w:r>
            <w:r w:rsidRPr="00BE5472">
              <w:rPr>
                <w:rFonts w:ascii="Times New Roman" w:hAnsi="Times New Roman" w:cs="Times New Roman"/>
                <w:sz w:val="24"/>
                <w:szCs w:val="24"/>
              </w:rPr>
              <w:t xml:space="preserve"> manja je od neto sadašnje vrijednosti sinergijskog učinka).</w:t>
            </w:r>
          </w:p>
        </w:tc>
      </w:tr>
      <w:tr w:rsidR="006E052A" w:rsidRPr="00BE5472" w14:paraId="280B3EC3" w14:textId="77777777" w:rsidTr="005F7CBA">
        <w:trPr>
          <w:trHeight w:val="3"/>
        </w:trPr>
        <w:tc>
          <w:tcPr>
            <w:tcW w:w="9351" w:type="dxa"/>
          </w:tcPr>
          <w:p w14:paraId="1F94BC5F" w14:textId="77777777" w:rsidR="006E052A" w:rsidRPr="00BE5472" w:rsidRDefault="006E052A" w:rsidP="009F32EF">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Iznos akvizicijske premije.</w:t>
            </w:r>
          </w:p>
        </w:tc>
      </w:tr>
      <w:tr w:rsidR="006E052A" w:rsidRPr="00BE5472" w14:paraId="34E0BD79" w14:textId="77777777" w:rsidTr="005F7CBA">
        <w:trPr>
          <w:trHeight w:val="3"/>
        </w:trPr>
        <w:tc>
          <w:tcPr>
            <w:tcW w:w="9351" w:type="dxa"/>
          </w:tcPr>
          <w:p w14:paraId="527385CC"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Način preuzimanja (tj. spajanje, neprijateljsko preuzimanje, itd.).</w:t>
            </w:r>
          </w:p>
        </w:tc>
      </w:tr>
      <w:tr w:rsidR="006E052A" w:rsidRPr="00BE5472" w14:paraId="020233E8" w14:textId="77777777" w:rsidTr="005F7CBA">
        <w:trPr>
          <w:trHeight w:val="3"/>
        </w:trPr>
        <w:tc>
          <w:tcPr>
            <w:tcW w:w="9351" w:type="dxa"/>
          </w:tcPr>
          <w:p w14:paraId="2CD1A70C"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Utvrđivanje potencijalne financijske sinergije (tj. niži troškovi kapitala, niža porezna stopa).</w:t>
            </w:r>
          </w:p>
        </w:tc>
      </w:tr>
      <w:tr w:rsidR="006E052A" w:rsidRPr="00BE5472" w14:paraId="461A39AB" w14:textId="77777777" w:rsidTr="005F7CBA">
        <w:trPr>
          <w:trHeight w:val="3"/>
        </w:trPr>
        <w:tc>
          <w:tcPr>
            <w:tcW w:w="9351" w:type="dxa"/>
          </w:tcPr>
          <w:p w14:paraId="298DF5C4"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Cijena ponude temelji se na konkurentnom položaju poduzeća mete u hotelskom sektoru.</w:t>
            </w:r>
          </w:p>
        </w:tc>
      </w:tr>
      <w:tr w:rsidR="006E052A" w:rsidRPr="00BE5472" w14:paraId="1E8DA55B" w14:textId="77777777" w:rsidTr="005F7CBA">
        <w:trPr>
          <w:trHeight w:val="3"/>
        </w:trPr>
        <w:tc>
          <w:tcPr>
            <w:tcW w:w="9351" w:type="dxa"/>
          </w:tcPr>
          <w:p w14:paraId="77234151" w14:textId="77777777" w:rsidR="006E052A" w:rsidRPr="00BE5472" w:rsidRDefault="006E052A" w:rsidP="009F32EF">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Postojanje više mogućih ponuđača.</w:t>
            </w:r>
          </w:p>
        </w:tc>
      </w:tr>
      <w:tr w:rsidR="006E052A" w:rsidRPr="00BE5472" w14:paraId="0B5AF7F5" w14:textId="77777777" w:rsidTr="005F7CBA">
        <w:trPr>
          <w:trHeight w:val="3"/>
        </w:trPr>
        <w:tc>
          <w:tcPr>
            <w:tcW w:w="9351" w:type="dxa"/>
          </w:tcPr>
          <w:p w14:paraId="3B0D614F"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Identificiranje potencijalne potražnje za proizvodima / uslugama kombiniranog poduzeća u sljedećih pet godina. </w:t>
            </w:r>
          </w:p>
        </w:tc>
      </w:tr>
      <w:tr w:rsidR="006E052A" w:rsidRPr="00BE5472" w14:paraId="2DC96F07" w14:textId="77777777" w:rsidTr="005F7CBA">
        <w:trPr>
          <w:trHeight w:val="3"/>
        </w:trPr>
        <w:tc>
          <w:tcPr>
            <w:tcW w:w="9351" w:type="dxa"/>
          </w:tcPr>
          <w:p w14:paraId="3BE726D4"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Identificiranje potencijalne upravljačke sinergije (tj. poboljšani konkurentni položaj poduzeća mete prijenosom upravljačkog znanja poduzeća preuzimatelja).</w:t>
            </w:r>
          </w:p>
        </w:tc>
      </w:tr>
      <w:tr w:rsidR="006E052A" w:rsidRPr="00BE5472" w14:paraId="7AB7B2A6" w14:textId="77777777" w:rsidTr="005F7CBA">
        <w:trPr>
          <w:trHeight w:val="3"/>
        </w:trPr>
        <w:tc>
          <w:tcPr>
            <w:tcW w:w="9351" w:type="dxa"/>
          </w:tcPr>
          <w:p w14:paraId="23B53B7B"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Identificiranje upravljačke naknade i franšizne naknade za poduzeće metu.</w:t>
            </w:r>
          </w:p>
        </w:tc>
      </w:tr>
      <w:tr w:rsidR="006E052A" w:rsidRPr="00BE5472" w14:paraId="5DAAB044" w14:textId="77777777" w:rsidTr="005F7CBA">
        <w:trPr>
          <w:trHeight w:val="3"/>
        </w:trPr>
        <w:tc>
          <w:tcPr>
            <w:tcW w:w="9351" w:type="dxa"/>
          </w:tcPr>
          <w:p w14:paraId="744D89C1"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Uključivanje ključnog osoblja i zaposlenika poduzeća preuzimatelja u planiranje preuzimanja.</w:t>
            </w:r>
          </w:p>
        </w:tc>
      </w:tr>
      <w:tr w:rsidR="006E052A" w:rsidRPr="00BE5472" w14:paraId="3E5AA7E0" w14:textId="77777777" w:rsidTr="005F7CBA">
        <w:trPr>
          <w:trHeight w:val="3"/>
        </w:trPr>
        <w:tc>
          <w:tcPr>
            <w:tcW w:w="9351" w:type="dxa"/>
          </w:tcPr>
          <w:p w14:paraId="783903FB" w14:textId="77777777" w:rsidR="006E052A" w:rsidRPr="00BE5472" w:rsidRDefault="006E052A" w:rsidP="009F32E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Dobivanje savjeta od najboljih investicijskih banaka.</w:t>
            </w:r>
          </w:p>
        </w:tc>
      </w:tr>
      <w:tr w:rsidR="006E052A" w:rsidRPr="00BE5472" w14:paraId="572731DD" w14:textId="77777777" w:rsidTr="005F7CBA">
        <w:trPr>
          <w:trHeight w:val="3"/>
        </w:trPr>
        <w:tc>
          <w:tcPr>
            <w:tcW w:w="9351" w:type="dxa"/>
          </w:tcPr>
          <w:p w14:paraId="36E7013C" w14:textId="77777777"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kapitalne strukture i troškova kapitala poduzeća mete.</w:t>
            </w:r>
          </w:p>
        </w:tc>
      </w:tr>
      <w:tr w:rsidR="006E052A" w:rsidRPr="00BE5472" w14:paraId="39E8E9E7" w14:textId="77777777" w:rsidTr="005F7CBA">
        <w:trPr>
          <w:trHeight w:val="19"/>
        </w:trPr>
        <w:tc>
          <w:tcPr>
            <w:tcW w:w="9351" w:type="dxa"/>
          </w:tcPr>
          <w:p w14:paraId="15B0C7AD" w14:textId="494FE30E" w:rsidR="006E052A" w:rsidRPr="00BE5472" w:rsidRDefault="006E052A" w:rsidP="009F32E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povezanosti i kompatibilnosti p</w:t>
            </w:r>
            <w:r w:rsidR="00162E35" w:rsidRPr="00BE5472">
              <w:rPr>
                <w:rFonts w:ascii="Times New Roman" w:hAnsi="Times New Roman" w:cs="Times New Roman"/>
                <w:sz w:val="24"/>
                <w:szCs w:val="24"/>
                <w:lang w:val="it-IT"/>
              </w:rPr>
              <w:t>o</w:t>
            </w:r>
            <w:r w:rsidRPr="00BE5472">
              <w:rPr>
                <w:rFonts w:ascii="Times New Roman" w:hAnsi="Times New Roman" w:cs="Times New Roman"/>
                <w:sz w:val="24"/>
                <w:szCs w:val="24"/>
                <w:lang w:val="it-IT"/>
              </w:rPr>
              <w:t>duzeća mete s informacijskom infrastrukturom poduzeća preuzimatelja.</w:t>
            </w:r>
          </w:p>
        </w:tc>
      </w:tr>
    </w:tbl>
    <w:p w14:paraId="37620348" w14:textId="77777777" w:rsidR="006E052A" w:rsidRPr="00BE5472" w:rsidRDefault="006E052A" w:rsidP="006E052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Kim, K. H. i Olsen, M. D. (1999a). Determinants of successful acquisition processes in the US lodging industry. </w:t>
      </w:r>
      <w:r w:rsidRPr="00BE5472">
        <w:rPr>
          <w:rFonts w:ascii="Times New Roman" w:hAnsi="Times New Roman" w:cs="Times New Roman"/>
          <w:i/>
          <w:sz w:val="24"/>
          <w:szCs w:val="24"/>
          <w:lang w:val="en-US"/>
        </w:rPr>
        <w:t xml:space="preserve">Hospitality Management, </w:t>
      </w:r>
      <w:r w:rsidRPr="00BE5472">
        <w:rPr>
          <w:rFonts w:ascii="Times New Roman" w:hAnsi="Times New Roman" w:cs="Times New Roman"/>
          <w:sz w:val="24"/>
          <w:szCs w:val="24"/>
          <w:lang w:val="en-US"/>
        </w:rPr>
        <w:t>18, str. 293.</w:t>
      </w:r>
    </w:p>
    <w:p w14:paraId="6E6E8C15" w14:textId="77777777" w:rsidR="007F21B5" w:rsidRPr="00BE5472" w:rsidRDefault="007F21B5" w:rsidP="006E052A">
      <w:pPr>
        <w:spacing w:line="360" w:lineRule="auto"/>
        <w:jc w:val="both"/>
        <w:rPr>
          <w:rFonts w:ascii="Times New Roman" w:hAnsi="Times New Roman" w:cs="Times New Roman"/>
          <w:sz w:val="24"/>
          <w:szCs w:val="24"/>
          <w:lang w:val="en-US"/>
        </w:rPr>
      </w:pPr>
    </w:p>
    <w:p w14:paraId="195FF4C5" w14:textId="77777777" w:rsidR="007F21B5" w:rsidRPr="00BE5472" w:rsidRDefault="007F21B5" w:rsidP="006E052A">
      <w:pPr>
        <w:spacing w:line="360" w:lineRule="auto"/>
        <w:jc w:val="both"/>
        <w:rPr>
          <w:rFonts w:ascii="Times New Roman" w:hAnsi="Times New Roman" w:cs="Times New Roman"/>
          <w:sz w:val="24"/>
          <w:szCs w:val="24"/>
          <w:lang w:val="en-US"/>
        </w:rPr>
      </w:pPr>
    </w:p>
    <w:p w14:paraId="3CC5E923" w14:textId="77777777" w:rsidR="007F21B5" w:rsidRPr="00BE5472" w:rsidRDefault="007F21B5" w:rsidP="006E052A">
      <w:pPr>
        <w:spacing w:line="360" w:lineRule="auto"/>
        <w:jc w:val="both"/>
        <w:rPr>
          <w:rFonts w:ascii="Times New Roman" w:hAnsi="Times New Roman" w:cs="Times New Roman"/>
          <w:sz w:val="24"/>
          <w:szCs w:val="24"/>
          <w:lang w:val="en-US"/>
        </w:rPr>
        <w:sectPr w:rsidR="007F21B5" w:rsidRPr="00BE5472" w:rsidSect="00D03C2F">
          <w:pgSz w:w="12240" w:h="15840"/>
          <w:pgMar w:top="1440" w:right="1440" w:bottom="1440" w:left="1440" w:header="708" w:footer="708" w:gutter="0"/>
          <w:cols w:space="708"/>
          <w:docGrid w:linePitch="360"/>
        </w:sectPr>
      </w:pPr>
    </w:p>
    <w:p w14:paraId="4624BC1F" w14:textId="3D9D8724" w:rsidR="006E052A" w:rsidRPr="00E1098E" w:rsidRDefault="00E1098E" w:rsidP="00E1098E">
      <w:pPr>
        <w:pStyle w:val="Caption"/>
        <w:rPr>
          <w:rFonts w:ascii="Times New Roman" w:hAnsi="Times New Roman" w:cs="Times New Roman"/>
          <w:sz w:val="24"/>
          <w:szCs w:val="24"/>
        </w:rPr>
      </w:pPr>
      <w:bookmarkStart w:id="140" w:name="_Toc241865213"/>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19</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Ključni čimbenici uspješnosti procesa</w:t>
      </w:r>
      <w:r w:rsidR="007F21B5" w:rsidRPr="00E1098E">
        <w:rPr>
          <w:rFonts w:ascii="Times New Roman" w:hAnsi="Times New Roman" w:cs="Times New Roman"/>
          <w:sz w:val="24"/>
          <w:szCs w:val="24"/>
        </w:rPr>
        <w:t xml:space="preserve"> spajanja i preuzimanja</w:t>
      </w:r>
      <w:r w:rsidR="006E052A" w:rsidRPr="00E1098E">
        <w:rPr>
          <w:rFonts w:ascii="Times New Roman" w:hAnsi="Times New Roman" w:cs="Times New Roman"/>
          <w:sz w:val="24"/>
          <w:szCs w:val="24"/>
        </w:rPr>
        <w:t xml:space="preserve"> u fazi integracije</w:t>
      </w:r>
      <w:r w:rsidR="007F21B5" w:rsidRPr="00E1098E">
        <w:rPr>
          <w:rFonts w:ascii="Times New Roman" w:hAnsi="Times New Roman" w:cs="Times New Roman"/>
          <w:sz w:val="24"/>
          <w:szCs w:val="24"/>
        </w:rPr>
        <w:t xml:space="preserve"> nakon spajanja i preuzimanja</w:t>
      </w:r>
      <w:bookmarkEnd w:id="140"/>
    </w:p>
    <w:tbl>
      <w:tblPr>
        <w:tblStyle w:val="Reetkatablice3"/>
        <w:tblW w:w="9351" w:type="dxa"/>
        <w:tblLook w:val="04A0" w:firstRow="1" w:lastRow="0" w:firstColumn="1" w:lastColumn="0" w:noHBand="0" w:noVBand="1"/>
      </w:tblPr>
      <w:tblGrid>
        <w:gridCol w:w="9351"/>
      </w:tblGrid>
      <w:tr w:rsidR="006E052A" w:rsidRPr="00BE5472" w14:paraId="565A307E" w14:textId="77777777" w:rsidTr="00B34A5A">
        <w:trPr>
          <w:trHeight w:val="608"/>
        </w:trPr>
        <w:tc>
          <w:tcPr>
            <w:tcW w:w="9351" w:type="dxa"/>
            <w:vAlign w:val="center"/>
          </w:tcPr>
          <w:p w14:paraId="0A51B85F" w14:textId="77777777" w:rsidR="006E052A" w:rsidRPr="00BE5472" w:rsidRDefault="006E052A" w:rsidP="005F7CBA">
            <w:pPr>
              <w:jc w:val="center"/>
              <w:rPr>
                <w:rFonts w:ascii="Times New Roman" w:hAnsi="Times New Roman" w:cs="Times New Roman"/>
                <w:sz w:val="24"/>
                <w:szCs w:val="24"/>
              </w:rPr>
            </w:pPr>
          </w:p>
          <w:p w14:paraId="7C1AD672" w14:textId="5EBEB837" w:rsidR="006E052A" w:rsidRPr="00BE5472" w:rsidRDefault="006E052A" w:rsidP="005F7CBA">
            <w:pPr>
              <w:jc w:val="center"/>
              <w:rPr>
                <w:rFonts w:ascii="Times New Roman" w:hAnsi="Times New Roman" w:cs="Times New Roman"/>
                <w:b/>
                <w:caps/>
                <w:sz w:val="24"/>
                <w:szCs w:val="24"/>
              </w:rPr>
            </w:pPr>
            <w:r w:rsidRPr="00BE5472">
              <w:rPr>
                <w:rFonts w:ascii="Times New Roman" w:hAnsi="Times New Roman" w:cs="Times New Roman"/>
                <w:b/>
                <w:caps/>
                <w:sz w:val="24"/>
                <w:szCs w:val="24"/>
              </w:rPr>
              <w:t xml:space="preserve">Ključni čimbenici u fazi integracije nakon </w:t>
            </w:r>
            <w:r w:rsidR="00D06940" w:rsidRPr="00BE5472">
              <w:rPr>
                <w:rFonts w:ascii="Times New Roman" w:hAnsi="Times New Roman" w:cs="Times New Roman"/>
                <w:b/>
                <w:caps/>
                <w:sz w:val="24"/>
                <w:szCs w:val="24"/>
              </w:rPr>
              <w:t xml:space="preserve">SPAJANJA I </w:t>
            </w:r>
            <w:r w:rsidRPr="00BE5472">
              <w:rPr>
                <w:rFonts w:ascii="Times New Roman" w:hAnsi="Times New Roman" w:cs="Times New Roman"/>
                <w:b/>
                <w:caps/>
                <w:sz w:val="24"/>
                <w:szCs w:val="24"/>
              </w:rPr>
              <w:t>PREUZIMANJA</w:t>
            </w:r>
          </w:p>
          <w:p w14:paraId="2CA1CDA0" w14:textId="77777777" w:rsidR="006E052A" w:rsidRPr="00BE5472" w:rsidRDefault="006E052A" w:rsidP="005F7CBA">
            <w:pPr>
              <w:jc w:val="center"/>
              <w:rPr>
                <w:rFonts w:ascii="Times New Roman" w:hAnsi="Times New Roman" w:cs="Times New Roman"/>
                <w:sz w:val="24"/>
                <w:szCs w:val="24"/>
              </w:rPr>
            </w:pPr>
          </w:p>
        </w:tc>
      </w:tr>
      <w:tr w:rsidR="006E052A" w:rsidRPr="00BE5472" w14:paraId="5C51275B" w14:textId="77777777" w:rsidTr="005F7CBA">
        <w:trPr>
          <w:trHeight w:val="33"/>
        </w:trPr>
        <w:tc>
          <w:tcPr>
            <w:tcW w:w="9351" w:type="dxa"/>
          </w:tcPr>
          <w:p w14:paraId="5D03228B"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Definiranje nove strategije vrlo rano u procesu spajanja i preuzimanja.</w:t>
            </w:r>
          </w:p>
        </w:tc>
      </w:tr>
      <w:tr w:rsidR="006E052A" w:rsidRPr="00BE5472" w14:paraId="60A4D521" w14:textId="77777777" w:rsidTr="005F7CBA">
        <w:trPr>
          <w:trHeight w:val="117"/>
        </w:trPr>
        <w:tc>
          <w:tcPr>
            <w:tcW w:w="9351" w:type="dxa"/>
          </w:tcPr>
          <w:p w14:paraId="305FA760"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menadžera poduzeća mete u slučajevima spajanja poduzeća.</w:t>
            </w:r>
          </w:p>
        </w:tc>
      </w:tr>
      <w:tr w:rsidR="006E052A" w:rsidRPr="00BE5472" w14:paraId="16B301AD" w14:textId="77777777" w:rsidTr="005F7CBA">
        <w:trPr>
          <w:trHeight w:val="33"/>
        </w:trPr>
        <w:tc>
          <w:tcPr>
            <w:tcW w:w="9351" w:type="dxa"/>
          </w:tcPr>
          <w:p w14:paraId="2E91493A"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Određivanje stupnja integracije nakon preuzimanja.</w:t>
            </w:r>
          </w:p>
        </w:tc>
      </w:tr>
      <w:tr w:rsidR="006E052A" w:rsidRPr="00BE5472" w14:paraId="6EBF7896" w14:textId="77777777" w:rsidTr="005F7CBA">
        <w:trPr>
          <w:trHeight w:val="56"/>
        </w:trPr>
        <w:tc>
          <w:tcPr>
            <w:tcW w:w="9351" w:type="dxa"/>
          </w:tcPr>
          <w:p w14:paraId="6C5407E3"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Razvijanje formalnog plana integracije vrhovnog menadžmenta oba poduzeća.</w:t>
            </w:r>
          </w:p>
        </w:tc>
      </w:tr>
      <w:tr w:rsidR="006E052A" w:rsidRPr="00BE5472" w14:paraId="122E12C3" w14:textId="77777777" w:rsidTr="005F7CBA">
        <w:trPr>
          <w:trHeight w:val="113"/>
        </w:trPr>
        <w:tc>
          <w:tcPr>
            <w:tcW w:w="9351" w:type="dxa"/>
          </w:tcPr>
          <w:p w14:paraId="42820CB3"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Uspostavljanje učinkovite komunikacijske strategije kako bi se zaposlenici poduzeća mete bili dobro informirani.</w:t>
            </w:r>
          </w:p>
        </w:tc>
      </w:tr>
      <w:tr w:rsidR="006E052A" w:rsidRPr="00BE5472" w14:paraId="687602BE" w14:textId="77777777" w:rsidTr="005F7CBA">
        <w:trPr>
          <w:trHeight w:val="33"/>
        </w:trPr>
        <w:tc>
          <w:tcPr>
            <w:tcW w:w="9351" w:type="dxa"/>
          </w:tcPr>
          <w:p w14:paraId="0C926D41"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Uspostavljanje osjećaja jedinstva između dva poduzeća.</w:t>
            </w:r>
          </w:p>
        </w:tc>
      </w:tr>
      <w:tr w:rsidR="006E052A" w:rsidRPr="00BE5472" w14:paraId="4329EAA6" w14:textId="77777777" w:rsidTr="005F7CBA">
        <w:trPr>
          <w:trHeight w:val="292"/>
        </w:trPr>
        <w:tc>
          <w:tcPr>
            <w:tcW w:w="9351" w:type="dxa"/>
          </w:tcPr>
          <w:p w14:paraId="125432B4"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Ujednačavanje početne namjere (motivacije) za preuzimanjem poduzeća preuzimatelja i operativne strategije novoosnovanog zajedničkog poduzeća ili pak poduzeća preuzimatelja ako je ostalo kao zasebna pravna osoba.</w:t>
            </w:r>
          </w:p>
        </w:tc>
      </w:tr>
      <w:tr w:rsidR="006E052A" w:rsidRPr="00BE5472" w14:paraId="538F5A50" w14:textId="77777777" w:rsidTr="005F7CBA">
        <w:trPr>
          <w:trHeight w:val="117"/>
        </w:trPr>
        <w:tc>
          <w:tcPr>
            <w:tcW w:w="9351" w:type="dxa"/>
          </w:tcPr>
          <w:p w14:paraId="3A1BB22E"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vrijednosnih pokretača preuzimanja i usmjeriti se na njihovo ostvarivanje.</w:t>
            </w:r>
          </w:p>
        </w:tc>
      </w:tr>
      <w:tr w:rsidR="006E052A" w:rsidRPr="00BE5472" w14:paraId="3B8E255B" w14:textId="77777777" w:rsidTr="005F7CBA">
        <w:trPr>
          <w:trHeight w:val="56"/>
        </w:trPr>
        <w:tc>
          <w:tcPr>
            <w:tcW w:w="9351" w:type="dxa"/>
          </w:tcPr>
          <w:p w14:paraId="3D889378"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Osiguravanje dovoljno resursa za integraciju nakon preuzimanja.</w:t>
            </w:r>
          </w:p>
        </w:tc>
      </w:tr>
      <w:tr w:rsidR="006E052A" w:rsidRPr="00BE5472" w14:paraId="30398CB4" w14:textId="77777777" w:rsidTr="005F7CBA">
        <w:trPr>
          <w:trHeight w:val="56"/>
        </w:trPr>
        <w:tc>
          <w:tcPr>
            <w:tcW w:w="9351" w:type="dxa"/>
          </w:tcPr>
          <w:p w14:paraId="573BE7D4"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Odnosi s javnošću – osigurati i pratiti učinkovitu komunikaciju s javnošću.</w:t>
            </w:r>
          </w:p>
        </w:tc>
      </w:tr>
      <w:tr w:rsidR="006E052A" w:rsidRPr="00BE5472" w14:paraId="2DA130AB" w14:textId="77777777" w:rsidTr="005F7CBA">
        <w:trPr>
          <w:trHeight w:val="33"/>
        </w:trPr>
        <w:tc>
          <w:tcPr>
            <w:tcW w:w="9351" w:type="dxa"/>
          </w:tcPr>
          <w:p w14:paraId="2AD7A351"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Brzo se organizirati kako bi se pratio početni plan.</w:t>
            </w:r>
          </w:p>
        </w:tc>
      </w:tr>
      <w:tr w:rsidR="006E052A" w:rsidRPr="00BE5472" w14:paraId="5284EF83" w14:textId="77777777" w:rsidTr="005F7CBA">
        <w:trPr>
          <w:trHeight w:val="113"/>
        </w:trPr>
        <w:tc>
          <w:tcPr>
            <w:tcW w:w="9351" w:type="dxa"/>
          </w:tcPr>
          <w:p w14:paraId="1BD4EC96"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Integriranje informacijske infrastrukture poduzeća koje su sudjelovala u procesu preuzimanja.</w:t>
            </w:r>
          </w:p>
        </w:tc>
      </w:tr>
      <w:tr w:rsidR="006E052A" w:rsidRPr="00BE5472" w14:paraId="094EF481" w14:textId="77777777" w:rsidTr="005F7CBA">
        <w:trPr>
          <w:trHeight w:val="491"/>
        </w:trPr>
        <w:tc>
          <w:tcPr>
            <w:tcW w:w="9351" w:type="dxa"/>
          </w:tcPr>
          <w:p w14:paraId="50E55732"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Objaviti plan razvoja ljudskih resursa odmah nakon preuzimanja (tj. ključne funkcije, ovlasti i odgovornosti, planovi otpuštanja itd.) u novoosnovanom zajedničkom poduzeću ili pak poduzećima koja su sudjelovala u procesu preuzimanja.</w:t>
            </w:r>
          </w:p>
        </w:tc>
      </w:tr>
      <w:tr w:rsidR="006E052A" w:rsidRPr="00BE5472" w14:paraId="5E785B79" w14:textId="77777777" w:rsidTr="005F7CBA">
        <w:trPr>
          <w:trHeight w:val="56"/>
        </w:trPr>
        <w:tc>
          <w:tcPr>
            <w:tcW w:w="9351" w:type="dxa"/>
          </w:tcPr>
          <w:p w14:paraId="3506BC73"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Pravedan odnos prema ljudima koje se mora otpustiti.</w:t>
            </w:r>
          </w:p>
        </w:tc>
      </w:tr>
      <w:tr w:rsidR="006E052A" w:rsidRPr="00BE5472" w14:paraId="7ABEECE4" w14:textId="77777777" w:rsidTr="005F7CBA">
        <w:trPr>
          <w:trHeight w:val="33"/>
        </w:trPr>
        <w:tc>
          <w:tcPr>
            <w:tcW w:w="9351" w:type="dxa"/>
          </w:tcPr>
          <w:p w14:paraId="4A5A06AD"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Uspostavljanje učinkovitog sustava alokacije resursa.</w:t>
            </w:r>
          </w:p>
        </w:tc>
      </w:tr>
      <w:tr w:rsidR="006E052A" w:rsidRPr="00BE5472" w14:paraId="631D9695" w14:textId="77777777" w:rsidTr="005F7CBA">
        <w:trPr>
          <w:trHeight w:val="196"/>
        </w:trPr>
        <w:tc>
          <w:tcPr>
            <w:tcW w:w="9351" w:type="dxa"/>
          </w:tcPr>
          <w:p w14:paraId="0992E310"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Uspostavljanje odgovarajućih unutarnjih mehanizama za prijenos kompetencija i sredstava između poslovnih jedinica.</w:t>
            </w:r>
          </w:p>
        </w:tc>
      </w:tr>
      <w:tr w:rsidR="006E052A" w:rsidRPr="00BE5472" w14:paraId="43E237CB" w14:textId="77777777" w:rsidTr="005F7CBA">
        <w:trPr>
          <w:trHeight w:val="117"/>
        </w:trPr>
        <w:tc>
          <w:tcPr>
            <w:tcW w:w="9351" w:type="dxa"/>
          </w:tcPr>
          <w:p w14:paraId="0126ADB2"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Povezivanje naknade (kompenzacije) s poboljšanjima u realizaciji slobodnih novčanih tokova.</w:t>
            </w:r>
          </w:p>
        </w:tc>
      </w:tr>
      <w:tr w:rsidR="006E052A" w:rsidRPr="00BE5472" w14:paraId="3B8B9792" w14:textId="77777777" w:rsidTr="005F7CBA">
        <w:trPr>
          <w:trHeight w:val="113"/>
        </w:trPr>
        <w:tc>
          <w:tcPr>
            <w:tcW w:w="9351" w:type="dxa"/>
          </w:tcPr>
          <w:p w14:paraId="58832E14"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Pomirivanje razlika u stilovima upravljanja između poduzeća koja su sudjelovala u procesu spajanja i preuzimanja.</w:t>
            </w:r>
          </w:p>
        </w:tc>
      </w:tr>
      <w:tr w:rsidR="006E052A" w:rsidRPr="00BE5472" w14:paraId="184895B9" w14:textId="77777777" w:rsidTr="005F7CBA">
        <w:trPr>
          <w:trHeight w:val="56"/>
        </w:trPr>
        <w:tc>
          <w:tcPr>
            <w:tcW w:w="9351" w:type="dxa"/>
          </w:tcPr>
          <w:p w14:paraId="7542A1DD"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 xml:space="preserve">Utvrđivanje razine centralizacije i autonomije zaposlenika poduzeća mete. </w:t>
            </w:r>
          </w:p>
        </w:tc>
      </w:tr>
      <w:tr w:rsidR="006E052A" w:rsidRPr="00BE5472" w14:paraId="49BCD12E" w14:textId="77777777" w:rsidTr="005F7CBA">
        <w:trPr>
          <w:trHeight w:val="191"/>
        </w:trPr>
        <w:tc>
          <w:tcPr>
            <w:tcW w:w="9351" w:type="dxa"/>
          </w:tcPr>
          <w:p w14:paraId="33A48631"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Identificiranje novog skupa prilika za poboljšanje konkurentske pozicije novostvorenog  zajedničkog poduzeća.</w:t>
            </w:r>
          </w:p>
        </w:tc>
      </w:tr>
      <w:tr w:rsidR="006E052A" w:rsidRPr="00BE5472" w14:paraId="188263BF" w14:textId="77777777" w:rsidTr="005F7CBA">
        <w:trPr>
          <w:trHeight w:val="113"/>
        </w:trPr>
        <w:tc>
          <w:tcPr>
            <w:tcW w:w="9351" w:type="dxa"/>
          </w:tcPr>
          <w:p w14:paraId="6BB1A135"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Uspostavljanje  procedura za izgradnju zajedničkih alata, praksi, procesa, procedura i jezika. </w:t>
            </w:r>
          </w:p>
        </w:tc>
      </w:tr>
      <w:tr w:rsidR="006E052A" w:rsidRPr="00BE5472" w14:paraId="78BF815F" w14:textId="77777777" w:rsidTr="005F7CBA">
        <w:trPr>
          <w:trHeight w:val="117"/>
        </w:trPr>
        <w:tc>
          <w:tcPr>
            <w:tcW w:w="9351" w:type="dxa"/>
          </w:tcPr>
          <w:p w14:paraId="5D3942AB"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Asimiliranje kulturoloških sustava poduzeća preuzimatelja (tj. vrijednosti, norme) u kulturu poduzeća mete.</w:t>
            </w:r>
          </w:p>
        </w:tc>
      </w:tr>
      <w:tr w:rsidR="006E052A" w:rsidRPr="00BE5472" w14:paraId="6A894186" w14:textId="77777777" w:rsidTr="005F7CBA">
        <w:trPr>
          <w:trHeight w:val="56"/>
        </w:trPr>
        <w:tc>
          <w:tcPr>
            <w:tcW w:w="9351" w:type="dxa"/>
          </w:tcPr>
          <w:p w14:paraId="65D2FEE3"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Razvijanje novih skupova konkurentskih metoda (portfelj proizvoda/usluga). </w:t>
            </w:r>
          </w:p>
        </w:tc>
      </w:tr>
      <w:tr w:rsidR="006E052A" w:rsidRPr="00BE5472" w14:paraId="56C6F579" w14:textId="77777777" w:rsidTr="005F7CBA">
        <w:trPr>
          <w:trHeight w:val="31"/>
        </w:trPr>
        <w:tc>
          <w:tcPr>
            <w:tcW w:w="9351" w:type="dxa"/>
          </w:tcPr>
          <w:p w14:paraId="2EA3A392"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Postavljanje nove upravljačke strukture u poduzeće metu. </w:t>
            </w:r>
          </w:p>
        </w:tc>
      </w:tr>
      <w:tr w:rsidR="006E052A" w:rsidRPr="00BE5472" w14:paraId="61AE6E49" w14:textId="77777777" w:rsidTr="005F7CBA">
        <w:trPr>
          <w:trHeight w:val="33"/>
        </w:trPr>
        <w:tc>
          <w:tcPr>
            <w:tcW w:w="9351" w:type="dxa"/>
          </w:tcPr>
          <w:p w14:paraId="29C41034"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Uspostavljanje novih programa razvoja ljudskih resursa.</w:t>
            </w:r>
          </w:p>
        </w:tc>
      </w:tr>
      <w:tr w:rsidR="006E052A" w:rsidRPr="00BE5472" w14:paraId="06D9B01B" w14:textId="77777777" w:rsidTr="005F7CBA">
        <w:trPr>
          <w:trHeight w:val="33"/>
        </w:trPr>
        <w:tc>
          <w:tcPr>
            <w:tcW w:w="9351" w:type="dxa"/>
          </w:tcPr>
          <w:p w14:paraId="7BC9C6B9"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Uspostavljanje novih programa procjene učinka procesa.</w:t>
            </w:r>
          </w:p>
        </w:tc>
      </w:tr>
      <w:tr w:rsidR="006E052A" w:rsidRPr="00BE5472" w14:paraId="53935E81" w14:textId="77777777" w:rsidTr="005F7CBA">
        <w:trPr>
          <w:trHeight w:val="33"/>
        </w:trPr>
        <w:tc>
          <w:tcPr>
            <w:tcW w:w="9351" w:type="dxa"/>
          </w:tcPr>
          <w:p w14:paraId="6845A9E3"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Definiranje novih metoda i postupaka analize konkurenata.</w:t>
            </w:r>
          </w:p>
        </w:tc>
      </w:tr>
    </w:tbl>
    <w:p w14:paraId="482F216D" w14:textId="6509EC31" w:rsidR="006E052A" w:rsidRPr="00BE5472" w:rsidRDefault="004A2C94" w:rsidP="006E052A">
      <w:pPr>
        <w:spacing w:line="360" w:lineRule="auto"/>
        <w:rPr>
          <w:rFonts w:ascii="Times New Roman" w:hAnsi="Times New Roman" w:cs="Times New Roman"/>
          <w:sz w:val="24"/>
          <w:szCs w:val="24"/>
        </w:rPr>
      </w:pPr>
      <w:bookmarkStart w:id="141" w:name="_Hlk160211371"/>
      <w:r>
        <w:rPr>
          <w:rFonts w:ascii="Times New Roman" w:hAnsi="Times New Roman" w:cs="Times New Roman"/>
          <w:sz w:val="24"/>
          <w:szCs w:val="24"/>
          <w:lang w:val="en-US"/>
        </w:rPr>
        <w:t xml:space="preserve">Izvor: </w:t>
      </w:r>
      <w:r w:rsidR="006E052A" w:rsidRPr="00BE5472">
        <w:rPr>
          <w:rFonts w:ascii="Times New Roman" w:hAnsi="Times New Roman" w:cs="Times New Roman"/>
          <w:sz w:val="24"/>
          <w:szCs w:val="24"/>
          <w:lang w:val="en-US"/>
        </w:rPr>
        <w:t xml:space="preserve">Kim, K. H. i Olsen, M. D. (1999a). Determinants of successful acquisition processes in the US lodging industry. </w:t>
      </w:r>
      <w:r w:rsidR="006E052A" w:rsidRPr="00BE5472">
        <w:rPr>
          <w:rFonts w:ascii="Times New Roman" w:hAnsi="Times New Roman" w:cs="Times New Roman"/>
          <w:i/>
          <w:sz w:val="24"/>
          <w:szCs w:val="24"/>
          <w:lang w:val="en-US"/>
        </w:rPr>
        <w:t xml:space="preserve">Hospitality Management, </w:t>
      </w:r>
      <w:r w:rsidR="006E052A" w:rsidRPr="00BE5472">
        <w:rPr>
          <w:rFonts w:ascii="Times New Roman" w:hAnsi="Times New Roman" w:cs="Times New Roman"/>
          <w:sz w:val="24"/>
          <w:szCs w:val="24"/>
          <w:lang w:val="en-US"/>
        </w:rPr>
        <w:t>18, str. 294.</w:t>
      </w:r>
    </w:p>
    <w:p w14:paraId="532235BA" w14:textId="2076EE80" w:rsidR="006E052A" w:rsidRPr="00E1098E" w:rsidRDefault="00E1098E" w:rsidP="00E1098E">
      <w:pPr>
        <w:pStyle w:val="Caption"/>
        <w:rPr>
          <w:rFonts w:ascii="Times New Roman" w:hAnsi="Times New Roman" w:cs="Times New Roman"/>
          <w:sz w:val="24"/>
          <w:szCs w:val="24"/>
        </w:rPr>
      </w:pPr>
      <w:bookmarkStart w:id="142" w:name="_Toc241865214"/>
      <w:bookmarkEnd w:id="14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20</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xml:space="preserve">: </w:t>
      </w:r>
      <w:r w:rsidR="00507347" w:rsidRPr="00E1098E">
        <w:rPr>
          <w:rFonts w:ascii="Times New Roman" w:hAnsi="Times New Roman" w:cs="Times New Roman"/>
          <w:sz w:val="24"/>
          <w:szCs w:val="24"/>
        </w:rPr>
        <w:t xml:space="preserve">Ključni čimbenici uspješnosti procesa spajanja i preuzimanja </w:t>
      </w:r>
      <w:r w:rsidR="00B5165B" w:rsidRPr="00E1098E">
        <w:rPr>
          <w:rFonts w:ascii="Times New Roman" w:hAnsi="Times New Roman" w:cs="Times New Roman"/>
          <w:sz w:val="24"/>
          <w:szCs w:val="24"/>
        </w:rPr>
        <w:t>u fazi nakon preuzimanja</w:t>
      </w:r>
      <w:bookmarkEnd w:id="142"/>
    </w:p>
    <w:tbl>
      <w:tblPr>
        <w:tblStyle w:val="Reetkatablice3"/>
        <w:tblW w:w="9351" w:type="dxa"/>
        <w:tblLook w:val="04A0" w:firstRow="1" w:lastRow="0" w:firstColumn="1" w:lastColumn="0" w:noHBand="0" w:noVBand="1"/>
      </w:tblPr>
      <w:tblGrid>
        <w:gridCol w:w="9351"/>
      </w:tblGrid>
      <w:tr w:rsidR="006E052A" w:rsidRPr="00BE5472" w14:paraId="21D672EF" w14:textId="77777777" w:rsidTr="006E77BA">
        <w:trPr>
          <w:trHeight w:val="584"/>
        </w:trPr>
        <w:tc>
          <w:tcPr>
            <w:tcW w:w="9351" w:type="dxa"/>
            <w:vAlign w:val="center"/>
          </w:tcPr>
          <w:p w14:paraId="18236B42" w14:textId="6824E682" w:rsidR="006E052A" w:rsidRPr="00BE5472" w:rsidRDefault="00B5165B" w:rsidP="005F7CBA">
            <w:pPr>
              <w:jc w:val="center"/>
              <w:rPr>
                <w:rFonts w:ascii="Times New Roman" w:hAnsi="Times New Roman" w:cs="Times New Roman"/>
                <w:b/>
                <w:caps/>
                <w:sz w:val="24"/>
                <w:szCs w:val="24"/>
              </w:rPr>
            </w:pPr>
            <w:r w:rsidRPr="00BE5472">
              <w:rPr>
                <w:rFonts w:ascii="Times New Roman" w:hAnsi="Times New Roman" w:cs="Times New Roman"/>
                <w:b/>
                <w:caps/>
                <w:sz w:val="24"/>
                <w:szCs w:val="24"/>
              </w:rPr>
              <w:t>KLJUČNI ČIMBENICI</w:t>
            </w:r>
            <w:r w:rsidR="006E052A" w:rsidRPr="00BE5472">
              <w:rPr>
                <w:rFonts w:ascii="Times New Roman" w:hAnsi="Times New Roman" w:cs="Times New Roman"/>
                <w:b/>
                <w:caps/>
                <w:sz w:val="24"/>
                <w:szCs w:val="24"/>
              </w:rPr>
              <w:t xml:space="preserve"> u postakvizicijskoj fazi</w:t>
            </w:r>
            <w:r w:rsidRPr="00BE5472">
              <w:rPr>
                <w:rFonts w:ascii="Times New Roman" w:hAnsi="Times New Roman" w:cs="Times New Roman"/>
                <w:b/>
                <w:caps/>
                <w:sz w:val="24"/>
                <w:szCs w:val="24"/>
              </w:rPr>
              <w:t xml:space="preserve"> SPAJANJA I PREUZIMANJA</w:t>
            </w:r>
          </w:p>
        </w:tc>
      </w:tr>
      <w:tr w:rsidR="006E052A" w:rsidRPr="00BE5472" w14:paraId="2249C118" w14:textId="77777777" w:rsidTr="005F7CBA">
        <w:trPr>
          <w:trHeight w:val="259"/>
        </w:trPr>
        <w:tc>
          <w:tcPr>
            <w:tcW w:w="9351" w:type="dxa"/>
          </w:tcPr>
          <w:p w14:paraId="3B03F7E4"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Povrat na ukupno uloženi kapital (WACC).</w:t>
            </w:r>
          </w:p>
        </w:tc>
      </w:tr>
      <w:tr w:rsidR="006E052A" w:rsidRPr="00BE5472" w14:paraId="3B0C250F" w14:textId="77777777" w:rsidTr="005F7CBA">
        <w:trPr>
          <w:trHeight w:val="259"/>
        </w:trPr>
        <w:tc>
          <w:tcPr>
            <w:tcW w:w="9351" w:type="dxa"/>
          </w:tcPr>
          <w:p w14:paraId="02817257"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Slobodni novčani tijek po dionici. </w:t>
            </w:r>
          </w:p>
        </w:tc>
      </w:tr>
      <w:tr w:rsidR="006E052A" w:rsidRPr="00BE5472" w14:paraId="1B77A952" w14:textId="77777777" w:rsidTr="005F7CBA">
        <w:trPr>
          <w:trHeight w:val="794"/>
        </w:trPr>
        <w:tc>
          <w:tcPr>
            <w:tcW w:w="9351" w:type="dxa"/>
          </w:tcPr>
          <w:p w14:paraId="5BF685CB"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Novčani tijek iz operacija (prodaja umanjena za troškove prodanih dobara i usluga, administrativne troškove uvećano za depricijaciju i </w:t>
            </w:r>
            <w:r w:rsidRPr="00BE5472">
              <w:rPr>
                <w:rFonts w:ascii="Times New Roman" w:hAnsi="Times New Roman" w:cs="Times New Roman"/>
                <w:i/>
                <w:sz w:val="24"/>
                <w:szCs w:val="24"/>
              </w:rPr>
              <w:t>goodwill</w:t>
            </w:r>
            <w:r w:rsidRPr="00BE5472">
              <w:rPr>
                <w:rFonts w:ascii="Times New Roman" w:hAnsi="Times New Roman" w:cs="Times New Roman"/>
                <w:sz w:val="24"/>
                <w:szCs w:val="24"/>
              </w:rPr>
              <w:t>).</w:t>
            </w:r>
          </w:p>
        </w:tc>
      </w:tr>
      <w:tr w:rsidR="006E052A" w:rsidRPr="00BE5472" w14:paraId="2993EF51" w14:textId="77777777" w:rsidTr="005F7CBA">
        <w:trPr>
          <w:trHeight w:val="259"/>
        </w:trPr>
        <w:tc>
          <w:tcPr>
            <w:tcW w:w="9351" w:type="dxa"/>
          </w:tcPr>
          <w:p w14:paraId="58A769D5" w14:textId="77777777" w:rsidR="006E052A" w:rsidRPr="00BE5472" w:rsidRDefault="006E052A" w:rsidP="00B34A5A">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Računovodstveni pokazatelji (ROI, ROE, ROA).</w:t>
            </w:r>
          </w:p>
        </w:tc>
      </w:tr>
      <w:tr w:rsidR="006E052A" w:rsidRPr="00BE5472" w14:paraId="515EEB68" w14:textId="77777777" w:rsidTr="005F7CBA">
        <w:trPr>
          <w:trHeight w:val="519"/>
        </w:trPr>
        <w:tc>
          <w:tcPr>
            <w:tcW w:w="9351" w:type="dxa"/>
          </w:tcPr>
          <w:p w14:paraId="2B50AF39"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Uobičajeni hotelski pokazatelji uspješnosti (ADR, stopa popunjenosti, REVPAR, TREVPAR).</w:t>
            </w:r>
          </w:p>
        </w:tc>
      </w:tr>
      <w:tr w:rsidR="006E052A" w:rsidRPr="00BE5472" w14:paraId="7B0C4381" w14:textId="77777777" w:rsidTr="005F7CBA">
        <w:trPr>
          <w:trHeight w:val="259"/>
        </w:trPr>
        <w:tc>
          <w:tcPr>
            <w:tcW w:w="9351" w:type="dxa"/>
          </w:tcPr>
          <w:p w14:paraId="4179DC7B" w14:textId="77777777" w:rsidR="006E052A" w:rsidRPr="00BE5472" w:rsidRDefault="006E052A" w:rsidP="00B34A5A">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Tržišni udio (gubitak/dobitak).</w:t>
            </w:r>
          </w:p>
        </w:tc>
      </w:tr>
      <w:tr w:rsidR="006E052A" w:rsidRPr="00BE5472" w14:paraId="6A2D725D" w14:textId="77777777" w:rsidTr="005F7CBA">
        <w:trPr>
          <w:trHeight w:val="534"/>
        </w:trPr>
        <w:tc>
          <w:tcPr>
            <w:tcW w:w="9351" w:type="dxa"/>
          </w:tcPr>
          <w:p w14:paraId="2086B07D"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Promjena kretanja cijene dionica jedne ili više godina nakon objave namjere preuzimanja.</w:t>
            </w:r>
          </w:p>
        </w:tc>
      </w:tr>
      <w:tr w:rsidR="006E052A" w:rsidRPr="00BE5472" w14:paraId="6C622FAD" w14:textId="77777777" w:rsidTr="005F7CBA">
        <w:trPr>
          <w:trHeight w:val="519"/>
        </w:trPr>
        <w:tc>
          <w:tcPr>
            <w:tcW w:w="9351" w:type="dxa"/>
          </w:tcPr>
          <w:p w14:paraId="6C895A82" w14:textId="77777777" w:rsidR="006E052A" w:rsidRPr="00BE5472" w:rsidRDefault="006E052A" w:rsidP="00B34A5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Promjena kretanja cijene dionica oko datuma objave namjere preuzimanja.</w:t>
            </w:r>
          </w:p>
        </w:tc>
      </w:tr>
    </w:tbl>
    <w:p w14:paraId="0DCBE2D5" w14:textId="1DE7D0E0" w:rsidR="006E052A" w:rsidRPr="00BE5472" w:rsidRDefault="00E5644E" w:rsidP="006E052A">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Izvor: </w:t>
      </w:r>
      <w:r w:rsidR="006E052A" w:rsidRPr="00BE5472">
        <w:rPr>
          <w:rFonts w:ascii="Times New Roman" w:hAnsi="Times New Roman" w:cs="Times New Roman"/>
          <w:sz w:val="24"/>
          <w:szCs w:val="24"/>
          <w:lang w:val="en-US"/>
        </w:rPr>
        <w:t xml:space="preserve">Kim, K. H. i Olsen, M. D. (1999a). Determinants of successful acquisition processes in the US lodging industry. </w:t>
      </w:r>
      <w:r w:rsidR="006E052A" w:rsidRPr="00BE5472">
        <w:rPr>
          <w:rFonts w:ascii="Times New Roman" w:hAnsi="Times New Roman" w:cs="Times New Roman"/>
          <w:i/>
          <w:sz w:val="24"/>
          <w:szCs w:val="24"/>
          <w:lang w:val="en-US"/>
        </w:rPr>
        <w:t xml:space="preserve">Hospitality Management, </w:t>
      </w:r>
      <w:r w:rsidR="006E052A" w:rsidRPr="00BE5472">
        <w:rPr>
          <w:rFonts w:ascii="Times New Roman" w:hAnsi="Times New Roman" w:cs="Times New Roman"/>
          <w:sz w:val="24"/>
          <w:szCs w:val="24"/>
          <w:lang w:val="en-US"/>
        </w:rPr>
        <w:t>18, str. 295.</w:t>
      </w:r>
    </w:p>
    <w:p w14:paraId="127ABE99" w14:textId="5EE7AD1B"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Canina, Kim i Ma  (2010) tvrde da konačna uspješnost spajanja i preuzimanja u hotelijerstvu ovisi o uspješnom planiranju prije transakcije i o samo</w:t>
      </w:r>
      <w:r w:rsidR="006E77BA" w:rsidRPr="00BE5472">
        <w:rPr>
          <w:rFonts w:ascii="Times New Roman" w:hAnsi="Times New Roman" w:cs="Times New Roman"/>
          <w:sz w:val="24"/>
          <w:szCs w:val="24"/>
        </w:rPr>
        <w:t>m</w:t>
      </w:r>
      <w:r w:rsidRPr="00BE5472">
        <w:rPr>
          <w:rFonts w:ascii="Times New Roman" w:hAnsi="Times New Roman" w:cs="Times New Roman"/>
          <w:sz w:val="24"/>
          <w:szCs w:val="24"/>
        </w:rPr>
        <w:t xml:space="preserve"> </w:t>
      </w:r>
      <w:r w:rsidR="00914C13" w:rsidRPr="00BE5472">
        <w:rPr>
          <w:rFonts w:ascii="Times New Roman" w:hAnsi="Times New Roman" w:cs="Times New Roman"/>
          <w:sz w:val="24"/>
          <w:szCs w:val="24"/>
        </w:rPr>
        <w:t>postupku</w:t>
      </w:r>
      <w:r w:rsidRPr="00BE5472">
        <w:rPr>
          <w:rFonts w:ascii="Times New Roman" w:hAnsi="Times New Roman" w:cs="Times New Roman"/>
          <w:sz w:val="24"/>
          <w:szCs w:val="24"/>
        </w:rPr>
        <w:t>.</w:t>
      </w:r>
      <w:r w:rsidR="00E5644E">
        <w:rPr>
          <w:rFonts w:ascii="Times New Roman" w:hAnsi="Times New Roman" w:cs="Times New Roman"/>
          <w:sz w:val="24"/>
          <w:szCs w:val="24"/>
        </w:rPr>
        <w:t xml:space="preserve"> </w:t>
      </w:r>
      <w:r w:rsidRPr="00BE5472">
        <w:rPr>
          <w:rFonts w:ascii="Times New Roman" w:hAnsi="Times New Roman" w:cs="Times New Roman"/>
          <w:sz w:val="24"/>
          <w:szCs w:val="24"/>
        </w:rPr>
        <w:t xml:space="preserve">Smatrajući dvofazni pristup procesu </w:t>
      </w:r>
      <w:r w:rsidRPr="00BE5472">
        <w:rPr>
          <w:rFonts w:ascii="Times New Roman" w:hAnsi="Times New Roman" w:cs="Times New Roman"/>
          <w:sz w:val="24"/>
          <w:szCs w:val="24"/>
        </w:rPr>
        <w:lastRenderedPageBreak/>
        <w:t xml:space="preserve">spajanja i preuzimanja važnim, spomenuti autori Gomes i sur. (2013) izdvajaju ključne čimbenike uspješnosti karakteristične za svaku od dviju faza. Uporište svojih rezultata pronalaze u provedenom istraživanju koje je uključivalo analizu znanstvenih  radova i knjiga uz induktivni pristup istraživanju. Odabrali su samo one radove koji su se bavili spajanjem ili preuzimanjem cjelovitih poduzeća, budući da je to bilo osnovno područje istraživanja, a odbacili su povezana ili periferna područja. Iako autori izdvajaju ključne čimbenike uspjeha unutar dviju faza, istovremeno tvrde da je od ključnog značaja za poduzeće uspješno upravljati prijelazima među tim fazama, konkretno prijelazom iz faze spajanja i preuzimanja u fazu koja slijedi nakon spajanja i preuzimanja. Razlog tomu leži u asimetriji informacija.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914C13" w:rsidRPr="00BE5472">
        <w:rPr>
          <w:rFonts w:ascii="Times New Roman" w:hAnsi="Times New Roman" w:cs="Times New Roman"/>
          <w:sz w:val="24"/>
          <w:szCs w:val="24"/>
        </w:rPr>
        <w:t>2</w:t>
      </w:r>
      <w:r w:rsidR="00C40273" w:rsidRPr="00BE5472">
        <w:rPr>
          <w:rFonts w:ascii="Times New Roman" w:hAnsi="Times New Roman" w:cs="Times New Roman"/>
          <w:sz w:val="24"/>
          <w:szCs w:val="24"/>
        </w:rPr>
        <w:t>1</w:t>
      </w:r>
      <w:r w:rsidRPr="00BE5472">
        <w:rPr>
          <w:rFonts w:ascii="Times New Roman" w:hAnsi="Times New Roman" w:cs="Times New Roman"/>
          <w:sz w:val="24"/>
          <w:szCs w:val="24"/>
        </w:rPr>
        <w:t xml:space="preserve"> sistematiziraju </w:t>
      </w:r>
      <w:r w:rsidR="00106FE7" w:rsidRPr="00BE5472">
        <w:rPr>
          <w:rFonts w:ascii="Times New Roman" w:hAnsi="Times New Roman" w:cs="Times New Roman"/>
          <w:sz w:val="24"/>
          <w:szCs w:val="24"/>
        </w:rPr>
        <w:t xml:space="preserve">se </w:t>
      </w:r>
      <w:r w:rsidRPr="00BE5472">
        <w:rPr>
          <w:rFonts w:ascii="Times New Roman" w:hAnsi="Times New Roman" w:cs="Times New Roman"/>
          <w:sz w:val="24"/>
          <w:szCs w:val="24"/>
        </w:rPr>
        <w:t xml:space="preserve">faze i čimbenici uspješnosti pojedinačnih faza. </w:t>
      </w:r>
    </w:p>
    <w:p w14:paraId="09EE9EAB" w14:textId="3B9AC86D" w:rsidR="006E052A" w:rsidRPr="00E1098E" w:rsidRDefault="00E1098E" w:rsidP="00E1098E">
      <w:pPr>
        <w:pStyle w:val="Caption"/>
        <w:rPr>
          <w:rFonts w:ascii="Times New Roman" w:hAnsi="Times New Roman" w:cs="Times New Roman"/>
          <w:sz w:val="24"/>
          <w:szCs w:val="24"/>
        </w:rPr>
      </w:pPr>
      <w:bookmarkStart w:id="143" w:name="_Toc241865215"/>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21</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Čimbenici uspješnosti procesa spajanja i preuzimanja u dvije identificirane faze</w:t>
      </w:r>
      <w:bookmarkEnd w:id="143"/>
    </w:p>
    <w:tbl>
      <w:tblPr>
        <w:tblStyle w:val="Reetkatablice3"/>
        <w:tblW w:w="0" w:type="auto"/>
        <w:tblLook w:val="04A0" w:firstRow="1" w:lastRow="0" w:firstColumn="1" w:lastColumn="0" w:noHBand="0" w:noVBand="1"/>
      </w:tblPr>
      <w:tblGrid>
        <w:gridCol w:w="4675"/>
        <w:gridCol w:w="4675"/>
      </w:tblGrid>
      <w:tr w:rsidR="006E052A" w:rsidRPr="00BE5472" w14:paraId="6E54202E" w14:textId="77777777" w:rsidTr="007201FA">
        <w:tc>
          <w:tcPr>
            <w:tcW w:w="4675" w:type="dxa"/>
          </w:tcPr>
          <w:p w14:paraId="2249CA9C" w14:textId="77777777" w:rsidR="006E052A" w:rsidRPr="00BE5472" w:rsidRDefault="006E052A" w:rsidP="006E052A">
            <w:pPr>
              <w:jc w:val="center"/>
              <w:rPr>
                <w:rFonts w:ascii="Times New Roman" w:hAnsi="Times New Roman" w:cs="Times New Roman"/>
                <w:b/>
                <w:sz w:val="24"/>
                <w:szCs w:val="24"/>
              </w:rPr>
            </w:pPr>
            <w:r w:rsidRPr="00BE5472">
              <w:rPr>
                <w:rFonts w:ascii="Times New Roman" w:hAnsi="Times New Roman" w:cs="Times New Roman"/>
                <w:b/>
                <w:sz w:val="24"/>
                <w:szCs w:val="24"/>
              </w:rPr>
              <w:t>KRITIČNI ČIMBENICI USPJEŠNOSTI PROCESA U FAZI KOJA PRETHODI SPAJANJU I PREUZIMANJA</w:t>
            </w:r>
          </w:p>
        </w:tc>
        <w:tc>
          <w:tcPr>
            <w:tcW w:w="4675" w:type="dxa"/>
          </w:tcPr>
          <w:p w14:paraId="03EE76E7" w14:textId="77777777" w:rsidR="006E052A" w:rsidRPr="00BE5472" w:rsidRDefault="006E052A" w:rsidP="006E052A">
            <w:pPr>
              <w:jc w:val="center"/>
              <w:rPr>
                <w:rFonts w:ascii="Times New Roman" w:hAnsi="Times New Roman" w:cs="Times New Roman"/>
                <w:b/>
                <w:sz w:val="24"/>
                <w:szCs w:val="24"/>
              </w:rPr>
            </w:pPr>
            <w:r w:rsidRPr="00BE5472">
              <w:rPr>
                <w:rFonts w:ascii="Times New Roman" w:hAnsi="Times New Roman" w:cs="Times New Roman"/>
                <w:b/>
                <w:sz w:val="24"/>
                <w:szCs w:val="24"/>
              </w:rPr>
              <w:t>KRITIČNI ČIMBENICI USPJEŠNOSTI PROCESA U FAZI KOJA SLIJEDI NAKON SPAJANJA I PREUZIMANJA</w:t>
            </w:r>
          </w:p>
        </w:tc>
      </w:tr>
      <w:tr w:rsidR="006E052A" w:rsidRPr="00BE5472" w14:paraId="0C6D1F07" w14:textId="77777777" w:rsidTr="007201FA">
        <w:tc>
          <w:tcPr>
            <w:tcW w:w="4675" w:type="dxa"/>
          </w:tcPr>
          <w:p w14:paraId="2C63819E"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odabir i evaluacija strateškog partnera</w:t>
            </w:r>
          </w:p>
          <w:p w14:paraId="00705C73"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plaćanje ispravne cijene</w:t>
            </w:r>
          </w:p>
          <w:p w14:paraId="71975747" w14:textId="77777777" w:rsidR="006E052A" w:rsidRPr="00BE5472" w:rsidRDefault="006E052A" w:rsidP="00120B4F">
            <w:pPr>
              <w:numPr>
                <w:ilvl w:val="0"/>
                <w:numId w:val="59"/>
              </w:numPr>
              <w:contextualSpacing/>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nesrazmjeri u veličini i poduzeća</w:t>
            </w:r>
          </w:p>
          <w:p w14:paraId="55FC4524" w14:textId="77777777" w:rsidR="006E052A" w:rsidRPr="00BE5472" w:rsidRDefault="006E052A" w:rsidP="00120B4F">
            <w:pPr>
              <w:numPr>
                <w:ilvl w:val="0"/>
                <w:numId w:val="59"/>
              </w:numPr>
              <w:contextualSpacing/>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glavna strategija i iskustvo u procesu spajanja i preuzimanja </w:t>
            </w:r>
          </w:p>
          <w:p w14:paraId="49F54F51" w14:textId="77777777" w:rsidR="006E052A" w:rsidRPr="00BE5472" w:rsidRDefault="006E052A" w:rsidP="00120B4F">
            <w:pPr>
              <w:numPr>
                <w:ilvl w:val="0"/>
                <w:numId w:val="59"/>
              </w:numPr>
              <w:contextualSpacing/>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komunikacija prije spajanja i preuzimanja </w:t>
            </w:r>
          </w:p>
          <w:p w14:paraId="62F0BD13"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politika budućih kompenzacija </w:t>
            </w:r>
          </w:p>
        </w:tc>
        <w:tc>
          <w:tcPr>
            <w:tcW w:w="4675" w:type="dxa"/>
          </w:tcPr>
          <w:p w14:paraId="48927C43"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strategije integracije </w:t>
            </w:r>
          </w:p>
          <w:p w14:paraId="36B5E192"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vodstvo u fazi integracije </w:t>
            </w:r>
          </w:p>
          <w:p w14:paraId="7A9B5F99"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brzina implementacije </w:t>
            </w:r>
          </w:p>
          <w:p w14:paraId="35AF6E50"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integracijski timovi u fazi nakon spajanja i preuzimanja i zanemarivanje svakodnevnih poslovnih aktivnosti </w:t>
            </w:r>
          </w:p>
          <w:p w14:paraId="2627C51C" w14:textId="77777777" w:rsidR="006E052A" w:rsidRPr="00BE5472" w:rsidRDefault="006E052A" w:rsidP="00120B4F">
            <w:pPr>
              <w:numPr>
                <w:ilvl w:val="0"/>
                <w:numId w:val="59"/>
              </w:numPr>
              <w:contextualSpacing/>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komunikacija tijekom implementacije </w:t>
            </w:r>
          </w:p>
          <w:p w14:paraId="5EC1990A" w14:textId="77777777" w:rsidR="006E052A" w:rsidRPr="00BE5472" w:rsidRDefault="006E052A" w:rsidP="00120B4F">
            <w:pPr>
              <w:numPr>
                <w:ilvl w:val="0"/>
                <w:numId w:val="59"/>
              </w:numPr>
              <w:contextualSpacing/>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upravljanje korporativnim i nacionalnim kulturološkim granicama</w:t>
            </w:r>
          </w:p>
          <w:p w14:paraId="4418F49E" w14:textId="77777777" w:rsidR="006E052A" w:rsidRPr="00BE5472" w:rsidRDefault="006E052A" w:rsidP="006E052A">
            <w:pPr>
              <w:jc w:val="both"/>
              <w:rPr>
                <w:rFonts w:ascii="Times New Roman" w:hAnsi="Times New Roman" w:cs="Times New Roman"/>
                <w:sz w:val="24"/>
                <w:szCs w:val="24"/>
                <w:lang w:val="it-IT"/>
              </w:rPr>
            </w:pPr>
          </w:p>
        </w:tc>
      </w:tr>
    </w:tbl>
    <w:p w14:paraId="514C09E9"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w:t>
      </w:r>
      <w:r w:rsidRPr="00BE5472">
        <w:rPr>
          <w:rFonts w:ascii="Times New Roman" w:hAnsi="Times New Roman" w:cs="Times New Roman"/>
          <w:sz w:val="24"/>
          <w:szCs w:val="24"/>
          <w:lang w:val="en-US"/>
        </w:rPr>
        <w:t xml:space="preserve">Gomes, E., Angwin, D. N., Weber, Y. i </w:t>
      </w:r>
      <w:r w:rsidRPr="00BE5472">
        <w:rPr>
          <w:rFonts w:ascii="Times New Roman" w:hAnsi="Times New Roman" w:cs="Times New Roman"/>
          <w:bCs/>
          <w:sz w:val="24"/>
          <w:szCs w:val="24"/>
          <w:lang w:val="en-US"/>
        </w:rPr>
        <w:t>Tarba, S. Y. (2013). Critical Success Factors through the Mergers and Acquisitions Process: Revealing Pre- and Post-M&amp;A Connections for Improved Performance</w:t>
      </w:r>
      <w:r w:rsidRPr="00BE5472">
        <w:rPr>
          <w:rFonts w:ascii="Times New Roman" w:hAnsi="Times New Roman" w:cs="Times New Roman"/>
          <w:bCs/>
          <w:i/>
          <w:sz w:val="24"/>
          <w:szCs w:val="24"/>
          <w:lang w:val="en-US"/>
        </w:rPr>
        <w:t>. Thunderbird International Business Review</w:t>
      </w:r>
      <w:r w:rsidRPr="00BE5472">
        <w:rPr>
          <w:rFonts w:ascii="Times New Roman" w:hAnsi="Times New Roman" w:cs="Times New Roman"/>
          <w:bCs/>
          <w:sz w:val="24"/>
          <w:szCs w:val="24"/>
          <w:lang w:val="en-US"/>
        </w:rPr>
        <w:t>, 55(1), str. 17 – 18.</w:t>
      </w:r>
    </w:p>
    <w:p w14:paraId="6D251C96" w14:textId="29A7212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Čimbenike koji utječu na uspjeh, odnosno neuspjeh spajanja i preuzimanju, identificirali su i Calipha, Tarba i Broch (2010) izučavanjem kombinacije literature starijeg datuma i literature ranih 2000.-ih. Tako su identificirali sljedeće: strateški motivi </w:t>
      </w:r>
      <w:r w:rsidR="000F462D"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strategija i strast; tip i stupanj diversifikacije, kriteriji odabira, cijena, usklađenost na strateškoj razini, menadžeri uključeni u proces, specijalisti, ljudski resursi, menadžeri operacija i ključni zaposlenici, kultura, razlike u veličini poduzeća, organizacijska kultura, sustav kontrole, ispitivanje svih dioničara, analiza budućih potreba i nejasnoća. Na temelju istraživanja i kvalitativne analize znanstvene literature </w:t>
      </w:r>
      <w:r w:rsidRPr="00BE5472">
        <w:rPr>
          <w:rFonts w:ascii="Times New Roman" w:hAnsi="Times New Roman" w:cs="Times New Roman"/>
          <w:sz w:val="24"/>
          <w:szCs w:val="24"/>
        </w:rPr>
        <w:lastRenderedPageBreak/>
        <w:t>koja se bavi temom spajanja i preuzimanja, Yunita i sur.  (2023) izdvojili su tri ključne grupe čimbenika koji utječu na uspješnost spajanja i preuzimanja</w:t>
      </w:r>
      <w:r w:rsidR="000F462D" w:rsidRPr="00BE5472">
        <w:rPr>
          <w:rFonts w:ascii="Times New Roman" w:hAnsi="Times New Roman" w:cs="Times New Roman"/>
          <w:sz w:val="24"/>
          <w:szCs w:val="24"/>
        </w:rPr>
        <w:t>:</w:t>
      </w:r>
      <w:r w:rsidRPr="00BE5472">
        <w:rPr>
          <w:rFonts w:ascii="Times New Roman" w:hAnsi="Times New Roman" w:cs="Times New Roman"/>
          <w:sz w:val="24"/>
          <w:szCs w:val="24"/>
        </w:rPr>
        <w:t xml:space="preserve"> </w:t>
      </w:r>
    </w:p>
    <w:p w14:paraId="43C6AABE" w14:textId="77777777" w:rsidR="006E052A" w:rsidRPr="00BE5472" w:rsidRDefault="006E052A" w:rsidP="00120B4F">
      <w:pPr>
        <w:numPr>
          <w:ilvl w:val="0"/>
          <w:numId w:val="76"/>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Provedba dosljedne i sveobuhvatne dubinske analize poslovanja (eng. </w:t>
      </w:r>
      <w:r w:rsidRPr="00BE5472">
        <w:rPr>
          <w:rFonts w:ascii="Times New Roman" w:hAnsi="Times New Roman" w:cs="Times New Roman"/>
          <w:i/>
          <w:iCs/>
          <w:sz w:val="24"/>
          <w:szCs w:val="24"/>
        </w:rPr>
        <w:t>Due diligence</w:t>
      </w:r>
      <w:r w:rsidRPr="00BE5472">
        <w:rPr>
          <w:rFonts w:ascii="Times New Roman" w:hAnsi="Times New Roman" w:cs="Times New Roman"/>
          <w:sz w:val="24"/>
          <w:szCs w:val="24"/>
        </w:rPr>
        <w:t>), uključujući analizu financijskih, pravnih i aspekata intelektualnog vlasništva, od suštinskog je značaja za uspješan procesa spajanja i preuzimanja. Izbor adekvatnih poduzeća meta i pažljivo vođenje procesa procjene ključni su u  minimiziranju rizika i ostvarenju dugoročnih koristi.</w:t>
      </w:r>
    </w:p>
    <w:p w14:paraId="3791056E" w14:textId="77777777" w:rsidR="006E052A" w:rsidRPr="00BE5472" w:rsidRDefault="006E052A" w:rsidP="00120B4F">
      <w:pPr>
        <w:numPr>
          <w:ilvl w:val="0"/>
          <w:numId w:val="76"/>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Skladna i integrirana organizacijska kultura jedan je od ključnih čimbenika uspješnog procesa spajanja i preuzimanja. Kulturne razlike mogu predstavljati izazov tijekom procesa spajanja i preuzimanja, uzrokujući sukobe, komunikacijske prepreke i otpor promjenama. Stoga je važno posvetiti pažnju ovim aspektima kako bi se osigurala skladna i integrirana organizacijska kultura. To zahtijeva svjesnost prije samog procesa spajanja, ali i kontinuirano upravljanje nakon provedbe, s ciljem održavanja produktivnosti i postizanja uspjeha.</w:t>
      </w:r>
    </w:p>
    <w:p w14:paraId="518A0E99" w14:textId="0BB09FAE" w:rsidR="006E052A" w:rsidRPr="00BE5472" w:rsidRDefault="006E052A" w:rsidP="00120B4F">
      <w:pPr>
        <w:numPr>
          <w:ilvl w:val="0"/>
          <w:numId w:val="76"/>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Uloga vodstva i upravljanje promjenama još je jedan od ključnih čimbenika uspješne provedbe procesa integracije</w:t>
      </w:r>
      <w:r w:rsidR="000F462D" w:rsidRPr="00BE5472">
        <w:rPr>
          <w:rFonts w:ascii="Times New Roman" w:hAnsi="Times New Roman" w:cs="Times New Roman"/>
          <w:sz w:val="24"/>
          <w:szCs w:val="24"/>
        </w:rPr>
        <w:t>.</w:t>
      </w:r>
      <w:r w:rsidRPr="00BE5472">
        <w:rPr>
          <w:rFonts w:ascii="Times New Roman" w:hAnsi="Times New Roman" w:cs="Times New Roman"/>
          <w:sz w:val="24"/>
          <w:szCs w:val="24"/>
        </w:rPr>
        <w:t xml:space="preserve"> U tom procesu ključnu ulogu ima vodstvo koje je sposobno suočiti se i upravljati promjenama, vodstvo koje je sposobno obratiti pažnju na kulturne razlike te izgraditi motivirajuće radno okruženje i podržavajuće timove. Ovdje se može povući poveznica s procesom refleksije koji može dovesti do razvoja takvih kompetencija u vođe (Hruška, Jurčević i Kovač 2017). Posvećenost ljudskim resursima i aktivnostima povezanim s njima također imaju značajnu ulogu u smanjenju rizika od neuspjeha i postizanju dugoročnog uspjeha u procesu spajanja i preuzimanja.</w:t>
      </w:r>
    </w:p>
    <w:p w14:paraId="385EE1EB" w14:textId="2DA95639"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Praksa, s druge strane razmatra proces spajanja i preuzimanja kroz više faza koje se, u konačnici, mogu kategorizirati unutar triju gore spomenutih faza. Primjerice, konzultanti poput PWC</w:t>
      </w:r>
      <w:r w:rsidR="000E2910" w:rsidRPr="00BE5472">
        <w:rPr>
          <w:rFonts w:ascii="Times New Roman" w:hAnsi="Times New Roman" w:cs="Times New Roman"/>
          <w:sz w:val="24"/>
          <w:szCs w:val="24"/>
        </w:rPr>
        <w:t>-a</w:t>
      </w:r>
      <w:r w:rsidRPr="00BE5472">
        <w:rPr>
          <w:rFonts w:ascii="Times New Roman" w:hAnsi="Times New Roman" w:cs="Times New Roman"/>
          <w:sz w:val="24"/>
          <w:szCs w:val="24"/>
        </w:rPr>
        <w:t xml:space="preserve"> (2022) razlikuj</w:t>
      </w:r>
      <w:r w:rsidR="000E2910" w:rsidRPr="00BE5472">
        <w:rPr>
          <w:rFonts w:ascii="Times New Roman" w:hAnsi="Times New Roman" w:cs="Times New Roman"/>
          <w:sz w:val="24"/>
          <w:szCs w:val="24"/>
        </w:rPr>
        <w:t>u</w:t>
      </w:r>
      <w:r w:rsidRPr="00BE5472">
        <w:rPr>
          <w:rFonts w:ascii="Times New Roman" w:hAnsi="Times New Roman" w:cs="Times New Roman"/>
          <w:sz w:val="24"/>
          <w:szCs w:val="24"/>
        </w:rPr>
        <w:t xml:space="preserve"> </w:t>
      </w:r>
      <w:r w:rsidR="00F73B70" w:rsidRPr="00BE5472">
        <w:rPr>
          <w:rFonts w:ascii="Times New Roman" w:hAnsi="Times New Roman" w:cs="Times New Roman"/>
          <w:sz w:val="24"/>
          <w:szCs w:val="24"/>
        </w:rPr>
        <w:t>pet</w:t>
      </w:r>
      <w:r w:rsidRPr="00BE5472">
        <w:rPr>
          <w:rFonts w:ascii="Times New Roman" w:hAnsi="Times New Roman" w:cs="Times New Roman"/>
          <w:sz w:val="24"/>
          <w:szCs w:val="24"/>
        </w:rPr>
        <w:t xml:space="preserve"> faza procesa spajanja i preuzimanja: </w:t>
      </w:r>
    </w:p>
    <w:p w14:paraId="2B0DC226" w14:textId="7EC0CC39" w:rsidR="006E052A" w:rsidRPr="00BE5472" w:rsidRDefault="006E052A" w:rsidP="005C51C1">
      <w:pPr>
        <w:numPr>
          <w:ilvl w:val="0"/>
          <w:numId w:val="5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Procjena i preliminarni pregled</w:t>
      </w:r>
      <w:r w:rsidRPr="00BE5472">
        <w:rPr>
          <w:rFonts w:ascii="Times New Roman" w:hAnsi="Times New Roman" w:cs="Times New Roman"/>
          <w:sz w:val="24"/>
          <w:szCs w:val="24"/>
        </w:rPr>
        <w:t xml:space="preserve"> </w:t>
      </w:r>
      <w:r w:rsidR="00F73B70"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Kada </w:t>
      </w:r>
      <w:r w:rsidR="00290EEC" w:rsidRPr="00BE5472">
        <w:rPr>
          <w:rFonts w:ascii="Times New Roman" w:hAnsi="Times New Roman" w:cs="Times New Roman"/>
          <w:sz w:val="24"/>
          <w:szCs w:val="24"/>
        </w:rPr>
        <w:t xml:space="preserve">još </w:t>
      </w:r>
      <w:r w:rsidRPr="00BE5472">
        <w:rPr>
          <w:rFonts w:ascii="Times New Roman" w:hAnsi="Times New Roman" w:cs="Times New Roman"/>
          <w:sz w:val="24"/>
          <w:szCs w:val="24"/>
        </w:rPr>
        <w:t xml:space="preserve">nema kupca, uobičajena je praksa započeti proces spajanja i preuzimanja informativnim memorandumom. To omogućuje procjenu interesa tržišta i prodaju poduzeća za njezinu maksimalnu vrijednost. Memorandum daje dovoljno informacija kupcima bez otkrivanja povjerljivih podataka. Zainteresirani kupci </w:t>
      </w:r>
      <w:r w:rsidRPr="00BE5472">
        <w:rPr>
          <w:rFonts w:ascii="Times New Roman" w:hAnsi="Times New Roman" w:cs="Times New Roman"/>
          <w:sz w:val="24"/>
          <w:szCs w:val="24"/>
        </w:rPr>
        <w:lastRenderedPageBreak/>
        <w:t xml:space="preserve">potpisuju </w:t>
      </w:r>
      <w:r w:rsidRPr="00BE5472">
        <w:rPr>
          <w:rFonts w:ascii="Times New Roman" w:hAnsi="Times New Roman" w:cs="Times New Roman"/>
          <w:i/>
          <w:sz w:val="24"/>
          <w:szCs w:val="24"/>
        </w:rPr>
        <w:t>Ugovor o povjerljivosti</w:t>
      </w:r>
      <w:r w:rsidRPr="00BE5472">
        <w:rPr>
          <w:rFonts w:ascii="Times New Roman" w:hAnsi="Times New Roman" w:cs="Times New Roman"/>
          <w:sz w:val="24"/>
          <w:szCs w:val="24"/>
        </w:rPr>
        <w:t xml:space="preserve"> kako bi zaštitili osjetljive podatke o poslovanju poduzeća.</w:t>
      </w:r>
    </w:p>
    <w:p w14:paraId="49DDF41C" w14:textId="4B9ABC22" w:rsidR="006E052A" w:rsidRPr="00BE5472" w:rsidRDefault="006E052A" w:rsidP="00120B4F">
      <w:pPr>
        <w:numPr>
          <w:ilvl w:val="0"/>
          <w:numId w:val="5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Pregovori i pismo namjere</w:t>
      </w:r>
      <w:r w:rsidRPr="00BE5472">
        <w:rPr>
          <w:rFonts w:ascii="Times New Roman" w:hAnsi="Times New Roman" w:cs="Times New Roman"/>
          <w:sz w:val="24"/>
          <w:szCs w:val="24"/>
        </w:rPr>
        <w:t xml:space="preserve"> </w:t>
      </w:r>
      <w:r w:rsidR="000E2910"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Kada ima više od jednog potencijalnog kupca, obično slijedi faza dubinske analize. No, ako postoji samo jedan kupac, prije ili uz početak dubinske analize, strane obično razmatraju određene aspekte prije ugovaranja. To uključuje: zakonske implikacije vezane uz konkurenciju i potrebu za prethodnim odobrenjem, pitanja radnog prava, licenciranje i fiskalne implikacije. Također, uobičajeno je da potencijalni kupac i prodavatelj u pismu namjere izlože osnovne uvjete preuzimanja, koji obično nisu pravno obvezujući.</w:t>
      </w:r>
    </w:p>
    <w:p w14:paraId="62EABAE0" w14:textId="5BCAD99F" w:rsidR="006E052A" w:rsidRPr="00BE5472" w:rsidRDefault="006E052A" w:rsidP="00120B4F">
      <w:pPr>
        <w:numPr>
          <w:ilvl w:val="0"/>
          <w:numId w:val="5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Dubinska analiza</w:t>
      </w:r>
      <w:r w:rsidRPr="00BE5472">
        <w:rPr>
          <w:rFonts w:ascii="Times New Roman" w:hAnsi="Times New Roman" w:cs="Times New Roman"/>
          <w:sz w:val="24"/>
          <w:szCs w:val="24"/>
        </w:rPr>
        <w:t xml:space="preserve"> </w:t>
      </w:r>
      <w:r w:rsidR="000E2910"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U ovoj </w:t>
      </w:r>
      <w:r w:rsidR="000E2910"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fazi uobičajeno provesti dubinsku analizu ciljanog poduzeća i njegova poslovanja. Obično je to analiza koju provode savjetnici </w:t>
      </w:r>
      <w:r w:rsidR="000E2910" w:rsidRPr="00BE5472">
        <w:rPr>
          <w:rFonts w:ascii="Times New Roman" w:hAnsi="Times New Roman" w:cs="Times New Roman"/>
          <w:sz w:val="24"/>
          <w:szCs w:val="24"/>
        </w:rPr>
        <w:t xml:space="preserve">koje je </w:t>
      </w:r>
      <w:r w:rsidRPr="00BE5472">
        <w:rPr>
          <w:rFonts w:ascii="Times New Roman" w:hAnsi="Times New Roman" w:cs="Times New Roman"/>
          <w:sz w:val="24"/>
          <w:szCs w:val="24"/>
        </w:rPr>
        <w:t>angažira</w:t>
      </w:r>
      <w:r w:rsidR="000E2910" w:rsidRPr="00BE5472">
        <w:rPr>
          <w:rFonts w:ascii="Times New Roman" w:hAnsi="Times New Roman" w:cs="Times New Roman"/>
          <w:sz w:val="24"/>
          <w:szCs w:val="24"/>
        </w:rPr>
        <w:t>o</w:t>
      </w:r>
      <w:r w:rsidRPr="00BE5472">
        <w:rPr>
          <w:rFonts w:ascii="Times New Roman" w:hAnsi="Times New Roman" w:cs="Times New Roman"/>
          <w:sz w:val="24"/>
          <w:szCs w:val="24"/>
        </w:rPr>
        <w:t xml:space="preserve"> potencijaln</w:t>
      </w:r>
      <w:r w:rsidR="000E2910" w:rsidRPr="00BE5472">
        <w:rPr>
          <w:rFonts w:ascii="Times New Roman" w:hAnsi="Times New Roman" w:cs="Times New Roman"/>
          <w:sz w:val="24"/>
          <w:szCs w:val="24"/>
        </w:rPr>
        <w:t>i</w:t>
      </w:r>
      <w:r w:rsidRPr="00BE5472">
        <w:rPr>
          <w:rFonts w:ascii="Times New Roman" w:hAnsi="Times New Roman" w:cs="Times New Roman"/>
          <w:sz w:val="24"/>
          <w:szCs w:val="24"/>
        </w:rPr>
        <w:t xml:space="preserve"> kupa</w:t>
      </w:r>
      <w:r w:rsidR="000E2910" w:rsidRPr="00BE5472">
        <w:rPr>
          <w:rFonts w:ascii="Times New Roman" w:hAnsi="Times New Roman" w:cs="Times New Roman"/>
          <w:sz w:val="24"/>
          <w:szCs w:val="24"/>
        </w:rPr>
        <w:t>c</w:t>
      </w:r>
      <w:r w:rsidRPr="00BE5472">
        <w:rPr>
          <w:rFonts w:ascii="Times New Roman" w:hAnsi="Times New Roman" w:cs="Times New Roman"/>
          <w:sz w:val="24"/>
          <w:szCs w:val="24"/>
        </w:rPr>
        <w:t>. Prodavatelj također može provesti takvu analizu radi olakšavanja prodaje ili otkrivanja mogućih problema koji bi mogli utjecati na transakciju. Cilj dubinske analize je</w:t>
      </w:r>
      <w:r w:rsidR="000E2910" w:rsidRPr="00BE5472">
        <w:rPr>
          <w:rFonts w:ascii="Times New Roman" w:hAnsi="Times New Roman" w:cs="Times New Roman"/>
          <w:sz w:val="24"/>
          <w:szCs w:val="24"/>
        </w:rPr>
        <w:t>st</w:t>
      </w:r>
      <w:r w:rsidRPr="00BE5472">
        <w:rPr>
          <w:rFonts w:ascii="Times New Roman" w:hAnsi="Times New Roman" w:cs="Times New Roman"/>
          <w:sz w:val="24"/>
          <w:szCs w:val="24"/>
        </w:rPr>
        <w:t xml:space="preserve"> identificirati ključne rizike, odrediti pravednu cijenu i osnažiti pregovaračku moć. Analiza može obuhvatiti pravne, fiskalne i financijske aspekte te druge važne aspekte poslovanja.</w:t>
      </w:r>
    </w:p>
    <w:p w14:paraId="62100202" w14:textId="283BB5FA" w:rsidR="006E052A" w:rsidRPr="00BE5472" w:rsidRDefault="006E052A" w:rsidP="00120B4F">
      <w:pPr>
        <w:numPr>
          <w:ilvl w:val="0"/>
          <w:numId w:val="58"/>
        </w:numPr>
        <w:spacing w:line="360" w:lineRule="auto"/>
        <w:contextualSpacing/>
        <w:jc w:val="both"/>
        <w:rPr>
          <w:rFonts w:ascii="Times New Roman" w:hAnsi="Times New Roman" w:cs="Times New Roman"/>
          <w:bCs/>
          <w:sz w:val="24"/>
          <w:szCs w:val="24"/>
          <w:lang w:val="en-US"/>
        </w:rPr>
      </w:pPr>
      <w:r w:rsidRPr="00BE5472">
        <w:rPr>
          <w:rFonts w:ascii="Times New Roman" w:hAnsi="Times New Roman" w:cs="Times New Roman"/>
          <w:i/>
          <w:sz w:val="24"/>
          <w:szCs w:val="24"/>
        </w:rPr>
        <w:t>Pregovaranje i sklapanje ugovora</w:t>
      </w:r>
      <w:r w:rsidRPr="00BE5472">
        <w:rPr>
          <w:rFonts w:ascii="Times New Roman" w:hAnsi="Times New Roman" w:cs="Times New Roman"/>
          <w:sz w:val="24"/>
          <w:szCs w:val="24"/>
        </w:rPr>
        <w:t xml:space="preserve"> </w:t>
      </w:r>
      <w:r w:rsidR="000E2910"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Nakon završetka dubinske analize, potencijalni kupac razmotrit će analizu sa svojim savjetnicima. Ako je još uvijek zainteresiran za preuzimanje, strane će pregovarati o detaljima transakcije, uključujući cijenu, uvjete, jamstva i osiguranja. To će biti uključeno u </w:t>
      </w:r>
      <w:r w:rsidRPr="00BE5472">
        <w:rPr>
          <w:rFonts w:ascii="Times New Roman" w:hAnsi="Times New Roman" w:cs="Times New Roman"/>
          <w:i/>
          <w:sz w:val="24"/>
          <w:szCs w:val="24"/>
        </w:rPr>
        <w:t>Ugovor o kupoprodaji dionica</w:t>
      </w:r>
      <w:r w:rsidRPr="00BE5472">
        <w:rPr>
          <w:rFonts w:ascii="Times New Roman" w:hAnsi="Times New Roman" w:cs="Times New Roman"/>
          <w:sz w:val="24"/>
          <w:szCs w:val="24"/>
        </w:rPr>
        <w:t xml:space="preserve"> (eng. </w:t>
      </w:r>
      <w:r w:rsidRPr="00BE5472">
        <w:rPr>
          <w:rFonts w:ascii="Times New Roman" w:hAnsi="Times New Roman" w:cs="Times New Roman"/>
          <w:bCs/>
          <w:i/>
          <w:sz w:val="24"/>
          <w:szCs w:val="24"/>
          <w:lang w:val="en-US"/>
        </w:rPr>
        <w:t>Sales and Purchase Agreement</w:t>
      </w:r>
      <w:r w:rsidRPr="00BE5472">
        <w:rPr>
          <w:rFonts w:ascii="Times New Roman" w:hAnsi="Times New Roman" w:cs="Times New Roman"/>
          <w:bCs/>
          <w:sz w:val="24"/>
          <w:szCs w:val="24"/>
          <w:lang w:val="en-US"/>
        </w:rPr>
        <w:t xml:space="preserve"> ili </w:t>
      </w:r>
      <w:r w:rsidRPr="00BE5472">
        <w:rPr>
          <w:rFonts w:ascii="Times New Roman" w:hAnsi="Times New Roman" w:cs="Times New Roman"/>
          <w:i/>
          <w:sz w:val="24"/>
          <w:szCs w:val="24"/>
        </w:rPr>
        <w:t>SPA</w:t>
      </w:r>
      <w:r w:rsidRPr="00BE5472">
        <w:rPr>
          <w:rFonts w:ascii="Times New Roman" w:hAnsi="Times New Roman" w:cs="Times New Roman"/>
          <w:sz w:val="24"/>
          <w:szCs w:val="24"/>
        </w:rPr>
        <w:t xml:space="preserve">) ili </w:t>
      </w:r>
      <w:r w:rsidRPr="00BE5472">
        <w:rPr>
          <w:rFonts w:ascii="Times New Roman" w:hAnsi="Times New Roman" w:cs="Times New Roman"/>
          <w:i/>
          <w:sz w:val="24"/>
          <w:szCs w:val="24"/>
        </w:rPr>
        <w:t>Ugovor o kupoprodaji imovine</w:t>
      </w:r>
      <w:r w:rsidRPr="00BE5472">
        <w:rPr>
          <w:rFonts w:ascii="Times New Roman" w:hAnsi="Times New Roman" w:cs="Times New Roman"/>
          <w:sz w:val="24"/>
          <w:szCs w:val="24"/>
        </w:rPr>
        <w:t xml:space="preserve"> (eng. </w:t>
      </w:r>
      <w:r w:rsidRPr="00BE5472">
        <w:rPr>
          <w:rFonts w:ascii="Times New Roman" w:hAnsi="Times New Roman" w:cs="Times New Roman"/>
          <w:bCs/>
          <w:i/>
          <w:sz w:val="24"/>
          <w:szCs w:val="24"/>
          <w:lang w:val="en-US"/>
        </w:rPr>
        <w:t>Advance Pricing Agreement</w:t>
      </w:r>
      <w:r w:rsidRPr="00BE5472">
        <w:rPr>
          <w:rFonts w:ascii="Times New Roman" w:hAnsi="Times New Roman" w:cs="Times New Roman"/>
          <w:bCs/>
          <w:sz w:val="24"/>
          <w:szCs w:val="24"/>
          <w:lang w:val="en-US"/>
        </w:rPr>
        <w:t xml:space="preserve"> ili </w:t>
      </w:r>
      <w:r w:rsidRPr="00BE5472">
        <w:rPr>
          <w:rFonts w:ascii="Times New Roman" w:hAnsi="Times New Roman" w:cs="Times New Roman"/>
          <w:sz w:val="24"/>
          <w:szCs w:val="24"/>
        </w:rPr>
        <w:t>APA), ovisno o prirodi transakcije.</w:t>
      </w:r>
    </w:p>
    <w:p w14:paraId="1B29F061" w14:textId="7440B94B" w:rsidR="006E052A" w:rsidRPr="00BE5472" w:rsidRDefault="006E052A" w:rsidP="00120B4F">
      <w:pPr>
        <w:numPr>
          <w:ilvl w:val="0"/>
          <w:numId w:val="9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Implementacija nakon sklapanja ugovora</w:t>
      </w:r>
      <w:r w:rsidRPr="00BE5472">
        <w:rPr>
          <w:rFonts w:ascii="Times New Roman" w:hAnsi="Times New Roman" w:cs="Times New Roman"/>
          <w:sz w:val="24"/>
          <w:szCs w:val="24"/>
        </w:rPr>
        <w:t xml:space="preserve"> </w:t>
      </w:r>
      <w:r w:rsidR="000E2910"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Uobičajeno je da SPA/APA sadrži klauzule koje stupaju na snagu nakon sklapanja ugovora, poput dodatnih obveza koje ugovorne strane trebaju ispuniti, dovršavanje prijenosa dodatne imovine, dobivanje suglasnosti, izdavanje obavijesti, provođenje mehanizma za prilagodbu cijene ili sklapanje dodatnih ugovora.</w:t>
      </w:r>
    </w:p>
    <w:p w14:paraId="59B932A6"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Patel (bez dat.) razlikuje sljedeće korake u procesu spajanja i preuzimanja: strategija, kreiranje liste potencijalnih meta, </w:t>
      </w:r>
      <w:r w:rsidRPr="00BE5472">
        <w:rPr>
          <w:rFonts w:ascii="Times New Roman" w:hAnsi="Times New Roman" w:cs="Times New Roman"/>
          <w:i/>
          <w:sz w:val="24"/>
          <w:szCs w:val="24"/>
        </w:rPr>
        <w:t>Ugovor o povjerljivosti</w:t>
      </w:r>
      <w:r w:rsidRPr="00BE5472">
        <w:rPr>
          <w:rFonts w:ascii="Times New Roman" w:hAnsi="Times New Roman" w:cs="Times New Roman"/>
          <w:sz w:val="24"/>
          <w:szCs w:val="24"/>
        </w:rPr>
        <w:t>, dubinska analiza, procjena, pismo namjere, potvrda analize, potpisivanje i zaključivanje ugovora i integracija.</w:t>
      </w:r>
    </w:p>
    <w:p w14:paraId="30D90138" w14:textId="781B9F01"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Razumijevanje područja i procesa spajanja u preuzimanja u hotelskom sektoru zahtijeva</w:t>
      </w:r>
      <w:r w:rsidR="000E2910"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ponajprije strateški pristup. Ovdje nije samo riječ o odabiru bilo koje dostupne nekretnine, već je prvenstveno riječ o identificiranju imovine koja se poklapa s investicijskim ciljevima poduzeća preuzimatelja i identifikaciji njihovog potencijala za osiguravanje profitabilnosti u budućnosti. Nekoliko </w:t>
      </w:r>
      <w:r w:rsidR="000E2910"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razmatranja koja bi investitori trebali imati na umu prilikom traženja postojećih hotela za preuzimanje, a temeljeno na koracima procesa spajanja i preuzimanja koji su prethodno opisani: </w:t>
      </w:r>
    </w:p>
    <w:p w14:paraId="10107EF0" w14:textId="77777777" w:rsidR="006E052A" w:rsidRPr="00BE5472"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Lokacija</w:t>
      </w:r>
      <w:r w:rsidRPr="00BE5472">
        <w:rPr>
          <w:rFonts w:ascii="Times New Roman" w:hAnsi="Times New Roman" w:cs="Times New Roman"/>
          <w:sz w:val="24"/>
          <w:szCs w:val="24"/>
        </w:rPr>
        <w:t xml:space="preserve"> je važna, ne samo za ulaganja u hotelskom sektoru, već i druga ulaganja u nekretnine. Što se hotela tiče, valja istaknuti da blizina hotela poslovnim centrima, turističkim atrakcijama, prometnim čvorištima ili panoramskim pogledima može značajno utjecati na njegovu popunjenost i ukupnu profitabilnost.</w:t>
      </w:r>
    </w:p>
    <w:p w14:paraId="63E27C80" w14:textId="77777777" w:rsidR="006E052A" w:rsidRPr="00BE5472"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Analiza uspješnosti poslovanja hotela</w:t>
      </w:r>
      <w:r w:rsidRPr="00BE5472">
        <w:rPr>
          <w:rFonts w:ascii="Times New Roman" w:hAnsi="Times New Roman" w:cs="Times New Roman"/>
          <w:sz w:val="24"/>
          <w:szCs w:val="24"/>
        </w:rPr>
        <w:t xml:space="preserve"> ključan je čimbenik. Stoga valja analizirati povijesne podatke, ključne hotelske pokazatelje uspješnosti. Oni su temelj na kojem se izrađuju buduće projekcije. </w:t>
      </w:r>
    </w:p>
    <w:p w14:paraId="02CF2700" w14:textId="4FBC9ED3" w:rsidR="006E052A" w:rsidRPr="00BE5472"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Analiza operativne učinkovitosti</w:t>
      </w:r>
      <w:r w:rsidRPr="00BE5472">
        <w:rPr>
          <w:rFonts w:ascii="Times New Roman" w:hAnsi="Times New Roman" w:cs="Times New Roman"/>
          <w:sz w:val="24"/>
          <w:szCs w:val="24"/>
        </w:rPr>
        <w:t xml:space="preserve"> </w:t>
      </w:r>
      <w:r w:rsidR="000E2910" w:rsidRPr="00BE5472">
        <w:rPr>
          <w:rFonts w:ascii="Times New Roman" w:hAnsi="Times New Roman" w:cs="Times New Roman"/>
          <w:sz w:val="24"/>
          <w:szCs w:val="24"/>
        </w:rPr>
        <w:t xml:space="preserve">ne </w:t>
      </w:r>
      <w:r w:rsidRPr="00BE5472">
        <w:rPr>
          <w:rFonts w:ascii="Times New Roman" w:hAnsi="Times New Roman" w:cs="Times New Roman"/>
          <w:sz w:val="24"/>
          <w:szCs w:val="24"/>
        </w:rPr>
        <w:t xml:space="preserve">se </w:t>
      </w:r>
      <w:r w:rsidR="00F07CF0" w:rsidRPr="00BE5472">
        <w:rPr>
          <w:rFonts w:ascii="Times New Roman" w:hAnsi="Times New Roman" w:cs="Times New Roman"/>
          <w:sz w:val="24"/>
          <w:szCs w:val="24"/>
        </w:rPr>
        <w:t>smije</w:t>
      </w:r>
      <w:r w:rsidRPr="00BE5472">
        <w:rPr>
          <w:rFonts w:ascii="Times New Roman" w:hAnsi="Times New Roman" w:cs="Times New Roman"/>
          <w:sz w:val="24"/>
          <w:szCs w:val="24"/>
        </w:rPr>
        <w:t xml:space="preserve"> zabora</w:t>
      </w:r>
      <w:r w:rsidR="00F07CF0" w:rsidRPr="00BE5472">
        <w:rPr>
          <w:rFonts w:ascii="Times New Roman" w:hAnsi="Times New Roman" w:cs="Times New Roman"/>
          <w:sz w:val="24"/>
          <w:szCs w:val="24"/>
        </w:rPr>
        <w:t>viti</w:t>
      </w:r>
      <w:r w:rsidRPr="00BE5472">
        <w:rPr>
          <w:rFonts w:ascii="Times New Roman" w:hAnsi="Times New Roman" w:cs="Times New Roman"/>
          <w:sz w:val="24"/>
          <w:szCs w:val="24"/>
        </w:rPr>
        <w:t xml:space="preserve"> jer</w:t>
      </w:r>
      <w:r w:rsidR="00F07CF0" w:rsidRPr="00BE5472">
        <w:rPr>
          <w:rFonts w:ascii="Times New Roman" w:hAnsi="Times New Roman" w:cs="Times New Roman"/>
          <w:sz w:val="24"/>
          <w:szCs w:val="24"/>
        </w:rPr>
        <w:t xml:space="preserve"> je</w:t>
      </w:r>
      <w:r w:rsidRPr="00BE5472">
        <w:rPr>
          <w:rFonts w:ascii="Times New Roman" w:hAnsi="Times New Roman" w:cs="Times New Roman"/>
          <w:sz w:val="24"/>
          <w:szCs w:val="24"/>
        </w:rPr>
        <w:t xml:space="preserve"> važno detaljno spoznati kako hotel posluje, koliko ima zaposlenik</w:t>
      </w:r>
      <w:r w:rsidR="000E2910" w:rsidRPr="00BE5472">
        <w:rPr>
          <w:rFonts w:ascii="Times New Roman" w:hAnsi="Times New Roman" w:cs="Times New Roman"/>
          <w:sz w:val="24"/>
          <w:szCs w:val="24"/>
        </w:rPr>
        <w:t>a</w:t>
      </w:r>
      <w:r w:rsidRPr="00BE5472">
        <w:rPr>
          <w:rFonts w:ascii="Times New Roman" w:hAnsi="Times New Roman" w:cs="Times New Roman"/>
          <w:sz w:val="24"/>
          <w:szCs w:val="24"/>
        </w:rPr>
        <w:t>, koja je struktura zaposlenih, kakvi su ugovori s dobavljačima, s kojim dobavljačima posluje. Tu se mo</w:t>
      </w:r>
      <w:r w:rsidR="00F07CF0" w:rsidRPr="00BE5472">
        <w:rPr>
          <w:rFonts w:ascii="Times New Roman" w:hAnsi="Times New Roman" w:cs="Times New Roman"/>
          <w:sz w:val="24"/>
          <w:szCs w:val="24"/>
        </w:rPr>
        <w:t>gu</w:t>
      </w:r>
      <w:r w:rsidRPr="00BE5472">
        <w:rPr>
          <w:rFonts w:ascii="Times New Roman" w:hAnsi="Times New Roman" w:cs="Times New Roman"/>
          <w:sz w:val="24"/>
          <w:szCs w:val="24"/>
        </w:rPr>
        <w:t xml:space="preserve"> identificirati potencijalna područja koje je potrebno optimizirati u budućnosti.</w:t>
      </w:r>
    </w:p>
    <w:p w14:paraId="6017DF13" w14:textId="77777777" w:rsidR="006E052A" w:rsidRPr="00BE5472"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Procjena stanja nekretnine</w:t>
      </w:r>
      <w:r w:rsidRPr="00BE5472">
        <w:rPr>
          <w:rFonts w:ascii="Times New Roman" w:hAnsi="Times New Roman" w:cs="Times New Roman"/>
          <w:sz w:val="24"/>
          <w:szCs w:val="24"/>
        </w:rPr>
        <w:t xml:space="preserve"> (objekta) u smislu potrebnih renovacija, nadogradnji i slično jer sve to utječe na troškove povezane s ulaganjem u takav objekt u budućnosti. </w:t>
      </w:r>
    </w:p>
    <w:p w14:paraId="0ED5BEF7" w14:textId="667C475B" w:rsidR="006E052A" w:rsidRPr="00BE5472"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Konkurentsko pozicioniranje</w:t>
      </w:r>
      <w:r w:rsidRPr="00BE5472">
        <w:rPr>
          <w:rFonts w:ascii="Times New Roman" w:hAnsi="Times New Roman" w:cs="Times New Roman"/>
          <w:sz w:val="24"/>
          <w:szCs w:val="24"/>
        </w:rPr>
        <w:t xml:space="preserve"> je također neophodno i podrazumijeva sagledavanje hotela u njegovom okruženju u smislu lokacije, cijene, usluge koj</w:t>
      </w:r>
      <w:r w:rsidR="00DE3434" w:rsidRPr="00BE5472">
        <w:rPr>
          <w:rFonts w:ascii="Times New Roman" w:hAnsi="Times New Roman" w:cs="Times New Roman"/>
          <w:sz w:val="24"/>
          <w:szCs w:val="24"/>
        </w:rPr>
        <w:t>e</w:t>
      </w:r>
      <w:r w:rsidRPr="00BE5472">
        <w:rPr>
          <w:rFonts w:ascii="Times New Roman" w:hAnsi="Times New Roman" w:cs="Times New Roman"/>
          <w:sz w:val="24"/>
          <w:szCs w:val="24"/>
        </w:rPr>
        <w:t xml:space="preserve"> se nud</w:t>
      </w:r>
      <w:r w:rsidR="00DE3434" w:rsidRPr="00BE5472">
        <w:rPr>
          <w:rFonts w:ascii="Times New Roman" w:hAnsi="Times New Roman" w:cs="Times New Roman"/>
          <w:sz w:val="24"/>
          <w:szCs w:val="24"/>
        </w:rPr>
        <w:t>e</w:t>
      </w:r>
      <w:r w:rsidRPr="00BE5472">
        <w:rPr>
          <w:rFonts w:ascii="Times New Roman" w:hAnsi="Times New Roman" w:cs="Times New Roman"/>
          <w:sz w:val="24"/>
          <w:szCs w:val="24"/>
        </w:rPr>
        <w:t>, konkurencije i sl.</w:t>
      </w:r>
    </w:p>
    <w:p w14:paraId="390BB2CB" w14:textId="1F11BA7D" w:rsidR="006E052A" w:rsidRDefault="006E052A" w:rsidP="00120B4F">
      <w:pPr>
        <w:numPr>
          <w:ilvl w:val="0"/>
          <w:numId w:val="77"/>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iCs/>
          <w:sz w:val="24"/>
          <w:szCs w:val="24"/>
        </w:rPr>
        <w:t>Uzimanje</w:t>
      </w:r>
      <w:r w:rsidR="00DE3434" w:rsidRPr="00BE5472">
        <w:rPr>
          <w:rFonts w:ascii="Times New Roman" w:hAnsi="Times New Roman" w:cs="Times New Roman"/>
          <w:i/>
          <w:iCs/>
          <w:sz w:val="24"/>
          <w:szCs w:val="24"/>
        </w:rPr>
        <w:t xml:space="preserve"> u obzir</w:t>
      </w:r>
      <w:r w:rsidRPr="00BE5472">
        <w:rPr>
          <w:rFonts w:ascii="Times New Roman" w:hAnsi="Times New Roman" w:cs="Times New Roman"/>
          <w:i/>
          <w:sz w:val="24"/>
          <w:szCs w:val="24"/>
        </w:rPr>
        <w:t xml:space="preserve"> potencijala rasta hotela u budućnosti</w:t>
      </w:r>
      <w:r w:rsidRPr="00BE5472">
        <w:rPr>
          <w:rFonts w:ascii="Times New Roman" w:hAnsi="Times New Roman" w:cs="Times New Roman"/>
          <w:sz w:val="24"/>
          <w:szCs w:val="24"/>
        </w:rPr>
        <w:t xml:space="preserve"> znači razmatranje svih mogućnosti proširenja ponude, usluge, dodatnog izvora prihoda. Njihovo prepoznavanje omogućit će njihovo iskorištavanje u budućnosti. </w:t>
      </w:r>
    </w:p>
    <w:p w14:paraId="4A15E6D1" w14:textId="77777777" w:rsidR="003A7B6B" w:rsidRPr="00BE5472" w:rsidRDefault="003A7B6B" w:rsidP="003A7B6B">
      <w:pPr>
        <w:spacing w:line="360" w:lineRule="auto"/>
        <w:ind w:left="1080"/>
        <w:contextualSpacing/>
        <w:jc w:val="both"/>
        <w:rPr>
          <w:rFonts w:ascii="Times New Roman" w:hAnsi="Times New Roman" w:cs="Times New Roman"/>
          <w:sz w:val="24"/>
          <w:szCs w:val="24"/>
        </w:rPr>
      </w:pPr>
    </w:p>
    <w:p w14:paraId="10D6DDE8" w14:textId="631D9248" w:rsidR="006E052A"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Hotelska poduzeća koja se odluče na provođenje trans</w:t>
      </w:r>
      <w:r w:rsidR="000E2910" w:rsidRPr="00BE5472">
        <w:rPr>
          <w:rFonts w:ascii="Times New Roman" w:hAnsi="Times New Roman" w:cs="Times New Roman"/>
          <w:sz w:val="24"/>
          <w:szCs w:val="24"/>
        </w:rPr>
        <w:t>a</w:t>
      </w:r>
      <w:r w:rsidRPr="00BE5472">
        <w:rPr>
          <w:rFonts w:ascii="Times New Roman" w:hAnsi="Times New Roman" w:cs="Times New Roman"/>
          <w:sz w:val="24"/>
          <w:szCs w:val="24"/>
        </w:rPr>
        <w:t>kcije spajanja i/ili preuzimanja moraju voditi računa da ovaj proces pre</w:t>
      </w:r>
      <w:r w:rsidR="000E2910" w:rsidRPr="00BE5472">
        <w:rPr>
          <w:rFonts w:ascii="Times New Roman" w:hAnsi="Times New Roman" w:cs="Times New Roman"/>
          <w:sz w:val="24"/>
          <w:szCs w:val="24"/>
        </w:rPr>
        <w:t>t</w:t>
      </w:r>
      <w:r w:rsidRPr="00BE5472">
        <w:rPr>
          <w:rFonts w:ascii="Times New Roman" w:hAnsi="Times New Roman" w:cs="Times New Roman"/>
          <w:sz w:val="24"/>
          <w:szCs w:val="24"/>
        </w:rPr>
        <w:t xml:space="preserve">postavlja prolazak </w:t>
      </w:r>
      <w:r w:rsidR="00F87611" w:rsidRPr="00BE5472">
        <w:rPr>
          <w:rFonts w:ascii="Times New Roman" w:hAnsi="Times New Roman" w:cs="Times New Roman"/>
          <w:sz w:val="24"/>
          <w:szCs w:val="24"/>
        </w:rPr>
        <w:t>tijekom</w:t>
      </w:r>
      <w:r w:rsidRPr="00BE5472">
        <w:rPr>
          <w:rFonts w:ascii="Times New Roman" w:hAnsi="Times New Roman" w:cs="Times New Roman"/>
          <w:sz w:val="24"/>
          <w:szCs w:val="24"/>
        </w:rPr>
        <w:t xml:space="preserve"> nekoliko različitih faza, pri čemu je svaka od njih različita, specifična, a može se reći i ključna za uspjeh procesa spajanja i preuzimanja. Prva faza općenito uključuje strategijsko planiranje i analizu tržišta, gdje poduzeće preuzimatelj identificira i analizira potencijalna poduzeća mete. Prov</w:t>
      </w:r>
      <w:r w:rsidR="004505A3" w:rsidRPr="00BE5472">
        <w:rPr>
          <w:rFonts w:ascii="Times New Roman" w:hAnsi="Times New Roman" w:cs="Times New Roman"/>
          <w:sz w:val="24"/>
          <w:szCs w:val="24"/>
        </w:rPr>
        <w:t>esti</w:t>
      </w:r>
      <w:r w:rsidRPr="00BE5472">
        <w:rPr>
          <w:rFonts w:ascii="Times New Roman" w:hAnsi="Times New Roman" w:cs="Times New Roman"/>
          <w:sz w:val="24"/>
          <w:szCs w:val="24"/>
        </w:rPr>
        <w:t xml:space="preserve"> temeljitu analizu </w:t>
      </w:r>
      <w:r w:rsidRPr="00BE5472">
        <w:rPr>
          <w:rFonts w:ascii="Times New Roman" w:hAnsi="Times New Roman" w:cs="Times New Roman"/>
          <w:sz w:val="24"/>
          <w:szCs w:val="24"/>
        </w:rPr>
        <w:lastRenderedPageBreak/>
        <w:t xml:space="preserve">opravdanosti provođenja procesa spajanja i/ili preuzimanja je ključno u ovoj fazi, u kojoj se procjenjuje financijska situacija poduzeća mete, operativna sinergija i usklađenost s regulatornim zahtjevima. Slijedi pregovaranje o uvjetima preuzimanja, usredotočenost na usklađivanje interesa dioničara i strateških ciljeva poduzeća kako bi se osigurao povoljan dogovor i, u konačnici, ishod. </w:t>
      </w:r>
      <w:r w:rsidR="000E2910" w:rsidRPr="00BE5472">
        <w:rPr>
          <w:rFonts w:ascii="Times New Roman" w:hAnsi="Times New Roman" w:cs="Times New Roman"/>
          <w:sz w:val="24"/>
          <w:szCs w:val="24"/>
        </w:rPr>
        <w:t>Presudna je i</w:t>
      </w:r>
      <w:r w:rsidRPr="00BE5472">
        <w:rPr>
          <w:rFonts w:ascii="Times New Roman" w:hAnsi="Times New Roman" w:cs="Times New Roman"/>
          <w:sz w:val="24"/>
          <w:szCs w:val="24"/>
        </w:rPr>
        <w:t xml:space="preserve">ntegracija nakon spajanja, uključujući usklađivanje operacija, optimizaciju resursa, prilagodbu organizacijskih kultura i dr. Dodatno, važno je naglasiti da uspješne integracije u hotelijerstvu zahtijevaju pažljivu komunikaciju sa zaposlenicima i gostima. Također, transparentnost u cijelom procesu spajanja i preuzimanja ključna je za zadržavanje povjerenja dionika. Kontinuirano praćenje pokazatelja uspješnosti nakon integracije pomaže identificirati potencijalne izazove i prilagodbu strategija sukladno potrebama, čime se osigurava dugoročni uspjeh. </w:t>
      </w:r>
    </w:p>
    <w:p w14:paraId="0081B857" w14:textId="77777777" w:rsidR="003D46C7" w:rsidRPr="00BE5472" w:rsidRDefault="003D46C7" w:rsidP="006E052A">
      <w:pPr>
        <w:spacing w:line="360" w:lineRule="auto"/>
        <w:jc w:val="both"/>
        <w:rPr>
          <w:rFonts w:ascii="Times New Roman" w:hAnsi="Times New Roman" w:cs="Times New Roman"/>
          <w:sz w:val="24"/>
          <w:szCs w:val="24"/>
        </w:rPr>
      </w:pPr>
    </w:p>
    <w:p w14:paraId="1E0BBDB0" w14:textId="0A29EE27" w:rsidR="006E052A" w:rsidRPr="00BE5472" w:rsidRDefault="006E052A" w:rsidP="003D13C0">
      <w:pPr>
        <w:pStyle w:val="Heading2"/>
        <w:rPr>
          <w:rFonts w:ascii="Times New Roman" w:hAnsi="Times New Roman" w:cs="Times New Roman"/>
        </w:rPr>
      </w:pPr>
      <w:bookmarkStart w:id="144" w:name="_Toc210381428"/>
      <w:bookmarkStart w:id="145" w:name="_Toc241865152"/>
      <w:r w:rsidRPr="00BE5472">
        <w:rPr>
          <w:rFonts w:ascii="Times New Roman" w:hAnsi="Times New Roman" w:cs="Times New Roman"/>
        </w:rPr>
        <w:t>3.6. Integracijski izazovi procesa spajanja i preuzimanja</w:t>
      </w:r>
      <w:bookmarkEnd w:id="144"/>
      <w:bookmarkEnd w:id="145"/>
    </w:p>
    <w:p w14:paraId="05A20937" w14:textId="77777777" w:rsidR="00BC3443" w:rsidRPr="00BE5472" w:rsidRDefault="00BC3443" w:rsidP="00BC3443">
      <w:pPr>
        <w:rPr>
          <w:rFonts w:ascii="Times New Roman" w:hAnsi="Times New Roman" w:cs="Times New Roman"/>
        </w:rPr>
      </w:pPr>
    </w:p>
    <w:p w14:paraId="4378C973" w14:textId="45F83474"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Larsson i Finkelstein (1999: 6) definiraju integraciju kao </w:t>
      </w:r>
      <w:r w:rsidRPr="00BE5472">
        <w:rPr>
          <w:rFonts w:ascii="Times New Roman" w:hAnsi="Times New Roman" w:cs="Times New Roman"/>
          <w:i/>
          <w:sz w:val="24"/>
          <w:szCs w:val="24"/>
        </w:rPr>
        <w:t>stupanj interakcije i koordinacije dvaju poduzeća</w:t>
      </w:r>
      <w:r w:rsidRPr="00BE5472">
        <w:rPr>
          <w:rFonts w:ascii="Times New Roman" w:hAnsi="Times New Roman" w:cs="Times New Roman"/>
          <w:sz w:val="24"/>
          <w:szCs w:val="24"/>
        </w:rPr>
        <w:t xml:space="preserve"> uključenih u spajanje ili preuzimanje. Integracija nakon spajanja i preuzimanja jest višeslojan, dinamičan proces u kojem se spajaju poduzeća ili njihovi dijelovi kako bi formirali novu organizaciju (Graebner</w:t>
      </w:r>
      <w:r w:rsidR="00607A05">
        <w:rPr>
          <w:rFonts w:ascii="Times New Roman" w:hAnsi="Times New Roman" w:cs="Times New Roman"/>
          <w:sz w:val="24"/>
          <w:szCs w:val="24"/>
        </w:rPr>
        <w:t xml:space="preserve"> i sur.</w:t>
      </w:r>
      <w:r w:rsidRPr="00BE5472">
        <w:rPr>
          <w:rFonts w:ascii="Times New Roman" w:hAnsi="Times New Roman" w:cs="Times New Roman"/>
          <w:sz w:val="24"/>
          <w:szCs w:val="24"/>
        </w:rPr>
        <w:t xml:space="preserve"> 2017). Ova definicija otvara put za procesni pogled na integraciju. Sklapanje ugovora o spajanju i preuzimanju smatra se početkom integracije, a samo trajanje integracije vrlo </w:t>
      </w:r>
      <w:r w:rsidR="000E2910" w:rsidRPr="00BE5472">
        <w:rPr>
          <w:rFonts w:ascii="Times New Roman" w:hAnsi="Times New Roman" w:cs="Times New Roman"/>
          <w:sz w:val="24"/>
          <w:szCs w:val="24"/>
        </w:rPr>
        <w:t xml:space="preserve">je </w:t>
      </w:r>
      <w:r w:rsidRPr="00BE5472">
        <w:rPr>
          <w:rFonts w:ascii="Times New Roman" w:hAnsi="Times New Roman" w:cs="Times New Roman"/>
          <w:sz w:val="24"/>
          <w:szCs w:val="24"/>
        </w:rPr>
        <w:t>različito, no može trajati godinama sve do završetka. Spomenuti autori također navode kako je organizacijska integracija najvažniji čimbenik koji objašnjava stvaranje sinergije nakon preuzimanja. U istom smjeru, Graebner</w:t>
      </w:r>
      <w:r w:rsidR="00393576">
        <w:rPr>
          <w:rFonts w:ascii="Times New Roman" w:hAnsi="Times New Roman" w:cs="Times New Roman"/>
          <w:sz w:val="24"/>
          <w:szCs w:val="24"/>
        </w:rPr>
        <w:t xml:space="preserve"> i sur.</w:t>
      </w:r>
      <w:r w:rsidRPr="00BE5472">
        <w:rPr>
          <w:rFonts w:ascii="Times New Roman" w:hAnsi="Times New Roman" w:cs="Times New Roman"/>
          <w:sz w:val="24"/>
          <w:szCs w:val="24"/>
        </w:rPr>
        <w:t xml:space="preserve"> (2017) ističu kako je integracija vrlo važan proces kojim se može pojasniti zbog čega su neka spajanja i </w:t>
      </w:r>
      <w:r w:rsidR="009110E3" w:rsidRPr="00BE5472">
        <w:rPr>
          <w:rFonts w:ascii="Times New Roman" w:hAnsi="Times New Roman" w:cs="Times New Roman"/>
          <w:sz w:val="24"/>
          <w:szCs w:val="24"/>
        </w:rPr>
        <w:t>preuzimanja</w:t>
      </w:r>
      <w:r w:rsidRPr="00BE5472">
        <w:rPr>
          <w:rFonts w:ascii="Times New Roman" w:hAnsi="Times New Roman" w:cs="Times New Roman"/>
          <w:sz w:val="24"/>
          <w:szCs w:val="24"/>
        </w:rPr>
        <w:t xml:space="preserve"> uspješnija, a druga manje uspješna ili neuspješna. Primjerice, spajanje Daimlera i Chrysler bilo je neuspješno. Razlog neuspjeha leži upravo u integracijskoj fazi, a opisati ga se može </w:t>
      </w:r>
      <w:r w:rsidR="009110E3" w:rsidRPr="00BE5472">
        <w:rPr>
          <w:rFonts w:ascii="Times New Roman" w:hAnsi="Times New Roman" w:cs="Times New Roman"/>
          <w:sz w:val="24"/>
          <w:szCs w:val="24"/>
        </w:rPr>
        <w:t>podcjenjivanjem</w:t>
      </w:r>
      <w:r w:rsidRPr="00BE5472">
        <w:rPr>
          <w:rFonts w:ascii="Times New Roman" w:hAnsi="Times New Roman" w:cs="Times New Roman"/>
          <w:sz w:val="24"/>
          <w:szCs w:val="24"/>
        </w:rPr>
        <w:t xml:space="preserve"> društvenih i kulturoloških aspekata, nespojivim menadžerskim stilovima i upitnom komunikacijom (Weber i Camerer 2003). </w:t>
      </w:r>
      <w:r w:rsidR="00F808BE" w:rsidRPr="00BE5472">
        <w:rPr>
          <w:rFonts w:ascii="Times New Roman" w:hAnsi="Times New Roman" w:cs="Times New Roman"/>
          <w:sz w:val="24"/>
          <w:szCs w:val="24"/>
        </w:rPr>
        <w:t>Z</w:t>
      </w:r>
      <w:r w:rsidRPr="00BE5472">
        <w:rPr>
          <w:rFonts w:ascii="Times New Roman" w:hAnsi="Times New Roman" w:cs="Times New Roman"/>
          <w:sz w:val="24"/>
          <w:szCs w:val="24"/>
        </w:rPr>
        <w:t>animljivo je spomenuti i studiju koju su proveli  Mace i Montgomery (1962: 230)</w:t>
      </w:r>
      <w:r w:rsidR="000E2910" w:rsidRPr="00BE5472">
        <w:rPr>
          <w:rFonts w:ascii="Times New Roman" w:hAnsi="Times New Roman" w:cs="Times New Roman"/>
          <w:sz w:val="24"/>
          <w:szCs w:val="24"/>
        </w:rPr>
        <w:t xml:space="preserve">, čiji </w:t>
      </w:r>
      <w:r w:rsidRPr="00BE5472">
        <w:rPr>
          <w:rFonts w:ascii="Times New Roman" w:hAnsi="Times New Roman" w:cs="Times New Roman"/>
          <w:sz w:val="24"/>
          <w:szCs w:val="24"/>
        </w:rPr>
        <w:t xml:space="preserve">rezultati su ih ponukali da zaključe kako </w:t>
      </w:r>
      <w:r w:rsidRPr="00BE5472">
        <w:rPr>
          <w:rFonts w:ascii="Times New Roman" w:hAnsi="Times New Roman" w:cs="Times New Roman"/>
          <w:i/>
          <w:sz w:val="24"/>
          <w:szCs w:val="24"/>
        </w:rPr>
        <w:t>vrijednost koja se stvara procesom preuzimanja najviše ovisi o tome koliko se vješto rješavaju administrativni problemi integracije</w:t>
      </w:r>
      <w:r w:rsidRPr="00BE5472">
        <w:rPr>
          <w:rFonts w:ascii="Times New Roman" w:hAnsi="Times New Roman" w:cs="Times New Roman"/>
          <w:sz w:val="24"/>
          <w:szCs w:val="24"/>
        </w:rPr>
        <w:t xml:space="preserve">. Gotovo 80 posto poduzeća koja se odlučuju na spajanje i preuzimanje ne postiže željenu profitabilnost </w:t>
      </w:r>
      <w:r w:rsidR="000E2910" w:rsidRPr="00BE5472">
        <w:rPr>
          <w:rFonts w:ascii="Times New Roman" w:hAnsi="Times New Roman" w:cs="Times New Roman"/>
          <w:sz w:val="24"/>
          <w:szCs w:val="24"/>
        </w:rPr>
        <w:t>a</w:t>
      </w:r>
      <w:r w:rsidRPr="00BE5472">
        <w:rPr>
          <w:rFonts w:ascii="Times New Roman" w:hAnsi="Times New Roman" w:cs="Times New Roman"/>
          <w:sz w:val="24"/>
          <w:szCs w:val="24"/>
        </w:rPr>
        <w:t>ko se neadekvatno upravlja fazom integracije (Charman 1999).</w:t>
      </w:r>
      <w:r w:rsidRPr="00BE5472">
        <w:rPr>
          <w:rFonts w:ascii="Times New Roman" w:hAnsi="Times New Roman" w:cs="Times New Roman"/>
        </w:rPr>
        <w:t xml:space="preserve"> </w:t>
      </w:r>
      <w:r w:rsidRPr="00BE5472">
        <w:rPr>
          <w:rFonts w:ascii="Times New Roman" w:hAnsi="Times New Roman" w:cs="Times New Roman"/>
          <w:sz w:val="24"/>
          <w:szCs w:val="24"/>
        </w:rPr>
        <w:t xml:space="preserve">Između 70 i 90 posto preuzimanja </w:t>
      </w:r>
      <w:r w:rsidRPr="00BE5472">
        <w:rPr>
          <w:rFonts w:ascii="Times New Roman" w:hAnsi="Times New Roman" w:cs="Times New Roman"/>
          <w:sz w:val="24"/>
          <w:szCs w:val="24"/>
        </w:rPr>
        <w:lastRenderedPageBreak/>
        <w:t>završava neuspjehom. Većina objašnjenja za ovaj obeshrabrujući podatak ističe probleme s integracijom dviju strana uključenih u proces (Kenny 2020).</w:t>
      </w:r>
    </w:p>
    <w:p w14:paraId="0BACB714" w14:textId="0C6AD94F"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Planiranje integracije započinje puno prije zaključivanja ugovora (više u: Ellis i sur. 2011; Ranft i Lord 2002). Integracija jednog poduzeća u drugo ima mnogo aspekata, a čimbenici i uvjeti koji potiču uspjeh ili pak neuspjeh ovog procesa su složeni. Zbog toga se istraživanje o integraciji u procesima spajanja i preuzimanja, koja obuhvaćaju i integraciju nakon spajanja i nakon preuzimanja, vrlo dinamično počinju razvijati još u prošlom stoljeću, a Teerikangas i sur.  (2012) ističu da su takva istraživanja privukla pažnju i interes znanstvene zajednice krajem 1980-ih. </w:t>
      </w:r>
    </w:p>
    <w:p w14:paraId="7BF83CF3" w14:textId="250975CE"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Faza integracije nakon preuzimanja može se izdvojiti kao kritičan element procesa spajanja i preuzimanja</w:t>
      </w:r>
      <w:r w:rsidR="000E2910" w:rsidRPr="00BE5472">
        <w:rPr>
          <w:rFonts w:ascii="Times New Roman" w:hAnsi="Times New Roman" w:cs="Times New Roman"/>
          <w:sz w:val="24"/>
          <w:szCs w:val="24"/>
        </w:rPr>
        <w:t>,</w:t>
      </w:r>
      <w:r w:rsidRPr="00BE5472">
        <w:rPr>
          <w:rFonts w:ascii="Times New Roman" w:hAnsi="Times New Roman" w:cs="Times New Roman"/>
          <w:sz w:val="24"/>
          <w:szCs w:val="24"/>
        </w:rPr>
        <w:t xml:space="preserve"> i to iz više razloga: </w:t>
      </w:r>
    </w:p>
    <w:p w14:paraId="7D472970" w14:textId="572ED4BC"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postoje razni stilovi menadžmenta koje poduzeća odabiru u fazi integracije nakon preuzimanja,</w:t>
      </w:r>
    </w:p>
    <w:p w14:paraId="2E0DB4EF" w14:textId="66A28668"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 xml:space="preserve">postoje različite tipovi (vrste, stilovi) strategija u fazi preuzimanja nakon integracije, a </w:t>
      </w:r>
      <w:r w:rsidR="0013039E" w:rsidRPr="00BE5472">
        <w:rPr>
          <w:rFonts w:ascii="Times New Roman" w:hAnsi="Times New Roman" w:cs="Times New Roman"/>
          <w:sz w:val="24"/>
          <w:szCs w:val="24"/>
        </w:rPr>
        <w:t xml:space="preserve">njihova </w:t>
      </w:r>
      <w:r w:rsidRPr="00BE5472">
        <w:rPr>
          <w:rFonts w:ascii="Times New Roman" w:hAnsi="Times New Roman" w:cs="Times New Roman"/>
          <w:sz w:val="24"/>
          <w:szCs w:val="24"/>
        </w:rPr>
        <w:t>istraživanja imaju brojna empirijska, konceptualna i metodološka ograničenja (Angwin i Meadows 2014),</w:t>
      </w:r>
    </w:p>
    <w:p w14:paraId="5EE3096B" w14:textId="77777777"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procesi su vrlo kompleksni i ovise o brojnim čimbenicima,</w:t>
      </w:r>
    </w:p>
    <w:p w14:paraId="46ED2A7B" w14:textId="3AA4141A"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strukturni i društveni kontekst međusobno su povezani i snažno utječu na proces i uspješnost integracije</w:t>
      </w:r>
      <w:r w:rsidR="00F808BE" w:rsidRPr="00BE5472">
        <w:rPr>
          <w:rFonts w:ascii="Times New Roman" w:hAnsi="Times New Roman" w:cs="Times New Roman"/>
          <w:sz w:val="24"/>
          <w:szCs w:val="24"/>
        </w:rPr>
        <w:t>,</w:t>
      </w:r>
    </w:p>
    <w:p w14:paraId="13839E02" w14:textId="77777777"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u ovoj se fazi stvara vrijednost, koncept stvaranja vrijednosti ovisi o uspješnosti menadžmenta i upravljanja u toj fazi,</w:t>
      </w:r>
    </w:p>
    <w:p w14:paraId="3B5166BA" w14:textId="040B391F" w:rsidR="006E052A" w:rsidRPr="00BE5472" w:rsidRDefault="006E052A"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stvara se vrijednost i sinergija</w:t>
      </w:r>
      <w:r w:rsidR="0013039E" w:rsidRPr="00BE5472">
        <w:rPr>
          <w:rFonts w:ascii="Times New Roman" w:hAnsi="Times New Roman" w:cs="Times New Roman"/>
          <w:sz w:val="24"/>
          <w:szCs w:val="24"/>
        </w:rPr>
        <w:t>,</w:t>
      </w:r>
      <w:r w:rsidRPr="00BE5472">
        <w:rPr>
          <w:rFonts w:ascii="Times New Roman" w:hAnsi="Times New Roman" w:cs="Times New Roman"/>
          <w:sz w:val="24"/>
          <w:szCs w:val="24"/>
        </w:rPr>
        <w:t xml:space="preserve"> no istovremeno se mora voditi briga o predanosti i motivaciji zaposlenika (</w:t>
      </w:r>
      <w:r w:rsidRPr="00BE5472">
        <w:rPr>
          <w:rFonts w:ascii="Times New Roman" w:hAnsi="Times New Roman" w:cs="Times New Roman"/>
          <w:sz w:val="24"/>
          <w:szCs w:val="24"/>
          <w:lang w:val="it-IT"/>
        </w:rPr>
        <w:t>Graebner i sur.  2017)</w:t>
      </w:r>
      <w:r w:rsidR="000F5F4D" w:rsidRPr="00BE5472">
        <w:rPr>
          <w:rFonts w:ascii="Times New Roman" w:hAnsi="Times New Roman" w:cs="Times New Roman"/>
          <w:sz w:val="24"/>
          <w:szCs w:val="24"/>
          <w:lang w:val="it-IT"/>
        </w:rPr>
        <w:t xml:space="preserve"> i </w:t>
      </w:r>
    </w:p>
    <w:p w14:paraId="3CDEC9A8" w14:textId="687FEBB4" w:rsidR="006E052A" w:rsidRPr="00BE5472" w:rsidRDefault="00717640" w:rsidP="00120B4F">
      <w:pPr>
        <w:numPr>
          <w:ilvl w:val="0"/>
          <w:numId w:val="60"/>
        </w:numPr>
        <w:spacing w:line="360" w:lineRule="auto"/>
        <w:contextualSpacing/>
        <w:jc w:val="both"/>
        <w:rPr>
          <w:rFonts w:ascii="Times New Roman" w:hAnsi="Times New Roman" w:cs="Times New Roman"/>
          <w:sz w:val="24"/>
          <w:szCs w:val="24"/>
        </w:rPr>
      </w:pPr>
      <w:r w:rsidRPr="00BE5472">
        <w:rPr>
          <w:rFonts w:ascii="Times New Roman" w:hAnsi="Times New Roman" w:cs="Times New Roman"/>
          <w:sz w:val="24"/>
          <w:szCs w:val="24"/>
        </w:rPr>
        <w:t>vječiti izazov usklađivanja „tvrdih“ (</w:t>
      </w:r>
      <w:r w:rsidRPr="00BE5472">
        <w:rPr>
          <w:rFonts w:ascii="Times New Roman" w:hAnsi="Times New Roman" w:cs="Times New Roman"/>
          <w:i/>
          <w:iCs/>
          <w:sz w:val="24"/>
          <w:szCs w:val="24"/>
        </w:rPr>
        <w:t>hard</w:t>
      </w:r>
      <w:r w:rsidRPr="00BE5472">
        <w:rPr>
          <w:rFonts w:ascii="Times New Roman" w:hAnsi="Times New Roman" w:cs="Times New Roman"/>
          <w:sz w:val="24"/>
          <w:szCs w:val="24"/>
        </w:rPr>
        <w:t>) elemenata, poput sustava i struktura, s „mekim“ (</w:t>
      </w:r>
      <w:r w:rsidRPr="00BE5472">
        <w:rPr>
          <w:rFonts w:ascii="Times New Roman" w:hAnsi="Times New Roman" w:cs="Times New Roman"/>
          <w:i/>
          <w:iCs/>
          <w:sz w:val="24"/>
          <w:szCs w:val="24"/>
        </w:rPr>
        <w:t>soft</w:t>
      </w:r>
      <w:r w:rsidRPr="00BE5472">
        <w:rPr>
          <w:rFonts w:ascii="Times New Roman" w:hAnsi="Times New Roman" w:cs="Times New Roman"/>
          <w:sz w:val="24"/>
          <w:szCs w:val="24"/>
        </w:rPr>
        <w:t xml:space="preserve">) elementima, poput kulture i ljudskih potencijala </w:t>
      </w:r>
      <w:r w:rsidR="006E052A" w:rsidRPr="00BE5472">
        <w:rPr>
          <w:rFonts w:ascii="Times New Roman" w:hAnsi="Times New Roman" w:cs="Times New Roman"/>
          <w:sz w:val="24"/>
          <w:szCs w:val="24"/>
        </w:rPr>
        <w:t xml:space="preserve">(Birkinshaw i sur. 2000; Monin i sur. 2013). </w:t>
      </w:r>
    </w:p>
    <w:p w14:paraId="49EB14F0" w14:textId="7777777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Kako bi se na neki način ublažila sva složenost problema integracije, istraživači procesa spajanja i preuzimanja predložili su različite tipove strategija u fazi integracije nakon preuzimanja, a sve s ciljem razvijanja nacrta odgovarajuće strategije integracije nakon preuzimanja i spajanja. Najpoznatiji je tip koji su razvili Haspeslagh i Jemison još 1991. Njihov okvir u obzir uzima </w:t>
      </w:r>
      <w:r w:rsidRPr="00BE5472">
        <w:rPr>
          <w:rFonts w:ascii="Times New Roman" w:hAnsi="Times New Roman" w:cs="Times New Roman"/>
          <w:sz w:val="24"/>
          <w:szCs w:val="24"/>
        </w:rPr>
        <w:lastRenderedPageBreak/>
        <w:t xml:space="preserve">strateške potreba poduzeća koja se spajaju s jedne i organizacijsku usklađenost, s druge strane. Tako se u njihovu okviru izdvajaju dvije osnovne dimenzije: </w:t>
      </w:r>
    </w:p>
    <w:p w14:paraId="5A8F0C09" w14:textId="4FA34038" w:rsidR="006E052A" w:rsidRPr="00BE5472" w:rsidRDefault="006E052A" w:rsidP="00120B4F">
      <w:pPr>
        <w:numPr>
          <w:ilvl w:val="0"/>
          <w:numId w:val="7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Strateška međuovisnost</w:t>
      </w:r>
      <w:r w:rsidRPr="00BE5472">
        <w:rPr>
          <w:rFonts w:ascii="Times New Roman" w:hAnsi="Times New Roman" w:cs="Times New Roman"/>
          <w:sz w:val="24"/>
          <w:szCs w:val="24"/>
        </w:rPr>
        <w:t xml:space="preserve"> koja opisuje kakva bi trebala biti poduzeća koja se spajaju u smislu prijenosa sposobnosti i dijeljenja resursa. To određuje hoće li se stvoriti vrijednost putem (1)</w:t>
      </w:r>
      <w:r w:rsidRPr="00BE5472">
        <w:rPr>
          <w:rFonts w:ascii="Times New Roman" w:hAnsi="Times New Roman" w:cs="Times New Roman"/>
          <w:i/>
          <w:sz w:val="24"/>
          <w:szCs w:val="24"/>
        </w:rPr>
        <w:t xml:space="preserve"> „hvatanja“ vrijednosti</w:t>
      </w:r>
      <w:r w:rsidR="00965B2C" w:rsidRPr="00BE5472">
        <w:rPr>
          <w:rFonts w:ascii="Times New Roman" w:hAnsi="Times New Roman" w:cs="Times New Roman"/>
          <w:i/>
          <w:sz w:val="24"/>
          <w:szCs w:val="24"/>
        </w:rPr>
        <w:t xml:space="preserve"> </w:t>
      </w:r>
      <w:r w:rsidRPr="00BE5472">
        <w:rPr>
          <w:rFonts w:ascii="Times New Roman" w:hAnsi="Times New Roman" w:cs="Times New Roman"/>
          <w:sz w:val="24"/>
          <w:szCs w:val="24"/>
        </w:rPr>
        <w:t xml:space="preserve"> </w:t>
      </w:r>
      <w:r w:rsidR="00965B2C"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 jednokratnog događaja povezanog s konkretnom transakcijom koja uključuje prijenos vrijednosti od prethodnih dioničara/interesnih dionika k dioničarima poduzeća preuzimatelja ili (2) </w:t>
      </w:r>
      <w:r w:rsidRPr="00BE5472">
        <w:rPr>
          <w:rFonts w:ascii="Times New Roman" w:hAnsi="Times New Roman" w:cs="Times New Roman"/>
          <w:i/>
          <w:sz w:val="24"/>
          <w:szCs w:val="24"/>
        </w:rPr>
        <w:t>stvaranja vrijednosti</w:t>
      </w:r>
      <w:r w:rsidRPr="00BE5472">
        <w:rPr>
          <w:rFonts w:ascii="Times New Roman" w:hAnsi="Times New Roman" w:cs="Times New Roman"/>
          <w:sz w:val="24"/>
          <w:szCs w:val="24"/>
        </w:rPr>
        <w:t xml:space="preserve"> </w:t>
      </w:r>
      <w:r w:rsidR="00965B2C" w:rsidRPr="00BE5472">
        <w:rPr>
          <w:rFonts w:ascii="Times New Roman" w:hAnsi="Times New Roman" w:cs="Times New Roman"/>
          <w:sz w:val="24"/>
          <w:szCs w:val="24"/>
        </w:rPr>
        <w:t xml:space="preserve"> ̶ </w:t>
      </w:r>
      <w:r w:rsidRPr="00BE5472">
        <w:rPr>
          <w:rFonts w:ascii="Times New Roman" w:hAnsi="Times New Roman" w:cs="Times New Roman"/>
          <w:sz w:val="24"/>
          <w:szCs w:val="24"/>
        </w:rPr>
        <w:t xml:space="preserve"> dugoročnog pristupa koji se temelji na aktivnostima menadžmenta i prijenosu sposobnosti između poduzeća mehanizmima dijeljenja resursa, prijenosa funkcionalnih vještina i opće sposobnosti menadžmenta i upravljanja. Takav prijenos stvara vrijednost koja ne bi postojala kada bi poduzeća djelovala odvojeno. </w:t>
      </w:r>
    </w:p>
    <w:p w14:paraId="3CCD8EBC" w14:textId="02FFFF97" w:rsidR="006E052A" w:rsidRPr="00BE5472" w:rsidRDefault="006E052A" w:rsidP="00120B4F">
      <w:pPr>
        <w:numPr>
          <w:ilvl w:val="0"/>
          <w:numId w:val="78"/>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Organizacijske autonomija</w:t>
      </w:r>
      <w:r w:rsidRPr="00BE5472">
        <w:rPr>
          <w:rFonts w:ascii="Times New Roman" w:hAnsi="Times New Roman" w:cs="Times New Roman"/>
          <w:sz w:val="24"/>
          <w:szCs w:val="24"/>
        </w:rPr>
        <w:t xml:space="preserve"> koja se odnosi na mjeru u kojoj se održava ili potpuno otpušta organizacijska kultura. Ako je granica kulture narušena gubitkom autonomije, to negativno utječe na organizacijsku kulturu</w:t>
      </w:r>
      <w:r w:rsidR="0013039E"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potvrđeno u brojnim istraživanjima još u prošlom stoljeću  (Buono i Bowditch 1989; Nahavandi i Malekzadeh 1988; Schweiger i Walsh 1990). Slijedom navedenom, potrebno je omogućiti  određenu razinu autonomije u pogledu diskrecije u procesu odlučivanja poduzeća mete (preuzetog poduzeća), posebno kada su novi i nepoznati resursi pristigli u poduzeće preuzimatelja. Dopuštanje određene razine autonomije ukazuje na spremnost poduzeća preuzimatelja da poštuje multikulturalizam (Nahavandi i Malekzadeh 1988). </w:t>
      </w:r>
    </w:p>
    <w:p w14:paraId="34E9977E" w14:textId="77777777" w:rsidR="006E052A" w:rsidRPr="00BE5472" w:rsidRDefault="006E052A" w:rsidP="006E052A">
      <w:pPr>
        <w:spacing w:line="360" w:lineRule="auto"/>
        <w:ind w:left="720"/>
        <w:contextualSpacing/>
        <w:jc w:val="both"/>
        <w:rPr>
          <w:rFonts w:ascii="Times New Roman" w:hAnsi="Times New Roman" w:cs="Times New Roman"/>
          <w:sz w:val="24"/>
          <w:szCs w:val="24"/>
        </w:rPr>
      </w:pPr>
    </w:p>
    <w:p w14:paraId="00658469" w14:textId="31FD021F"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Spajajući ove dvije dimenzije u jedan okvir spomenuti autori su razvili tri različite integracijske strategije u fazi integracije nakon preuzimanja</w:t>
      </w:r>
      <w:r w:rsidR="0013039E" w:rsidRPr="00BE5472">
        <w:rPr>
          <w:rFonts w:ascii="Times New Roman" w:hAnsi="Times New Roman" w:cs="Times New Roman"/>
          <w:sz w:val="24"/>
          <w:szCs w:val="24"/>
        </w:rPr>
        <w:t>,</w:t>
      </w:r>
      <w:r w:rsidRPr="00BE5472">
        <w:rPr>
          <w:rFonts w:ascii="Times New Roman" w:hAnsi="Times New Roman" w:cs="Times New Roman"/>
          <w:sz w:val="24"/>
          <w:szCs w:val="24"/>
        </w:rPr>
        <w:t xml:space="preserve"> i to: </w:t>
      </w:r>
    </w:p>
    <w:p w14:paraId="51955622" w14:textId="54C03A3B" w:rsidR="006E052A" w:rsidRPr="00BE5472" w:rsidRDefault="006E052A" w:rsidP="00120B4F">
      <w:pPr>
        <w:numPr>
          <w:ilvl w:val="0"/>
          <w:numId w:val="79"/>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Očuvanje</w:t>
      </w:r>
      <w:r w:rsidRPr="00BE5472">
        <w:rPr>
          <w:rFonts w:ascii="Times New Roman" w:hAnsi="Times New Roman" w:cs="Times New Roman"/>
          <w:sz w:val="24"/>
          <w:szCs w:val="24"/>
        </w:rPr>
        <w:t xml:space="preserve"> – Uključena poduzeća zahtijevaju visoku razinu autonomije i nisku stratešku međuovisnost kako bi zadržal</w:t>
      </w:r>
      <w:r w:rsidR="00747946" w:rsidRPr="00BE5472">
        <w:rPr>
          <w:rFonts w:ascii="Times New Roman" w:hAnsi="Times New Roman" w:cs="Times New Roman"/>
          <w:sz w:val="24"/>
          <w:szCs w:val="24"/>
        </w:rPr>
        <w:t>a</w:t>
      </w:r>
      <w:r w:rsidRPr="00BE5472">
        <w:rPr>
          <w:rFonts w:ascii="Times New Roman" w:hAnsi="Times New Roman" w:cs="Times New Roman"/>
          <w:sz w:val="24"/>
          <w:szCs w:val="24"/>
        </w:rPr>
        <w:t xml:space="preserve"> svoje temeljne izvore koristi.</w:t>
      </w:r>
    </w:p>
    <w:p w14:paraId="691633B6" w14:textId="6322C83F" w:rsidR="006E052A" w:rsidRPr="00BE5472" w:rsidRDefault="006E052A" w:rsidP="00120B4F">
      <w:pPr>
        <w:numPr>
          <w:ilvl w:val="0"/>
          <w:numId w:val="79"/>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Apsorpcija</w:t>
      </w:r>
      <w:r w:rsidRPr="00BE5472">
        <w:rPr>
          <w:rFonts w:ascii="Times New Roman" w:hAnsi="Times New Roman" w:cs="Times New Roman"/>
          <w:sz w:val="24"/>
          <w:szCs w:val="24"/>
        </w:rPr>
        <w:t xml:space="preserve"> – Uključena poduzeća zahtijevaju nisku razinu autonomije i visoku razinu strateške međuovisnosti. Granice </w:t>
      </w:r>
      <w:r w:rsidR="0013039E" w:rsidRPr="00BE5472">
        <w:rPr>
          <w:rFonts w:ascii="Times New Roman" w:hAnsi="Times New Roman" w:cs="Times New Roman"/>
          <w:sz w:val="24"/>
          <w:szCs w:val="24"/>
        </w:rPr>
        <w:t xml:space="preserve">su </w:t>
      </w:r>
      <w:r w:rsidRPr="00BE5472">
        <w:rPr>
          <w:rFonts w:ascii="Times New Roman" w:hAnsi="Times New Roman" w:cs="Times New Roman"/>
          <w:sz w:val="24"/>
          <w:szCs w:val="24"/>
        </w:rPr>
        <w:t xml:space="preserve">između poduzeća otvorene, operacije, organizacija i organizacijska kultura potpuno </w:t>
      </w:r>
      <w:r w:rsidR="0013039E" w:rsidRPr="00BE5472">
        <w:rPr>
          <w:rFonts w:ascii="Times New Roman" w:hAnsi="Times New Roman" w:cs="Times New Roman"/>
          <w:sz w:val="24"/>
          <w:szCs w:val="24"/>
        </w:rPr>
        <w:t xml:space="preserve">su </w:t>
      </w:r>
      <w:r w:rsidRPr="00BE5472">
        <w:rPr>
          <w:rFonts w:ascii="Times New Roman" w:hAnsi="Times New Roman" w:cs="Times New Roman"/>
          <w:sz w:val="24"/>
          <w:szCs w:val="24"/>
        </w:rPr>
        <w:t>konsolidirani u matičnom poduzeću.</w:t>
      </w:r>
    </w:p>
    <w:p w14:paraId="13CAC1C9" w14:textId="77777777" w:rsidR="006E052A" w:rsidRPr="00BE5472" w:rsidRDefault="006E052A" w:rsidP="00120B4F">
      <w:pPr>
        <w:numPr>
          <w:ilvl w:val="0"/>
          <w:numId w:val="79"/>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Simbioza</w:t>
      </w:r>
      <w:r w:rsidRPr="00BE5472">
        <w:rPr>
          <w:rFonts w:ascii="Times New Roman" w:hAnsi="Times New Roman" w:cs="Times New Roman"/>
          <w:sz w:val="24"/>
          <w:szCs w:val="24"/>
        </w:rPr>
        <w:t xml:space="preserve"> – Uključena poduzeća zahtijevaju i visoku stratešku međuovisnost i visoku organizacijsku autonomiju kako bi mogla koegzistirati. Granice gotovo nestaju.</w:t>
      </w:r>
    </w:p>
    <w:p w14:paraId="6478E860" w14:textId="77777777" w:rsidR="006E052A" w:rsidRPr="00BE5472" w:rsidRDefault="006E052A" w:rsidP="006E052A">
      <w:pPr>
        <w:spacing w:line="360" w:lineRule="auto"/>
        <w:jc w:val="both"/>
        <w:rPr>
          <w:rFonts w:ascii="Times New Roman" w:hAnsi="Times New Roman" w:cs="Times New Roman"/>
          <w:sz w:val="24"/>
          <w:szCs w:val="24"/>
        </w:rPr>
      </w:pPr>
    </w:p>
    <w:p w14:paraId="40390EFA" w14:textId="47F6011B"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Postoje i druge inicijative u istom smjeru i s istim početnim ciljem. Siehleov i Smithov (1991) pogled je vrlo zanimljiv pa tako, </w:t>
      </w:r>
      <w:r w:rsidR="00965B2C" w:rsidRPr="00BE5472">
        <w:rPr>
          <w:rFonts w:ascii="Times New Roman" w:hAnsi="Times New Roman" w:cs="Times New Roman"/>
          <w:sz w:val="24"/>
          <w:szCs w:val="24"/>
        </w:rPr>
        <w:t xml:space="preserve">na </w:t>
      </w:r>
      <w:r w:rsidRPr="00BE5472">
        <w:rPr>
          <w:rFonts w:ascii="Times New Roman" w:hAnsi="Times New Roman" w:cs="Times New Roman"/>
          <w:sz w:val="24"/>
          <w:szCs w:val="24"/>
        </w:rPr>
        <w:t>temelj</w:t>
      </w:r>
      <w:r w:rsidR="00965B2C" w:rsidRPr="00BE5472">
        <w:rPr>
          <w:rFonts w:ascii="Times New Roman" w:hAnsi="Times New Roman" w:cs="Times New Roman"/>
          <w:sz w:val="24"/>
          <w:szCs w:val="24"/>
        </w:rPr>
        <w:t>u</w:t>
      </w:r>
      <w:r w:rsidRPr="00BE5472">
        <w:rPr>
          <w:rFonts w:ascii="Times New Roman" w:hAnsi="Times New Roman" w:cs="Times New Roman"/>
          <w:sz w:val="24"/>
          <w:szCs w:val="24"/>
        </w:rPr>
        <w:t xml:space="preserve"> svoga istraživanja, oni izdvajaju sljedeće stilove: </w:t>
      </w:r>
    </w:p>
    <w:p w14:paraId="68005DD1" w14:textId="77777777" w:rsidR="006E052A" w:rsidRPr="00BE5472" w:rsidRDefault="006E052A" w:rsidP="00120B4F">
      <w:pPr>
        <w:numPr>
          <w:ilvl w:val="0"/>
          <w:numId w:val="83"/>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Rasplinjavanje imovine</w:t>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Pillage and Plunder</w:t>
      </w:r>
      <w:r w:rsidRPr="00BE5472">
        <w:rPr>
          <w:rFonts w:ascii="Times New Roman" w:hAnsi="Times New Roman" w:cs="Times New Roman"/>
          <w:sz w:val="24"/>
          <w:szCs w:val="24"/>
        </w:rPr>
        <w:t>) – Preuzeto se poduzeće raspada, a vrijedni su resursi očuvani.</w:t>
      </w:r>
    </w:p>
    <w:p w14:paraId="711C0253" w14:textId="5AFA2DF7" w:rsidR="006E052A" w:rsidRPr="00BE5472" w:rsidRDefault="006E052A" w:rsidP="00120B4F">
      <w:pPr>
        <w:numPr>
          <w:ilvl w:val="0"/>
          <w:numId w:val="83"/>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Jednonoćna avantura</w:t>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One Night Stand</w:t>
      </w:r>
      <w:r w:rsidRPr="00BE5472">
        <w:rPr>
          <w:rFonts w:ascii="Times New Roman" w:hAnsi="Times New Roman" w:cs="Times New Roman"/>
          <w:sz w:val="24"/>
          <w:szCs w:val="24"/>
        </w:rPr>
        <w:t>) -</w:t>
      </w:r>
      <w:r w:rsidR="00881178" w:rsidRPr="00BE5472">
        <w:rPr>
          <w:rFonts w:ascii="Times New Roman" w:hAnsi="Times New Roman" w:cs="Times New Roman"/>
          <w:sz w:val="24"/>
          <w:szCs w:val="24"/>
        </w:rPr>
        <w:t xml:space="preserve"> </w:t>
      </w:r>
      <w:r w:rsidRPr="00BE5472">
        <w:rPr>
          <w:rFonts w:ascii="Times New Roman" w:hAnsi="Times New Roman" w:cs="Times New Roman"/>
          <w:sz w:val="24"/>
          <w:szCs w:val="24"/>
        </w:rPr>
        <w:t>intenzivna financijska, ali zapravo vrlo površna veza između uključenih poduzeća s minimalnom integracijom.</w:t>
      </w:r>
    </w:p>
    <w:p w14:paraId="5A921D77" w14:textId="416282F6" w:rsidR="006E052A" w:rsidRPr="00BE5472" w:rsidRDefault="006E052A" w:rsidP="00120B4F">
      <w:pPr>
        <w:numPr>
          <w:ilvl w:val="0"/>
          <w:numId w:val="83"/>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Zaljubljivanje/Prijatelji</w:t>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Courtship/Just Friends</w:t>
      </w:r>
      <w:r w:rsidRPr="00BE5472">
        <w:rPr>
          <w:rFonts w:ascii="Times New Roman" w:hAnsi="Times New Roman" w:cs="Times New Roman"/>
          <w:sz w:val="24"/>
          <w:szCs w:val="24"/>
        </w:rPr>
        <w:t>) – Preuzeto poduzeće ostaje neovisno i  postiže se stabilnost odnosa unutar poduzeća te se zadržavaju operativne i kulturološke razlike između poduzeća.</w:t>
      </w:r>
    </w:p>
    <w:p w14:paraId="32814D0D" w14:textId="77777777" w:rsidR="006E052A" w:rsidRPr="00BE5472" w:rsidRDefault="006E052A" w:rsidP="00120B4F">
      <w:pPr>
        <w:numPr>
          <w:ilvl w:val="0"/>
          <w:numId w:val="83"/>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Ljubav i brak</w:t>
      </w:r>
      <w:r w:rsidRPr="00BE5472">
        <w:rPr>
          <w:rFonts w:ascii="Times New Roman" w:hAnsi="Times New Roman" w:cs="Times New Roman"/>
          <w:sz w:val="24"/>
          <w:szCs w:val="24"/>
        </w:rPr>
        <w:t xml:space="preserve"> (eng. </w:t>
      </w:r>
      <w:r w:rsidRPr="00BE5472">
        <w:rPr>
          <w:rFonts w:ascii="Times New Roman" w:hAnsi="Times New Roman" w:cs="Times New Roman"/>
          <w:i/>
          <w:sz w:val="24"/>
          <w:szCs w:val="24"/>
        </w:rPr>
        <w:t>Love and Marriage</w:t>
      </w:r>
      <w:r w:rsidRPr="00BE5472">
        <w:rPr>
          <w:rFonts w:ascii="Times New Roman" w:hAnsi="Times New Roman" w:cs="Times New Roman"/>
          <w:sz w:val="24"/>
          <w:szCs w:val="24"/>
        </w:rPr>
        <w:t xml:space="preserve">) - Potpuna organizacijska integracija oba uključena poduzeća kako bi se stvorio jači organizacijski entitet. </w:t>
      </w:r>
    </w:p>
    <w:p w14:paraId="2575B800" w14:textId="77777777" w:rsidR="006E052A" w:rsidRPr="00BE5472" w:rsidRDefault="006E052A" w:rsidP="006E052A">
      <w:pPr>
        <w:spacing w:line="360" w:lineRule="auto"/>
        <w:jc w:val="both"/>
        <w:rPr>
          <w:rFonts w:ascii="Times New Roman" w:hAnsi="Times New Roman" w:cs="Times New Roman"/>
          <w:sz w:val="24"/>
          <w:szCs w:val="24"/>
        </w:rPr>
      </w:pPr>
    </w:p>
    <w:p w14:paraId="3020AE65" w14:textId="57240763"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sz w:val="24"/>
          <w:szCs w:val="24"/>
        </w:rPr>
        <w:t>Gore navedeni i opisani stilovi i strategije u fazi integracije nakon preuzimanja ukazuju na nepostojanje konsenzusa oko razgraničenja svih mogućih nijansi stilova integracije nakon preuzimanja s jedne strane i postojanje sličnih obrazaca mogućih integracijskih stilova koji se minimalno razlikuju (nazivljem, nekim od karakteristika integracije) od istraživača do istraživača. Nadalje, s obzirom</w:t>
      </w:r>
      <w:r w:rsidR="0013039E" w:rsidRPr="00BE5472">
        <w:rPr>
          <w:rFonts w:ascii="Times New Roman" w:hAnsi="Times New Roman" w:cs="Times New Roman"/>
          <w:sz w:val="24"/>
          <w:szCs w:val="24"/>
        </w:rPr>
        <w:t xml:space="preserve"> na to</w:t>
      </w:r>
      <w:r w:rsidRPr="00BE5472">
        <w:rPr>
          <w:rFonts w:ascii="Times New Roman" w:hAnsi="Times New Roman" w:cs="Times New Roman"/>
          <w:sz w:val="24"/>
          <w:szCs w:val="24"/>
        </w:rPr>
        <w:t xml:space="preserve"> da većina istraživača ističe manjkavosti vlastitih istraživanja i ukazuje na mogućnosti razabiranja novih stilova integracije poštujući specifičnosti industrije, preuzimatelja, vremenskog okvira, veličine uzorka i sl.</w:t>
      </w:r>
      <w:r w:rsidR="00965B2C" w:rsidRPr="00BE5472">
        <w:rPr>
          <w:rFonts w:ascii="Times New Roman" w:hAnsi="Times New Roman" w:cs="Times New Roman"/>
          <w:sz w:val="24"/>
          <w:szCs w:val="24"/>
        </w:rPr>
        <w:t>,</w:t>
      </w:r>
      <w:r w:rsidRPr="00BE5472">
        <w:rPr>
          <w:rFonts w:ascii="Times New Roman" w:hAnsi="Times New Roman" w:cs="Times New Roman"/>
          <w:sz w:val="24"/>
          <w:szCs w:val="24"/>
        </w:rPr>
        <w:t xml:space="preserve"> otvaraju se mogućnosti za razradu dodatnih stilova, odnosno tipova strategija u fazi integracije nakon preuzimanja. Upravo je navedeno ponukalo </w:t>
      </w:r>
      <w:bookmarkStart w:id="146" w:name="_Hlk159839539"/>
      <w:r w:rsidRPr="00BE5472">
        <w:rPr>
          <w:rFonts w:ascii="Times New Roman" w:hAnsi="Times New Roman" w:cs="Times New Roman"/>
          <w:sz w:val="24"/>
          <w:szCs w:val="24"/>
        </w:rPr>
        <w:t xml:space="preserve">Angwina i Meadowsa </w:t>
      </w:r>
      <w:bookmarkEnd w:id="146"/>
      <w:r w:rsidRPr="00BE5472">
        <w:rPr>
          <w:rFonts w:ascii="Times New Roman" w:hAnsi="Times New Roman" w:cs="Times New Roman"/>
          <w:sz w:val="24"/>
          <w:szCs w:val="24"/>
        </w:rPr>
        <w:t>(2014) da provedu vlastito istraživanje. Oni su odlučili testirati  najprihvatljiviji okvir koj</w:t>
      </w:r>
      <w:r w:rsidR="000D5453" w:rsidRPr="00BE5472">
        <w:rPr>
          <w:rFonts w:ascii="Times New Roman" w:hAnsi="Times New Roman" w:cs="Times New Roman"/>
          <w:sz w:val="24"/>
          <w:szCs w:val="24"/>
        </w:rPr>
        <w:t>i</w:t>
      </w:r>
      <w:r w:rsidRPr="00BE5472">
        <w:rPr>
          <w:rFonts w:ascii="Times New Roman" w:hAnsi="Times New Roman" w:cs="Times New Roman"/>
          <w:sz w:val="24"/>
          <w:szCs w:val="24"/>
        </w:rPr>
        <w:t xml:space="preserve"> su razvili Haspeslagh i Jemison (1991). Vlastitu argumentaciju takve odluke pronalaze u činjenicama da: (1) </w:t>
      </w:r>
      <w:r w:rsidR="00881178" w:rsidRPr="00BE5472">
        <w:rPr>
          <w:rFonts w:ascii="Times New Roman" w:hAnsi="Times New Roman" w:cs="Times New Roman"/>
          <w:sz w:val="24"/>
          <w:szCs w:val="24"/>
        </w:rPr>
        <w:t>S</w:t>
      </w:r>
      <w:r w:rsidRPr="00BE5472">
        <w:rPr>
          <w:rFonts w:ascii="Times New Roman" w:hAnsi="Times New Roman" w:cs="Times New Roman"/>
          <w:sz w:val="24"/>
          <w:szCs w:val="24"/>
        </w:rPr>
        <w:t>vaka sljedeća inicijativa i rezultati istraživanja istraživača koji su se ovom tematikom bavili nakon 1991. godine zapravo ponovno potvrđuje postojanje njihova</w:t>
      </w:r>
      <w:r w:rsidR="00881178" w:rsidRPr="00BE5472">
        <w:rPr>
          <w:rFonts w:ascii="Times New Roman" w:hAnsi="Times New Roman" w:cs="Times New Roman"/>
          <w:sz w:val="24"/>
          <w:szCs w:val="24"/>
        </w:rPr>
        <w:t xml:space="preserve"> tri</w:t>
      </w:r>
      <w:r w:rsidRPr="00BE5472">
        <w:rPr>
          <w:rFonts w:ascii="Times New Roman" w:hAnsi="Times New Roman" w:cs="Times New Roman"/>
          <w:sz w:val="24"/>
          <w:szCs w:val="24"/>
        </w:rPr>
        <w:t xml:space="preserve"> temeljna</w:t>
      </w:r>
      <w:r w:rsidR="00881178" w:rsidRPr="00BE5472">
        <w:rPr>
          <w:rFonts w:ascii="Times New Roman" w:hAnsi="Times New Roman" w:cs="Times New Roman"/>
          <w:sz w:val="24"/>
          <w:szCs w:val="24"/>
        </w:rPr>
        <w:t xml:space="preserve"> </w:t>
      </w:r>
      <w:r w:rsidRPr="00BE5472">
        <w:rPr>
          <w:rFonts w:ascii="Times New Roman" w:hAnsi="Times New Roman" w:cs="Times New Roman"/>
          <w:sz w:val="24"/>
          <w:szCs w:val="24"/>
        </w:rPr>
        <w:t>izdvojena stila, uz dodatno predlaganje novog stila, koji je rezultirao provođenjem novih istraživanja na odabranom uzorku poduzeća. (2) No, taj novi stil koji proizlazi iz nekih novih istraživanja provedenih nakon 1991.  godine je zapravo i stil koj</w:t>
      </w:r>
      <w:r w:rsidR="000D5453" w:rsidRPr="00BE5472">
        <w:rPr>
          <w:rFonts w:ascii="Times New Roman" w:hAnsi="Times New Roman" w:cs="Times New Roman"/>
          <w:sz w:val="24"/>
          <w:szCs w:val="24"/>
        </w:rPr>
        <w:t>i</w:t>
      </w:r>
      <w:r w:rsidRPr="00BE5472">
        <w:rPr>
          <w:rFonts w:ascii="Times New Roman" w:hAnsi="Times New Roman" w:cs="Times New Roman"/>
          <w:sz w:val="24"/>
          <w:szCs w:val="24"/>
        </w:rPr>
        <w:t xml:space="preserve"> su Haspeslagh i Jemison razaznali i u svojem istraživanju, ali su ga nazvali tzv. „Holding stilom“ i nisu ga pretjerano opisivali.  </w:t>
      </w:r>
      <w:r w:rsidRPr="00BE5472">
        <w:rPr>
          <w:rFonts w:ascii="Times New Roman" w:hAnsi="Times New Roman" w:cs="Times New Roman"/>
          <w:bCs/>
          <w:sz w:val="24"/>
          <w:szCs w:val="24"/>
        </w:rPr>
        <w:t xml:space="preserve">Tako su autori Angwina i Meadowsa odabrali svoj uzorak. Podaci za analizu </w:t>
      </w:r>
      <w:r w:rsidRPr="00BE5472">
        <w:rPr>
          <w:rFonts w:ascii="Times New Roman" w:hAnsi="Times New Roman" w:cs="Times New Roman"/>
          <w:bCs/>
          <w:sz w:val="24"/>
          <w:szCs w:val="24"/>
        </w:rPr>
        <w:lastRenderedPageBreak/>
        <w:t>strategija integracije nakon preuzimanja prikupljeni su na uzorku poduzeća iz Velike Britanije, tržišta koje se može smatrati jednim od najaktivnijih u području spajanja i preuzimanja izvan SAD-a. Godine 2011., Velika Britanija je imala udio od 130.554 milijuna američkih dolara i 1.779 transakcija, čime je zauzela drugo mjesto iza SAD-a (874.753 milijuna američkih dolara i 9.759 transakcija).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 xml:space="preserve">Autori su izradili popis svih </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korporativnih</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preuzimanja koja su se dogodila tijekom tri godine u Velikoj Britaniji temeljeno na </w:t>
      </w:r>
      <w:r w:rsidRPr="00BE5472">
        <w:rPr>
          <w:rFonts w:ascii="Times New Roman" w:hAnsi="Times New Roman" w:cs="Times New Roman"/>
          <w:bCs/>
          <w:i/>
          <w:iCs/>
          <w:sz w:val="24"/>
          <w:szCs w:val="24"/>
        </w:rPr>
        <w:t xml:space="preserve">Thomson Reuters </w:t>
      </w:r>
      <w:r w:rsidRPr="00BE5472">
        <w:rPr>
          <w:rFonts w:ascii="Times New Roman" w:hAnsi="Times New Roman" w:cs="Times New Roman"/>
          <w:bCs/>
          <w:sz w:val="24"/>
          <w:szCs w:val="24"/>
        </w:rPr>
        <w:t>bazi podataka.</w:t>
      </w:r>
      <w:r w:rsidRPr="00BE5472">
        <w:rPr>
          <w:rFonts w:ascii="Times New Roman" w:hAnsi="Times New Roman" w:cs="Times New Roman"/>
          <w:sz w:val="24"/>
          <w:szCs w:val="24"/>
        </w:rPr>
        <w:t xml:space="preserve"> </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Korporativna preuzimanja u Velikoj Britaniji</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definiraju se kao </w:t>
      </w:r>
      <w:r w:rsidRPr="00BE5472">
        <w:rPr>
          <w:rFonts w:ascii="Times New Roman" w:hAnsi="Times New Roman" w:cs="Times New Roman"/>
          <w:bCs/>
          <w:i/>
          <w:sz w:val="24"/>
          <w:szCs w:val="24"/>
        </w:rPr>
        <w:t>preuzimanja kompletnih britanskih poduzeća od strane drugih britanskih poduzeća</w:t>
      </w:r>
      <w:r w:rsidRPr="00BE5472">
        <w:rPr>
          <w:rFonts w:ascii="Times New Roman" w:hAnsi="Times New Roman" w:cs="Times New Roman"/>
          <w:bCs/>
          <w:sz w:val="24"/>
          <w:szCs w:val="24"/>
        </w:rPr>
        <w:t xml:space="preserve">. Ova razlika </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kompletnih poduzeća</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koristi se kako bi se obuhvatila puna paleta mogućih organizacijskih promjena nakon preuzimanja. Nisu postavljeni kriteriji za stratešku prirodu spajanja i preuzimanja, poput </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povezanih</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transakcija, jer je svrha bila obuhvatiti širinu svih vrsta spajanja i preuzimanja. Da bi bila uključena, poduzeća su morala realizirati transakcije vrijedne više od </w:t>
      </w:r>
      <w:r w:rsidR="000D5453" w:rsidRPr="00BE5472">
        <w:rPr>
          <w:rFonts w:ascii="Times New Roman" w:hAnsi="Times New Roman" w:cs="Times New Roman"/>
          <w:bCs/>
          <w:sz w:val="24"/>
          <w:szCs w:val="24"/>
        </w:rPr>
        <w:t>osam</w:t>
      </w:r>
      <w:r w:rsidRPr="00BE5472">
        <w:rPr>
          <w:rFonts w:ascii="Times New Roman" w:hAnsi="Times New Roman" w:cs="Times New Roman"/>
          <w:bCs/>
          <w:sz w:val="24"/>
          <w:szCs w:val="24"/>
        </w:rPr>
        <w:t xml:space="preserve"> milijuna </w:t>
      </w:r>
      <w:r w:rsidR="004A4C47" w:rsidRPr="00BE5472">
        <w:rPr>
          <w:rFonts w:ascii="Times New Roman" w:hAnsi="Times New Roman" w:cs="Times New Roman"/>
          <w:bCs/>
          <w:sz w:val="24"/>
          <w:szCs w:val="24"/>
        </w:rPr>
        <w:t xml:space="preserve">funti </w:t>
      </w:r>
      <w:r w:rsidRPr="00BE5472">
        <w:rPr>
          <w:rFonts w:ascii="Times New Roman" w:hAnsi="Times New Roman" w:cs="Times New Roman"/>
          <w:bCs/>
          <w:sz w:val="24"/>
          <w:szCs w:val="24"/>
        </w:rPr>
        <w:t>(</w:t>
      </w:r>
      <w:r w:rsidR="000D5453" w:rsidRPr="00BE5472">
        <w:rPr>
          <w:rFonts w:ascii="Times New Roman" w:hAnsi="Times New Roman" w:cs="Times New Roman"/>
          <w:bCs/>
          <w:sz w:val="24"/>
          <w:szCs w:val="24"/>
        </w:rPr>
        <w:t>deset</w:t>
      </w:r>
      <w:r w:rsidRPr="00BE5472">
        <w:rPr>
          <w:rFonts w:ascii="Times New Roman" w:hAnsi="Times New Roman" w:cs="Times New Roman"/>
          <w:bCs/>
          <w:sz w:val="24"/>
          <w:szCs w:val="24"/>
        </w:rPr>
        <w:t xml:space="preserve"> milijuna američkih dolara).</w:t>
      </w:r>
      <w:r w:rsidRPr="00BE5472">
        <w:rPr>
          <w:rFonts w:ascii="Times New Roman" w:hAnsi="Times New Roman" w:cs="Times New Roman"/>
          <w:sz w:val="24"/>
          <w:szCs w:val="24"/>
        </w:rPr>
        <w:t xml:space="preserve"> Kreirali su anketni upitnik (</w:t>
      </w:r>
      <w:r w:rsidR="00965B2C" w:rsidRPr="00BE5472">
        <w:rPr>
          <w:rFonts w:ascii="Times New Roman" w:hAnsi="Times New Roman" w:cs="Times New Roman"/>
          <w:sz w:val="24"/>
          <w:szCs w:val="24"/>
        </w:rPr>
        <w:t>tri</w:t>
      </w:r>
      <w:r w:rsidRPr="00BE5472">
        <w:rPr>
          <w:rFonts w:ascii="Times New Roman" w:hAnsi="Times New Roman" w:cs="Times New Roman"/>
          <w:sz w:val="24"/>
          <w:szCs w:val="24"/>
        </w:rPr>
        <w:t xml:space="preserve"> sekcije) i proveli klastersku analizu. </w:t>
      </w:r>
      <w:r w:rsidRPr="00BE5472">
        <w:rPr>
          <w:rFonts w:ascii="Times New Roman" w:hAnsi="Times New Roman" w:cs="Times New Roman"/>
          <w:bCs/>
          <w:sz w:val="24"/>
          <w:szCs w:val="24"/>
        </w:rPr>
        <w:t xml:space="preserve">Istraživanjem su identificirali pet različitih strategija integracije nakon preuzimanja korištenjem nekoliko tehnika klasteriranja. Tri integracijske strategije potvrđuju postojeće stilove identificirane u vodećoj tipologiji strategija integracije nakon preuzimanja (Haspeslagh i Jemison 1991), dok su još dvije strategije identificirane kao dodatne. One su: </w:t>
      </w:r>
    </w:p>
    <w:p w14:paraId="70CF1CB9" w14:textId="77777777" w:rsidR="006E052A" w:rsidRPr="00BE5472" w:rsidRDefault="006E052A" w:rsidP="00120B4F">
      <w:pPr>
        <w:numPr>
          <w:ilvl w:val="0"/>
          <w:numId w:val="82"/>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Intenzivna njega</w:t>
      </w:r>
      <w:r w:rsidRPr="00BE5472">
        <w:rPr>
          <w:rFonts w:ascii="Times New Roman" w:hAnsi="Times New Roman" w:cs="Times New Roman"/>
          <w:bCs/>
          <w:sz w:val="24"/>
          <w:szCs w:val="24"/>
        </w:rPr>
        <w:t xml:space="preserve"> (eng. </w:t>
      </w:r>
      <w:r w:rsidRPr="00BE5472">
        <w:rPr>
          <w:rFonts w:ascii="Times New Roman" w:hAnsi="Times New Roman" w:cs="Times New Roman"/>
          <w:bCs/>
          <w:i/>
          <w:sz w:val="24"/>
          <w:szCs w:val="24"/>
        </w:rPr>
        <w:t>Intensive Care</w:t>
      </w:r>
      <w:r w:rsidRPr="00BE5472">
        <w:rPr>
          <w:rFonts w:ascii="Times New Roman" w:hAnsi="Times New Roman" w:cs="Times New Roman"/>
          <w:bCs/>
          <w:sz w:val="24"/>
          <w:szCs w:val="24"/>
        </w:rPr>
        <w:t>) - U ovoj strategiji integracije preuzimatelj je visoko direktivan u pogledu toga kako bi se preuzeto poduzeće trebalo restrukturirati. To je suprotno pasivnoj, ne-direktivnoj strategiji koju opisuje Haspeslagh i Jemisonov tzv. Holding stil. Ova preuzimanja zahtijevaju vrlo značajnu i odmah primjenjivu upotrebu visoko direktivnih uputa, kako bi se novopreuzeto poduzeće brzo vratilo u poslovanje. Ovdje je važna: brzina reakcije, striktna kontrola, velike promjene u strateškoj razini menadžmenta, racionalizacija imovine, restrukturiranje odjela, vodeći menadžeri preuzetih poduzeća osjećaju kako im se strateški horizonti srednjoročno smanjuju zbog pritiska da brzo postignu željene rezultate. i sl.</w:t>
      </w:r>
    </w:p>
    <w:p w14:paraId="548DE2B6" w14:textId="095C1DB9" w:rsidR="006E052A" w:rsidRPr="00BE5472" w:rsidRDefault="006E052A" w:rsidP="00120B4F">
      <w:pPr>
        <w:numPr>
          <w:ilvl w:val="0"/>
          <w:numId w:val="82"/>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i/>
          <w:sz w:val="24"/>
          <w:szCs w:val="24"/>
        </w:rPr>
        <w:t>Reorijentacija</w:t>
      </w:r>
      <w:r w:rsidRPr="00BE5472">
        <w:rPr>
          <w:rFonts w:ascii="Times New Roman" w:hAnsi="Times New Roman" w:cs="Times New Roman"/>
          <w:bCs/>
          <w:sz w:val="24"/>
          <w:szCs w:val="24"/>
        </w:rPr>
        <w:t xml:space="preserve"> (eng. </w:t>
      </w:r>
      <w:r w:rsidRPr="00BE5472">
        <w:rPr>
          <w:rFonts w:ascii="Times New Roman" w:hAnsi="Times New Roman" w:cs="Times New Roman"/>
          <w:bCs/>
          <w:i/>
          <w:sz w:val="24"/>
          <w:szCs w:val="24"/>
        </w:rPr>
        <w:t>Reorientation</w:t>
      </w:r>
      <w:r w:rsidRPr="00BE5472">
        <w:rPr>
          <w:rFonts w:ascii="Times New Roman" w:hAnsi="Times New Roman" w:cs="Times New Roman"/>
          <w:bCs/>
          <w:sz w:val="24"/>
          <w:szCs w:val="24"/>
        </w:rPr>
        <w:t>)</w:t>
      </w:r>
      <w:r w:rsidR="00595E51" w:rsidRPr="00BE5472">
        <w:rPr>
          <w:rFonts w:ascii="Times New Roman" w:hAnsi="Times New Roman" w:cs="Times New Roman"/>
          <w:bCs/>
          <w:sz w:val="24"/>
          <w:szCs w:val="24"/>
        </w:rPr>
        <w:t xml:space="preserve"> </w:t>
      </w:r>
      <w:r w:rsidRPr="00BE5472">
        <w:rPr>
          <w:rFonts w:ascii="Times New Roman" w:hAnsi="Times New Roman" w:cs="Times New Roman"/>
          <w:bCs/>
          <w:sz w:val="24"/>
          <w:szCs w:val="24"/>
        </w:rPr>
        <w:t xml:space="preserve"> </w:t>
      </w:r>
      <w:r w:rsidR="00595E51"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Značajna i karakteristična područja poduzeća namjerno ostaju neovisna, a suradnja postoji u vezi s elementima organizacije koji bi se mogli promijeniti. Postoji namjerna i brza harmonizacija administrativnih funkcija</w:t>
      </w:r>
      <w:r w:rsidR="000D5453"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kao i brza integracija funkcija marketinga i prodaje. Osnovna karakteristika ove integracijske strategije je</w:t>
      </w:r>
      <w:r w:rsidR="000D5453" w:rsidRPr="00BE5472">
        <w:rPr>
          <w:rFonts w:ascii="Times New Roman" w:hAnsi="Times New Roman" w:cs="Times New Roman"/>
          <w:bCs/>
          <w:sz w:val="24"/>
          <w:szCs w:val="24"/>
        </w:rPr>
        <w:t>st ta</w:t>
      </w:r>
      <w:r w:rsidRPr="00BE5472">
        <w:rPr>
          <w:rFonts w:ascii="Times New Roman" w:hAnsi="Times New Roman" w:cs="Times New Roman"/>
          <w:bCs/>
          <w:sz w:val="24"/>
          <w:szCs w:val="24"/>
        </w:rPr>
        <w:t xml:space="preserve"> da su poduzeća mete u dobrom financijskom stanju, dobro upravljana i </w:t>
      </w:r>
      <w:r w:rsidRPr="00BE5472">
        <w:rPr>
          <w:rFonts w:ascii="Times New Roman" w:hAnsi="Times New Roman" w:cs="Times New Roman"/>
          <w:bCs/>
          <w:sz w:val="24"/>
          <w:szCs w:val="24"/>
        </w:rPr>
        <w:lastRenderedPageBreak/>
        <w:t>imaju zaposlenike koje bi poduzeće preuzimatelj radije zadržao. Odnosi su prijateljski i namjera preuzimatelja nije restrukturiranje izvornih karakteristika poduzeća mete. Postoji harmonizacija koordinacije administrativnih sustava i funkcija poput financija, ljudskih resursa i komunikacija. Marketing i prodaja doživljavaju brzu i značajnu prilagodbu kako bi se uklopili s novim matičnim društvom, ali prilagodbe operacijama i razvoju su rijetke i ograničene. Ova preuzimanja reorijentiraju se prema vani, dok se štite ključne unutarnje karakteristike. Na ovaj način, poduzeće meta može naći svoju vanjsku orijentaciju i prilagođenu sliku u okruženju.</w:t>
      </w:r>
    </w:p>
    <w:p w14:paraId="623F438C" w14:textId="77777777" w:rsidR="006E052A" w:rsidRPr="00BE5472" w:rsidRDefault="006E052A" w:rsidP="006E052A">
      <w:pPr>
        <w:spacing w:line="360" w:lineRule="auto"/>
        <w:jc w:val="both"/>
        <w:rPr>
          <w:rFonts w:ascii="Times New Roman" w:hAnsi="Times New Roman" w:cs="Times New Roman"/>
          <w:bCs/>
          <w:sz w:val="24"/>
          <w:szCs w:val="24"/>
        </w:rPr>
      </w:pPr>
    </w:p>
    <w:p w14:paraId="5142E13E" w14:textId="26712183" w:rsidR="006E052A" w:rsidRPr="00267FDD"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Postojanje ovih dodatnih strategija dovoljno je opravdanje za identifikaciju novih tipova strategija integracije nakon preuzimanja koja prepoznaje svih pet mogućih pristupa.</w:t>
      </w:r>
      <w:r w:rsidR="00267FDD">
        <w:rPr>
          <w:rFonts w:ascii="Times New Roman" w:hAnsi="Times New Roman" w:cs="Times New Roman"/>
          <w:bCs/>
          <w:sz w:val="24"/>
          <w:szCs w:val="24"/>
        </w:rPr>
        <w:t xml:space="preserve"> </w:t>
      </w:r>
      <w:r w:rsidRPr="00BE5472">
        <w:rPr>
          <w:rFonts w:ascii="Times New Roman" w:hAnsi="Times New Roman" w:cs="Times New Roman"/>
          <w:sz w:val="24"/>
          <w:szCs w:val="24"/>
        </w:rPr>
        <w:t>Pet postintegracijskih stilova razvijenih od Angwina i Meadowsa (2014) godine da</w:t>
      </w:r>
      <w:r w:rsidR="000D5453" w:rsidRPr="00BE5472">
        <w:rPr>
          <w:rFonts w:ascii="Times New Roman" w:hAnsi="Times New Roman" w:cs="Times New Roman"/>
          <w:sz w:val="24"/>
          <w:szCs w:val="24"/>
        </w:rPr>
        <w:t>n</w:t>
      </w:r>
      <w:r w:rsidRPr="00BE5472">
        <w:rPr>
          <w:rFonts w:ascii="Times New Roman" w:hAnsi="Times New Roman" w:cs="Times New Roman"/>
          <w:sz w:val="24"/>
          <w:szCs w:val="24"/>
        </w:rPr>
        <w:t xml:space="preserve">i su na Prikazu </w:t>
      </w:r>
      <w:r w:rsidR="006B2243" w:rsidRPr="00BE5472">
        <w:rPr>
          <w:rFonts w:ascii="Times New Roman" w:hAnsi="Times New Roman" w:cs="Times New Roman"/>
          <w:sz w:val="24"/>
          <w:szCs w:val="24"/>
        </w:rPr>
        <w:t>21</w:t>
      </w:r>
      <w:r w:rsidRPr="00BE5472">
        <w:rPr>
          <w:rFonts w:ascii="Times New Roman" w:hAnsi="Times New Roman" w:cs="Times New Roman"/>
          <w:sz w:val="24"/>
          <w:szCs w:val="24"/>
        </w:rPr>
        <w:t xml:space="preserve">. </w:t>
      </w:r>
    </w:p>
    <w:p w14:paraId="060B0A2A" w14:textId="77777777" w:rsidR="00267FDD" w:rsidRDefault="00267FDD" w:rsidP="006E052A">
      <w:pPr>
        <w:spacing w:line="360" w:lineRule="auto"/>
        <w:jc w:val="both"/>
        <w:rPr>
          <w:rFonts w:ascii="Times New Roman" w:hAnsi="Times New Roman" w:cs="Times New Roman"/>
          <w:sz w:val="24"/>
          <w:szCs w:val="24"/>
        </w:rPr>
        <w:sectPr w:rsidR="00267FDD" w:rsidSect="00D03C2F">
          <w:pgSz w:w="12240" w:h="15840"/>
          <w:pgMar w:top="1440" w:right="1440" w:bottom="1440" w:left="1440" w:header="708" w:footer="708" w:gutter="0"/>
          <w:cols w:space="708"/>
          <w:docGrid w:linePitch="360"/>
        </w:sectPr>
      </w:pPr>
    </w:p>
    <w:p w14:paraId="0DC7DF58" w14:textId="2B930AAC" w:rsidR="006E052A" w:rsidRPr="00E1098E" w:rsidRDefault="00E1098E" w:rsidP="00E1098E">
      <w:pPr>
        <w:pStyle w:val="Caption"/>
        <w:rPr>
          <w:rFonts w:ascii="Times New Roman" w:hAnsi="Times New Roman" w:cs="Times New Roman"/>
          <w:sz w:val="24"/>
          <w:szCs w:val="24"/>
        </w:rPr>
      </w:pPr>
      <w:bookmarkStart w:id="147" w:name="_Toc241865289"/>
      <w:r w:rsidRPr="00E1098E">
        <w:rPr>
          <w:rFonts w:ascii="Times New Roman" w:hAnsi="Times New Roman" w:cs="Times New Roman"/>
          <w:sz w:val="24"/>
          <w:szCs w:val="24"/>
        </w:rPr>
        <w:lastRenderedPageBreak/>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21</w:t>
      </w:r>
      <w:r w:rsidRPr="00E1098E">
        <w:rPr>
          <w:rFonts w:ascii="Times New Roman" w:hAnsi="Times New Roman" w:cs="Times New Roman"/>
          <w:sz w:val="24"/>
          <w:szCs w:val="24"/>
        </w:rPr>
        <w:fldChar w:fldCharType="end"/>
      </w:r>
      <w:r w:rsidR="006E052A" w:rsidRPr="00E1098E">
        <w:rPr>
          <w:rFonts w:ascii="Times New Roman" w:hAnsi="Times New Roman" w:cs="Times New Roman"/>
          <w:sz w:val="24"/>
          <w:szCs w:val="24"/>
        </w:rPr>
        <w:t>: Pet postintegracijskih stilova razvijenih od Angwina i Meadowsa (2014)</w:t>
      </w:r>
      <w:bookmarkEnd w:id="147"/>
    </w:p>
    <w:p w14:paraId="47CFE1F3" w14:textId="77777777" w:rsidR="006E052A" w:rsidRPr="00BE5472" w:rsidRDefault="006E052A" w:rsidP="006E052A">
      <w:pPr>
        <w:spacing w:line="360" w:lineRule="auto"/>
        <w:jc w:val="both"/>
        <w:rPr>
          <w:rFonts w:ascii="Times New Roman" w:hAnsi="Times New Roman" w:cs="Times New Roman"/>
          <w:b/>
          <w:sz w:val="24"/>
          <w:szCs w:val="24"/>
        </w:rPr>
      </w:pPr>
    </w:p>
    <w:p w14:paraId="0D1BFCD9" w14:textId="77777777" w:rsidR="006E052A" w:rsidRPr="00BE5472" w:rsidRDefault="006E052A" w:rsidP="006E052A">
      <w:pPr>
        <w:spacing w:line="360" w:lineRule="auto"/>
        <w:jc w:val="both"/>
        <w:rPr>
          <w:rFonts w:ascii="Times New Roman" w:hAnsi="Times New Roman" w:cs="Times New Roman"/>
          <w:b/>
          <w:sz w:val="24"/>
          <w:szCs w:val="24"/>
        </w:rPr>
      </w:pPr>
      <w:r w:rsidRPr="00BE5472">
        <w:rPr>
          <w:rFonts w:ascii="Times New Roman" w:hAnsi="Times New Roman" w:cs="Times New Roman"/>
          <w:b/>
          <w:noProof/>
          <w:sz w:val="24"/>
          <w:szCs w:val="24"/>
          <w:lang w:eastAsia="hr-HR"/>
        </w:rPr>
        <w:drawing>
          <wp:inline distT="0" distB="0" distL="0" distR="0" wp14:anchorId="37E004E0" wp14:editId="2827D58D">
            <wp:extent cx="5477510" cy="4010660"/>
            <wp:effectExtent l="0" t="0" r="8890" b="8890"/>
            <wp:docPr id="19"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477510" cy="4010660"/>
                    </a:xfrm>
                    <a:prstGeom prst="rect">
                      <a:avLst/>
                    </a:prstGeom>
                    <a:noFill/>
                  </pic:spPr>
                </pic:pic>
              </a:graphicData>
            </a:graphic>
          </wp:inline>
        </w:drawing>
      </w:r>
    </w:p>
    <w:p w14:paraId="05BFD4F2" w14:textId="77777777" w:rsidR="006E052A" w:rsidRPr="00BE5472" w:rsidRDefault="006E052A" w:rsidP="006E052A">
      <w:pPr>
        <w:spacing w:line="360" w:lineRule="auto"/>
        <w:jc w:val="both"/>
        <w:rPr>
          <w:rFonts w:ascii="Times New Roman" w:hAnsi="Times New Roman" w:cs="Times New Roman"/>
          <w:bCs/>
          <w:sz w:val="24"/>
          <w:szCs w:val="24"/>
          <w:lang w:val="en-US"/>
        </w:rPr>
      </w:pPr>
      <w:r w:rsidRPr="00BE5472">
        <w:rPr>
          <w:rFonts w:ascii="Times New Roman" w:hAnsi="Times New Roman" w:cs="Times New Roman"/>
          <w:sz w:val="24"/>
          <w:szCs w:val="24"/>
        </w:rPr>
        <w:t xml:space="preserve">Izvor: </w:t>
      </w:r>
      <w:r w:rsidRPr="00BE5472">
        <w:rPr>
          <w:rFonts w:ascii="Times New Roman" w:hAnsi="Times New Roman" w:cs="Times New Roman"/>
          <w:bCs/>
          <w:sz w:val="24"/>
          <w:szCs w:val="24"/>
          <w:lang w:val="en-US"/>
        </w:rPr>
        <w:t xml:space="preserve">Angwin, D. N. i Meadows, M. (2015). New Integration Strategies for Post-Acquisition Management. </w:t>
      </w:r>
      <w:r w:rsidRPr="00BE5472">
        <w:rPr>
          <w:rFonts w:ascii="Times New Roman" w:hAnsi="Times New Roman" w:cs="Times New Roman"/>
          <w:bCs/>
          <w:i/>
          <w:sz w:val="24"/>
          <w:szCs w:val="24"/>
          <w:lang w:val="en-US"/>
        </w:rPr>
        <w:t>Long Range Planning,</w:t>
      </w:r>
      <w:r w:rsidRPr="00BE5472">
        <w:rPr>
          <w:rFonts w:ascii="Times New Roman" w:hAnsi="Times New Roman" w:cs="Times New Roman"/>
          <w:bCs/>
          <w:sz w:val="24"/>
          <w:szCs w:val="24"/>
          <w:lang w:val="en-US"/>
        </w:rPr>
        <w:t xml:space="preserve"> 48(4), 235 – 251, str. 14.</w:t>
      </w:r>
    </w:p>
    <w:p w14:paraId="2B58FFAA" w14:textId="5E55C525"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Larsson i Finkelstein (1999) su razvili model u kojem izdvajaju ključne </w:t>
      </w:r>
      <w:r w:rsidRPr="00BE5472">
        <w:rPr>
          <w:rFonts w:ascii="Times New Roman" w:hAnsi="Times New Roman" w:cs="Times New Roman"/>
          <w:b/>
          <w:sz w:val="24"/>
          <w:szCs w:val="24"/>
        </w:rPr>
        <w:t>pokretače integracijske uspješnosti</w:t>
      </w:r>
      <w:r w:rsidRPr="00BE5472">
        <w:rPr>
          <w:rFonts w:ascii="Times New Roman" w:hAnsi="Times New Roman" w:cs="Times New Roman"/>
          <w:sz w:val="24"/>
          <w:szCs w:val="24"/>
        </w:rPr>
        <w:t>. U modelu, potencijal kombinacije preuzimanja utječe na ostvarivanje sinergije (visoko, ako je potencijal sinergije visok), organizacijsku integraciju (duboka integracija, ako je potencijal kombinacije visok) i otpor zaposlenika (visok, ako je potencijal kombinacije visok). Integracija povećava otpor zaposlenika</w:t>
      </w:r>
      <w:r w:rsidR="000D5453" w:rsidRPr="00BE5472">
        <w:rPr>
          <w:rFonts w:ascii="Times New Roman" w:hAnsi="Times New Roman" w:cs="Times New Roman"/>
          <w:sz w:val="24"/>
          <w:szCs w:val="24"/>
        </w:rPr>
        <w:t>,</w:t>
      </w:r>
      <w:r w:rsidRPr="00BE5472">
        <w:rPr>
          <w:rFonts w:ascii="Times New Roman" w:hAnsi="Times New Roman" w:cs="Times New Roman"/>
          <w:sz w:val="24"/>
          <w:szCs w:val="24"/>
        </w:rPr>
        <w:t xml:space="preserve"> kao i ostvarivanje sinergije, a otpor zaposlenika je negativno povezan s ostvarivanjem sinergije. Bauer i Matzler (2014) smatraju da je za uspješan ishod integracije ključna strateška i kulturološka komplementarnost</w:t>
      </w:r>
      <w:r w:rsidR="000D5453" w:rsidRPr="00BE5472">
        <w:rPr>
          <w:rFonts w:ascii="Times New Roman" w:hAnsi="Times New Roman" w:cs="Times New Roman"/>
          <w:sz w:val="24"/>
          <w:szCs w:val="24"/>
        </w:rPr>
        <w:t>,</w:t>
      </w:r>
      <w:r w:rsidRPr="00BE5472">
        <w:rPr>
          <w:rFonts w:ascii="Times New Roman" w:hAnsi="Times New Roman" w:cs="Times New Roman"/>
          <w:sz w:val="24"/>
          <w:szCs w:val="24"/>
        </w:rPr>
        <w:t xml:space="preserve"> kao i brzina integracije. Prijenos sposobnosti, motivacija, kulturološke promjene i integracijski menadžment kategorije su koje su izdvojili Miczkaand i Großler (2010) i unutar njih su razradili podčimbenike. U konačnici su predložili konceptualni model s 35 pojedinačnih varijabli koje, sukladno rezultatima njihova </w:t>
      </w:r>
      <w:r w:rsidRPr="00BE5472">
        <w:rPr>
          <w:rFonts w:ascii="Times New Roman" w:hAnsi="Times New Roman" w:cs="Times New Roman"/>
          <w:sz w:val="24"/>
          <w:szCs w:val="24"/>
        </w:rPr>
        <w:lastRenderedPageBreak/>
        <w:t xml:space="preserve">istraživanja, utječu na uspješnost integracijskog procesa. Steigenberger (2016) je sebi postavio dva cilja: (1) sintetizirati razne perspektive o integraciji spajanja i preuzimanja i (2) razviti vlastiti konceptualni okvir. Bazirajući se na pregledu literature o integraciji nakon procesa spajanja i preuzimanja u razdoblju od 1986. do 2016. godine (ključne riječi koje su odabrane prilikom pretrage baza: </w:t>
      </w:r>
      <w:r w:rsidRPr="00BE5472">
        <w:rPr>
          <w:rFonts w:ascii="Times New Roman" w:hAnsi="Times New Roman" w:cs="Times New Roman"/>
          <w:i/>
          <w:sz w:val="24"/>
          <w:szCs w:val="24"/>
        </w:rPr>
        <w:t>post-merger integration</w:t>
      </w:r>
      <w:r w:rsidRPr="00BE5472">
        <w:rPr>
          <w:rFonts w:ascii="Times New Roman" w:hAnsi="Times New Roman" w:cs="Times New Roman"/>
          <w:sz w:val="24"/>
          <w:szCs w:val="24"/>
        </w:rPr>
        <w:t xml:space="preserve"> i </w:t>
      </w:r>
      <w:r w:rsidRPr="00BE5472">
        <w:rPr>
          <w:rFonts w:ascii="Times New Roman" w:hAnsi="Times New Roman" w:cs="Times New Roman"/>
          <w:i/>
          <w:sz w:val="24"/>
          <w:szCs w:val="24"/>
        </w:rPr>
        <w:t>post-acquisition integration</w:t>
      </w:r>
      <w:r w:rsidRPr="00BE5472">
        <w:rPr>
          <w:rFonts w:ascii="Times New Roman" w:hAnsi="Times New Roman" w:cs="Times New Roman"/>
          <w:sz w:val="24"/>
          <w:szCs w:val="24"/>
        </w:rPr>
        <w:t xml:space="preserve">) spomenuti je autor analizirao ukupno 193 različitih studija. Identificirao je ključne teme u istraživanju integracije nakon spajanja i preuzimanja, istaknuo važne zaključke te razvio koherentni okvir literature o integraciji u procesima spajanja i preuzimanja u kojem predstavlja kako je uspjeh integracije funkcija: (1) konteksta, (2) strukturnih i (3) komunikacijskih intervencija, koje djeluju zajedno s (4) procesima kolektivnog razumijevanja i pregovora među dionicima integracije.  </w:t>
      </w:r>
      <w:r w:rsidRPr="00BE5472">
        <w:rPr>
          <w:rFonts w:ascii="Times New Roman" w:hAnsi="Times New Roman" w:cs="Times New Roman"/>
          <w:i/>
          <w:sz w:val="24"/>
          <w:szCs w:val="24"/>
        </w:rPr>
        <w:t>Kontekst</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integracijskog projekta</w:t>
      </w:r>
      <w:r w:rsidRPr="00BE5472">
        <w:rPr>
          <w:rFonts w:ascii="Times New Roman" w:hAnsi="Times New Roman" w:cs="Times New Roman"/>
          <w:sz w:val="24"/>
          <w:szCs w:val="24"/>
        </w:rPr>
        <w:t xml:space="preserve"> predstavlja uvjete okruženja koji postoje već prije početka integracije i izravno utječu na ono što je moguće ostvariti tijekom spajanja i preuzimanja, kao i na glavne prilike i izazove koji se mogu pojaviti tijekom procesa. Kontekst također opisuje odnose snaga koji postoje između različitih dionika prije samog zaključivanja ugovora ili pak relativni status poduzeća uključenih u proces, što utječe na kolektivno razumijevanje i pregovore.</w:t>
      </w:r>
      <w:r w:rsidRPr="00BE5472">
        <w:rPr>
          <w:rFonts w:ascii="Times New Roman" w:hAnsi="Times New Roman" w:cs="Times New Roman"/>
        </w:rPr>
        <w:t xml:space="preserve"> </w:t>
      </w:r>
      <w:r w:rsidRPr="00BE5472">
        <w:rPr>
          <w:rFonts w:ascii="Times New Roman" w:hAnsi="Times New Roman" w:cs="Times New Roman"/>
          <w:i/>
          <w:sz w:val="24"/>
          <w:szCs w:val="24"/>
        </w:rPr>
        <w:t>Strukturne intervencije</w:t>
      </w:r>
      <w:r w:rsidRPr="00BE5472">
        <w:rPr>
          <w:rFonts w:ascii="Times New Roman" w:hAnsi="Times New Roman" w:cs="Times New Roman"/>
          <w:sz w:val="24"/>
          <w:szCs w:val="24"/>
        </w:rPr>
        <w:t xml:space="preserve"> su odluke menadžmenta o strukturama, procesima i sustavima koj</w:t>
      </w:r>
      <w:r w:rsidR="0078510C" w:rsidRPr="00BE5472">
        <w:rPr>
          <w:rFonts w:ascii="Times New Roman" w:hAnsi="Times New Roman" w:cs="Times New Roman"/>
          <w:sz w:val="24"/>
          <w:szCs w:val="24"/>
        </w:rPr>
        <w:t>e</w:t>
      </w:r>
      <w:r w:rsidRPr="00BE5472">
        <w:rPr>
          <w:rFonts w:ascii="Times New Roman" w:hAnsi="Times New Roman" w:cs="Times New Roman"/>
          <w:sz w:val="24"/>
          <w:szCs w:val="24"/>
        </w:rPr>
        <w:t xml:space="preserve"> postavljaju okvir za integraciju. On</w:t>
      </w:r>
      <w:r w:rsidR="0078510C" w:rsidRPr="00BE5472">
        <w:rPr>
          <w:rFonts w:ascii="Times New Roman" w:hAnsi="Times New Roman" w:cs="Times New Roman"/>
          <w:sz w:val="24"/>
          <w:szCs w:val="24"/>
        </w:rPr>
        <w:t>e</w:t>
      </w:r>
      <w:r w:rsidRPr="00BE5472">
        <w:rPr>
          <w:rFonts w:ascii="Times New Roman" w:hAnsi="Times New Roman" w:cs="Times New Roman"/>
          <w:sz w:val="24"/>
          <w:szCs w:val="24"/>
        </w:rPr>
        <w:t xml:space="preserve"> moraju odgovarati kontekstu.</w:t>
      </w:r>
      <w:r w:rsidRPr="00BE5472">
        <w:rPr>
          <w:rFonts w:ascii="Times New Roman" w:hAnsi="Times New Roman" w:cs="Times New Roman"/>
        </w:rPr>
        <w:t xml:space="preserve"> </w:t>
      </w:r>
      <w:r w:rsidRPr="00BE5472">
        <w:rPr>
          <w:rFonts w:ascii="Times New Roman" w:hAnsi="Times New Roman" w:cs="Times New Roman"/>
          <w:i/>
          <w:sz w:val="24"/>
          <w:szCs w:val="24"/>
        </w:rPr>
        <w:t xml:space="preserve">Intervencije temeljene na vodstvu i komunikaciji </w:t>
      </w:r>
      <w:r w:rsidRPr="00BE5472">
        <w:rPr>
          <w:rFonts w:ascii="Times New Roman" w:hAnsi="Times New Roman" w:cs="Times New Roman"/>
          <w:sz w:val="24"/>
          <w:szCs w:val="24"/>
        </w:rPr>
        <w:t>obuhvaćaju intervencije menadžera kojima utječu na odnos između konteksta i rezultata</w:t>
      </w:r>
      <w:r w:rsidR="0078510C" w:rsidRPr="00BE5472">
        <w:rPr>
          <w:rFonts w:ascii="Times New Roman" w:hAnsi="Times New Roman" w:cs="Times New Roman"/>
          <w:sz w:val="24"/>
          <w:szCs w:val="24"/>
        </w:rPr>
        <w:t>,</w:t>
      </w:r>
      <w:r w:rsidRPr="00BE5472">
        <w:rPr>
          <w:rFonts w:ascii="Times New Roman" w:hAnsi="Times New Roman" w:cs="Times New Roman"/>
          <w:sz w:val="24"/>
          <w:szCs w:val="24"/>
        </w:rPr>
        <w:t xml:space="preserve"> npr. upravljanje akulturacijom.</w:t>
      </w:r>
      <w:r w:rsidRPr="00BE5472">
        <w:rPr>
          <w:rFonts w:ascii="Times New Roman" w:hAnsi="Times New Roman" w:cs="Times New Roman"/>
        </w:rPr>
        <w:t xml:space="preserve"> </w:t>
      </w:r>
      <w:r w:rsidRPr="00BE5472">
        <w:rPr>
          <w:rFonts w:ascii="Times New Roman" w:hAnsi="Times New Roman" w:cs="Times New Roman"/>
          <w:sz w:val="24"/>
          <w:szCs w:val="24"/>
        </w:rPr>
        <w:t>Intervencije temeljene na vodstvu i komunikaciji također moderiraju odnos između konteksta i strukturnih intervencija.</w:t>
      </w:r>
      <w:r w:rsidRPr="00BE5472">
        <w:rPr>
          <w:rFonts w:ascii="Times New Roman" w:hAnsi="Times New Roman" w:cs="Times New Roman"/>
        </w:rPr>
        <w:t xml:space="preserve"> </w:t>
      </w:r>
      <w:r w:rsidRPr="00BE5472">
        <w:rPr>
          <w:rFonts w:ascii="Times New Roman" w:hAnsi="Times New Roman" w:cs="Times New Roman"/>
          <w:i/>
          <w:iCs/>
          <w:sz w:val="24"/>
          <w:szCs w:val="24"/>
        </w:rPr>
        <w:t xml:space="preserve">Perspektiva kolektivnog </w:t>
      </w:r>
      <w:r w:rsidR="00F31EAB" w:rsidRPr="00BE5472">
        <w:rPr>
          <w:rFonts w:ascii="Times New Roman" w:hAnsi="Times New Roman" w:cs="Times New Roman"/>
          <w:i/>
          <w:iCs/>
          <w:sz w:val="24"/>
          <w:szCs w:val="24"/>
        </w:rPr>
        <w:t>razumijevanja</w:t>
      </w:r>
      <w:r w:rsidRPr="00BE5472">
        <w:rPr>
          <w:rFonts w:ascii="Times New Roman" w:hAnsi="Times New Roman" w:cs="Times New Roman"/>
          <w:i/>
          <w:iCs/>
          <w:sz w:val="24"/>
          <w:szCs w:val="24"/>
        </w:rPr>
        <w:t xml:space="preserve"> i pregovora</w:t>
      </w:r>
      <w:r w:rsidRPr="00BE5472">
        <w:rPr>
          <w:rFonts w:ascii="Times New Roman" w:hAnsi="Times New Roman" w:cs="Times New Roman"/>
          <w:sz w:val="24"/>
          <w:szCs w:val="24"/>
        </w:rPr>
        <w:t xml:space="preserve"> implicira da </w:t>
      </w:r>
      <w:r w:rsidR="00F31EAB" w:rsidRPr="00BE5472">
        <w:rPr>
          <w:rFonts w:ascii="Times New Roman" w:hAnsi="Times New Roman" w:cs="Times New Roman"/>
          <w:sz w:val="24"/>
          <w:szCs w:val="24"/>
        </w:rPr>
        <w:t>razumijevanje</w:t>
      </w:r>
      <w:r w:rsidRPr="00BE5472">
        <w:rPr>
          <w:rFonts w:ascii="Times New Roman" w:hAnsi="Times New Roman" w:cs="Times New Roman"/>
          <w:sz w:val="24"/>
          <w:szCs w:val="24"/>
        </w:rPr>
        <w:t xml:space="preserve"> zaposlenika i pregovori između internih dionika utječu na ono što menadžment može i, u konačnici, želi učiniti u integracijskom projektu.</w:t>
      </w:r>
      <w:r w:rsidRPr="00BE5472">
        <w:rPr>
          <w:rFonts w:ascii="Times New Roman" w:hAnsi="Times New Roman" w:cs="Times New Roman"/>
        </w:rPr>
        <w:t xml:space="preserve"> S</w:t>
      </w:r>
      <w:r w:rsidRPr="00BE5472">
        <w:rPr>
          <w:rFonts w:ascii="Times New Roman" w:hAnsi="Times New Roman" w:cs="Times New Roman"/>
          <w:sz w:val="24"/>
          <w:szCs w:val="24"/>
        </w:rPr>
        <w:t xml:space="preserve">trukturne i intervencije temeljene na vodstvu, pak, utječu na </w:t>
      </w:r>
      <w:r w:rsidRPr="00BE5472">
        <w:rPr>
          <w:rFonts w:ascii="Times New Roman" w:hAnsi="Times New Roman" w:cs="Times New Roman"/>
          <w:i/>
          <w:sz w:val="24"/>
          <w:szCs w:val="24"/>
        </w:rPr>
        <w:t>procese shvaćanja i pregovora</w:t>
      </w:r>
      <w:r w:rsidRPr="00BE5472">
        <w:rPr>
          <w:rFonts w:ascii="Times New Roman" w:hAnsi="Times New Roman" w:cs="Times New Roman"/>
          <w:sz w:val="24"/>
          <w:szCs w:val="24"/>
        </w:rPr>
        <w:t>.</w:t>
      </w:r>
      <w:r w:rsidRPr="00BE5472">
        <w:rPr>
          <w:rFonts w:ascii="Times New Roman" w:hAnsi="Times New Roman" w:cs="Times New Roman"/>
        </w:rPr>
        <w:t xml:space="preserve"> </w:t>
      </w:r>
      <w:r w:rsidRPr="00BE5472">
        <w:rPr>
          <w:rFonts w:ascii="Times New Roman" w:hAnsi="Times New Roman" w:cs="Times New Roman"/>
          <w:sz w:val="24"/>
          <w:szCs w:val="24"/>
        </w:rPr>
        <w:t xml:space="preserve">Motivacija internih dionika da se uključe u proces integracije, na primjer, utječe na to koje strukturne i komunikacijske intervencije  menadžment može ili želi poduzeti,  dok aktivnosti koje menadžment poduzima kako bi oblikovao percepcije, vrijednosti i interpretacije internih dionika u organizaciji ili strukturalne odluke koje odnose na organizacijske strukture, sustave ili procese unutar poduzeća utječu na to kako zaposlenici shvaćaju, interpretiraju informacije, događaje i promjene unutar poduzeća kako bi razumjeli njihovo značenje i kako bi se prilagodili novim situacijama. Tako Steigenberger (2016: 5) zaključuje da su strukturne intervencije, intervencije temeljene na vođenju i komunikaciji, kao </w:t>
      </w:r>
      <w:r w:rsidRPr="00BE5472">
        <w:rPr>
          <w:rFonts w:ascii="Times New Roman" w:hAnsi="Times New Roman" w:cs="Times New Roman"/>
          <w:sz w:val="24"/>
          <w:szCs w:val="24"/>
        </w:rPr>
        <w:lastRenderedPageBreak/>
        <w:t>i kolektivno razumijevanje i pregovori, dio su dinamičnog procesa koji se odvija tijekom integracije.</w:t>
      </w:r>
    </w:p>
    <w:p w14:paraId="1054D5A2" w14:textId="20AB16E6"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sz w:val="24"/>
          <w:szCs w:val="24"/>
        </w:rPr>
        <w:t xml:space="preserve">Kroon i sur. (2021) smatraju da je vrlo važno prilikom procesa integracije vješto </w:t>
      </w:r>
      <w:r w:rsidRPr="00BE5472">
        <w:rPr>
          <w:rFonts w:ascii="Times New Roman" w:hAnsi="Times New Roman" w:cs="Times New Roman"/>
          <w:b/>
          <w:sz w:val="24"/>
          <w:szCs w:val="24"/>
        </w:rPr>
        <w:t>upravljati mekim i tvrdim elementima integracijskih politika</w:t>
      </w:r>
      <w:r w:rsidRPr="00BE5472">
        <w:rPr>
          <w:rFonts w:ascii="Times New Roman" w:hAnsi="Times New Roman" w:cs="Times New Roman"/>
          <w:sz w:val="24"/>
          <w:szCs w:val="24"/>
        </w:rPr>
        <w:t xml:space="preserve">. Za njih je </w:t>
      </w:r>
      <w:r w:rsidR="000D5453" w:rsidRPr="00BE5472">
        <w:rPr>
          <w:rFonts w:ascii="Times New Roman" w:hAnsi="Times New Roman" w:cs="Times New Roman"/>
          <w:i/>
          <w:iCs/>
          <w:sz w:val="24"/>
          <w:szCs w:val="24"/>
        </w:rPr>
        <w:t>„</w:t>
      </w:r>
      <w:r w:rsidRPr="00BE5472">
        <w:rPr>
          <w:rFonts w:ascii="Times New Roman" w:hAnsi="Times New Roman" w:cs="Times New Roman"/>
          <w:i/>
          <w:iCs/>
          <w:sz w:val="24"/>
          <w:szCs w:val="24"/>
        </w:rPr>
        <w:t>tvrdi</w:t>
      </w:r>
      <w:r w:rsidR="000D5453" w:rsidRPr="00BE5472">
        <w:rPr>
          <w:rFonts w:ascii="Times New Roman" w:hAnsi="Times New Roman" w:cs="Times New Roman"/>
          <w:i/>
          <w:iCs/>
          <w:sz w:val="24"/>
          <w:szCs w:val="24"/>
        </w:rPr>
        <w:t>“</w:t>
      </w:r>
      <w:r w:rsidRPr="00BE5472">
        <w:rPr>
          <w:rFonts w:ascii="Times New Roman" w:hAnsi="Times New Roman" w:cs="Times New Roman"/>
          <w:i/>
          <w:iCs/>
          <w:sz w:val="24"/>
          <w:szCs w:val="24"/>
        </w:rPr>
        <w:t xml:space="preserve"> aspekt</w:t>
      </w:r>
      <w:r w:rsidRPr="00BE5472">
        <w:rPr>
          <w:rFonts w:ascii="Times New Roman" w:hAnsi="Times New Roman" w:cs="Times New Roman"/>
          <w:sz w:val="24"/>
          <w:szCs w:val="24"/>
        </w:rPr>
        <w:t xml:space="preserve"> menadžmenta integracije nakon preuzimanja skup aktivnosti koje se poduzimaju  kako bi se ostvarile troškovne i prihodovne sinergije. Tako se zadaci mogu prenositi iz jednog poduzeća u drugo i obrnuto, a to snažno utječe na zaposlenike i njihove karijerne izglede. Poduzeće koje preuzima drugo poduzeće najčešće je ono koje će o tim stvarima odlučivati, što je logično, ali ne i isključivo jer </w:t>
      </w:r>
      <w:r w:rsidR="00F87611" w:rsidRPr="00BE5472">
        <w:rPr>
          <w:rFonts w:ascii="Times New Roman" w:hAnsi="Times New Roman" w:cs="Times New Roman"/>
          <w:sz w:val="24"/>
          <w:szCs w:val="24"/>
        </w:rPr>
        <w:t>a</w:t>
      </w:r>
      <w:r w:rsidRPr="00BE5472">
        <w:rPr>
          <w:rFonts w:ascii="Times New Roman" w:hAnsi="Times New Roman" w:cs="Times New Roman"/>
          <w:sz w:val="24"/>
          <w:szCs w:val="24"/>
        </w:rPr>
        <w:t xml:space="preserve">ko poduzeće koje se preuzima ima zaposlenike s vrlo specifičnim kompetencijama, onda i menadžeri tog poduzeća mogu dobiti vrlo važnu ulogu u procesima odlučivanja (Larsson 1990). No, valja znati da neograničena uporaba moći od strane poduzeća preuzimatelja može dovesti do percepcija dominacije i gubitka autonomije i statusa (Hambrick i Cannella 1993). To može negativno utjecati na uspješnost procesa integracije. </w:t>
      </w:r>
      <w:r w:rsidRPr="00BE5472">
        <w:rPr>
          <w:rFonts w:ascii="Times New Roman" w:hAnsi="Times New Roman" w:cs="Times New Roman"/>
          <w:i/>
          <w:iCs/>
          <w:sz w:val="24"/>
          <w:szCs w:val="24"/>
        </w:rPr>
        <w:t>„Meke“ strategije integracije</w:t>
      </w:r>
      <w:r w:rsidRPr="00BE5472">
        <w:rPr>
          <w:rFonts w:ascii="Times New Roman" w:hAnsi="Times New Roman" w:cs="Times New Roman"/>
          <w:sz w:val="24"/>
          <w:szCs w:val="24"/>
        </w:rPr>
        <w:t xml:space="preserve"> nakon preuzimanja pretpostavljaju utjecaj na stvaranje pozitivnih razmišljanja i stavova zaposlenika koji su izravno uključeni u proces integracije dvaju poduzeća. To bi značilo razvoj formalnih programa rotacije zaposlenika, obogaćivanja posla, načina obavljanja posla, mjesta obavljanja posla i sl. S obzirom </w:t>
      </w:r>
      <w:r w:rsidR="000D5453" w:rsidRPr="00BE5472">
        <w:rPr>
          <w:rFonts w:ascii="Times New Roman" w:hAnsi="Times New Roman" w:cs="Times New Roman"/>
          <w:sz w:val="24"/>
          <w:szCs w:val="24"/>
        </w:rPr>
        <w:t xml:space="preserve">na to </w:t>
      </w:r>
      <w:r w:rsidRPr="00BE5472">
        <w:rPr>
          <w:rFonts w:ascii="Times New Roman" w:hAnsi="Times New Roman" w:cs="Times New Roman"/>
          <w:sz w:val="24"/>
          <w:szCs w:val="24"/>
        </w:rPr>
        <w:t xml:space="preserve">da su Kroon i sur. (2021) utvrdili da postoji potreba za ispitivanjem kako se „tvrdi“ i „meki“ pristupi mogu kombinirati u fazi integraciji nakon preuzimanja, </w:t>
      </w:r>
      <w:r w:rsidRPr="00BE5472">
        <w:rPr>
          <w:rFonts w:ascii="Times New Roman" w:hAnsi="Times New Roman" w:cs="Times New Roman"/>
          <w:bCs/>
          <w:sz w:val="24"/>
          <w:szCs w:val="24"/>
        </w:rPr>
        <w:t xml:space="preserve">pridonijeli su empirijskoj i teorijskoj jasnoći ovih pitanja provođenjem induktivne longitudinalne studije o preuzimanju </w:t>
      </w:r>
      <w:r w:rsidRPr="00BE5472">
        <w:rPr>
          <w:rFonts w:ascii="Times New Roman" w:hAnsi="Times New Roman" w:cs="Times New Roman"/>
          <w:bCs/>
          <w:i/>
          <w:iCs/>
          <w:sz w:val="24"/>
          <w:szCs w:val="24"/>
        </w:rPr>
        <w:t>KLM</w:t>
      </w:r>
      <w:r w:rsidRPr="00BE5472">
        <w:rPr>
          <w:rFonts w:ascii="Times New Roman" w:hAnsi="Times New Roman" w:cs="Times New Roman"/>
          <w:bCs/>
          <w:sz w:val="24"/>
          <w:szCs w:val="24"/>
        </w:rPr>
        <w:t xml:space="preserve">-a od strane </w:t>
      </w:r>
      <w:r w:rsidRPr="00BE5472">
        <w:rPr>
          <w:rFonts w:ascii="Times New Roman" w:hAnsi="Times New Roman" w:cs="Times New Roman"/>
          <w:bCs/>
          <w:i/>
          <w:iCs/>
          <w:sz w:val="24"/>
          <w:szCs w:val="24"/>
        </w:rPr>
        <w:t>Air</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Francea</w:t>
      </w:r>
      <w:r w:rsidRPr="00BE5472">
        <w:rPr>
          <w:rFonts w:ascii="Times New Roman" w:hAnsi="Times New Roman" w:cs="Times New Roman"/>
          <w:bCs/>
          <w:sz w:val="24"/>
          <w:szCs w:val="24"/>
        </w:rPr>
        <w:t xml:space="preserve">. Njihova studija slučaja obuhvaća razdoblje od gotovo četiri godine tijekom kojeg su proveli preko 300 intervjua u preuzetom poduzeću. Rezultati njihova istraživanja sugeriraju da za uspješnu integraciju, u kojoj se stvara sinergija i zadovoljstvo zaposlenika, menadžeri moraju primijeniti kombinaciju elemenata „tvrdih“ i „mekih“ pristupa te uskladiti tu kombinaciju s zahtjevima planiranog integracijskog procesa. Autori su objedinili ova saznanja u empirijski utemeljen dinamički model procesa koji ilustrira kako zajednički djeluju ključne komponente upravljanja integracijom nakon preuzimanja, pružajući tako temelj za dublje razumijevanje zašto neke organizacije / organizacijske jedinice u preuzimanjima uspijevaju, a druge ne. </w:t>
      </w:r>
    </w:p>
    <w:p w14:paraId="5759B7FD" w14:textId="77777777" w:rsidR="002631A1" w:rsidRPr="00BE5472" w:rsidRDefault="002631A1" w:rsidP="006E052A">
      <w:pPr>
        <w:spacing w:line="360" w:lineRule="auto"/>
        <w:jc w:val="both"/>
        <w:rPr>
          <w:rFonts w:ascii="Times New Roman" w:hAnsi="Times New Roman" w:cs="Times New Roman"/>
          <w:bCs/>
          <w:sz w:val="24"/>
          <w:szCs w:val="24"/>
        </w:rPr>
      </w:pPr>
    </w:p>
    <w:p w14:paraId="5F910380" w14:textId="77777777" w:rsidR="002631A1" w:rsidRPr="00BE5472" w:rsidRDefault="002631A1" w:rsidP="006E052A">
      <w:pPr>
        <w:spacing w:line="360" w:lineRule="auto"/>
        <w:jc w:val="both"/>
        <w:rPr>
          <w:rFonts w:ascii="Times New Roman" w:hAnsi="Times New Roman" w:cs="Times New Roman"/>
          <w:bCs/>
          <w:sz w:val="24"/>
          <w:szCs w:val="24"/>
        </w:rPr>
      </w:pPr>
    </w:p>
    <w:p w14:paraId="21945629" w14:textId="77777777"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lastRenderedPageBreak/>
        <w:t>Rezultati ukazuju da (Kroon i sur. 2021: 21 – 23):</w:t>
      </w:r>
    </w:p>
    <w:p w14:paraId="52BA201C"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Namjere vrhovnog menadžmenta u pogledu integracije, zajedno s upotrebom i suzdržavanjem od moći te naporima u postizanju društvene integracije igraju značajnu ulogu u oblikovanju procesa interakcije između skupina zaposlenika iz poduzeća preuzimatelja i preuzetog poduzeća.</w:t>
      </w:r>
    </w:p>
    <w:p w14:paraId="496EBB5F"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Prednosti se postižu u slučajevima kada viši menadžment donosi jasne odluke o integraciji vrlo rano u procesu integracije.</w:t>
      </w:r>
      <w:r w:rsidRPr="00BE5472">
        <w:rPr>
          <w:rFonts w:ascii="Times New Roman" w:hAnsi="Times New Roman" w:cs="Times New Roman"/>
        </w:rPr>
        <w:t xml:space="preserve"> </w:t>
      </w:r>
      <w:r w:rsidRPr="00BE5472">
        <w:rPr>
          <w:rFonts w:ascii="Times New Roman" w:hAnsi="Times New Roman" w:cs="Times New Roman"/>
          <w:bCs/>
          <w:sz w:val="24"/>
          <w:szCs w:val="24"/>
        </w:rPr>
        <w:t>To se odnosi na zajedničke, ali i na odvojene zadatke.</w:t>
      </w:r>
    </w:p>
    <w:p w14:paraId="38170640"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 xml:space="preserve">Vrhovni menadžment također može utjecati na intenzitet međuskupinskih interakcija uporabom moći, odlučujući o tome koliko se o nečemu može raspravljati ili pregovarati. </w:t>
      </w:r>
    </w:p>
    <w:p w14:paraId="66579DD0"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 xml:space="preserve">Suzdržavanje od uporabe moći je značajno iz više razloga: vrhovni menadžment poduzeća preuzimatelja ne može učinkovito propisati kako se zajednički zadaci moraju oblikovati jer im često nedostaje specifičnog znanja da bi to mogli učiniti. Davanje određenog stupnja slobode menadžmentu nižih razina u pogledu odlučivanja o zajedničkim zadacima doprinosi pozitivnoj interakciji i osjećaju zadovoljstva novim vlasnicima. U svakom je slučaju mudro najprije upotrijebiti moć, a kasnije se opustiti u pogledu odlučivanja. Upravo vezano uz integraciju zadataka, Birkinshaw i sur. (2000) navode kako se ona može postići tek u trenutku kada se uspješno provede integracija ljudskih resursa. </w:t>
      </w:r>
    </w:p>
    <w:p w14:paraId="4A4E293A"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Iako namjere vrhovnog menadžmenta u pogledu integracije oblikuju procese interakcije između zaposlenika poduzeća preuzimatelja i preuzetog poduzeća, pozitivne interakcije mogu biti osnažene, a negativne ublažene menadžmentom društvene integracije.</w:t>
      </w:r>
    </w:p>
    <w:p w14:paraId="339068CB" w14:textId="77777777"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Različita priroda procesa međuskupinskih interakcija utječe i na „tvrde“ i na „meke“ integracijske ishode, koji su važni za uspjeh procesa integracije nakon preuzimanja. Karakteristike međuskupinskih interakcija su važne, između ostalog, jer utječu na kvalitetu suradnje.</w:t>
      </w:r>
      <w:r w:rsidRPr="00BE5472">
        <w:rPr>
          <w:rFonts w:ascii="Times New Roman" w:hAnsi="Times New Roman" w:cs="Times New Roman"/>
        </w:rPr>
        <w:t xml:space="preserve"> </w:t>
      </w:r>
      <w:r w:rsidRPr="00BE5472">
        <w:rPr>
          <w:rFonts w:ascii="Times New Roman" w:hAnsi="Times New Roman" w:cs="Times New Roman"/>
          <w:bCs/>
          <w:sz w:val="24"/>
          <w:szCs w:val="24"/>
        </w:rPr>
        <w:t>Procesi međuskupinskih interakcija također utječu na ostvarenje namjere same integracije.</w:t>
      </w:r>
    </w:p>
    <w:p w14:paraId="4610FB9A" w14:textId="7219527D" w:rsidR="006E052A" w:rsidRPr="00BE5472" w:rsidRDefault="006E052A" w:rsidP="00120B4F">
      <w:pPr>
        <w:numPr>
          <w:ilvl w:val="0"/>
          <w:numId w:val="81"/>
        </w:numPr>
        <w:spacing w:line="360" w:lineRule="auto"/>
        <w:contextualSpacing/>
        <w:jc w:val="both"/>
        <w:rPr>
          <w:rFonts w:ascii="Times New Roman" w:hAnsi="Times New Roman" w:cs="Times New Roman"/>
          <w:bCs/>
          <w:sz w:val="24"/>
          <w:szCs w:val="24"/>
        </w:rPr>
      </w:pPr>
      <w:r w:rsidRPr="00BE5472">
        <w:rPr>
          <w:rFonts w:ascii="Times New Roman" w:hAnsi="Times New Roman" w:cs="Times New Roman"/>
          <w:bCs/>
          <w:sz w:val="24"/>
          <w:szCs w:val="24"/>
        </w:rPr>
        <w:t xml:space="preserve">U tijeku procesa integracije nakon preuzimanja, dobivat će se povratna informacija uspješnosti „tvrdih“ i „mekih“ integracijskih ishoda na procese međuskupinskih interakcija. Pozitivna iskustva u ranijim interakcijama pomoći će u budućim interakcijama, ali </w:t>
      </w:r>
      <w:r w:rsidR="00FC611C" w:rsidRPr="00BE5472">
        <w:rPr>
          <w:rFonts w:ascii="Times New Roman" w:hAnsi="Times New Roman" w:cs="Times New Roman"/>
          <w:bCs/>
          <w:sz w:val="24"/>
          <w:szCs w:val="24"/>
        </w:rPr>
        <w:t xml:space="preserve">se </w:t>
      </w:r>
      <w:r w:rsidRPr="00BE5472">
        <w:rPr>
          <w:rFonts w:ascii="Times New Roman" w:hAnsi="Times New Roman" w:cs="Times New Roman"/>
          <w:bCs/>
          <w:sz w:val="24"/>
          <w:szCs w:val="24"/>
        </w:rPr>
        <w:t>negativna iskustva također mogu koristiti dalje u procesu.</w:t>
      </w:r>
    </w:p>
    <w:p w14:paraId="14912435" w14:textId="77777777" w:rsidR="006E052A" w:rsidRPr="00BE5472" w:rsidRDefault="006E052A" w:rsidP="006E052A">
      <w:pPr>
        <w:spacing w:line="360" w:lineRule="auto"/>
        <w:jc w:val="both"/>
        <w:rPr>
          <w:rFonts w:ascii="Times New Roman" w:hAnsi="Times New Roman" w:cs="Times New Roman"/>
          <w:sz w:val="24"/>
          <w:szCs w:val="24"/>
        </w:rPr>
      </w:pPr>
    </w:p>
    <w:p w14:paraId="1F26AFE4" w14:textId="26EADEC3"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Smatrajući komunikaciju vrlo važnom u samom procesu preuzimanja, Bansal i King (2020) u svo</w:t>
      </w:r>
      <w:r w:rsidR="000D5453" w:rsidRPr="00BE5472">
        <w:rPr>
          <w:rFonts w:ascii="Times New Roman" w:hAnsi="Times New Roman" w:cs="Times New Roman"/>
          <w:sz w:val="24"/>
          <w:szCs w:val="24"/>
        </w:rPr>
        <w:t>me</w:t>
      </w:r>
      <w:r w:rsidRPr="00BE5472">
        <w:rPr>
          <w:rFonts w:ascii="Times New Roman" w:hAnsi="Times New Roman" w:cs="Times New Roman"/>
          <w:sz w:val="24"/>
          <w:szCs w:val="24"/>
        </w:rPr>
        <w:t xml:space="preserve"> su istraživanju ispitali utjecaj čimbenika koji doprinose </w:t>
      </w:r>
      <w:r w:rsidRPr="00BE5472">
        <w:rPr>
          <w:rFonts w:ascii="Times New Roman" w:hAnsi="Times New Roman" w:cs="Times New Roman"/>
          <w:b/>
          <w:bCs/>
          <w:sz w:val="24"/>
          <w:szCs w:val="24"/>
        </w:rPr>
        <w:t>učinkovitoj</w:t>
      </w:r>
      <w:r w:rsidRPr="00BE5472">
        <w:rPr>
          <w:rFonts w:ascii="Times New Roman" w:hAnsi="Times New Roman" w:cs="Times New Roman"/>
          <w:sz w:val="24"/>
          <w:szCs w:val="24"/>
        </w:rPr>
        <w:t xml:space="preserve"> </w:t>
      </w:r>
      <w:r w:rsidRPr="00BE5472">
        <w:rPr>
          <w:rFonts w:ascii="Times New Roman" w:hAnsi="Times New Roman" w:cs="Times New Roman"/>
          <w:b/>
          <w:sz w:val="24"/>
          <w:szCs w:val="24"/>
        </w:rPr>
        <w:t>komunikaciji</w:t>
      </w:r>
      <w:r w:rsidRPr="00BE5472">
        <w:rPr>
          <w:rFonts w:ascii="Times New Roman" w:hAnsi="Times New Roman" w:cs="Times New Roman"/>
          <w:sz w:val="24"/>
          <w:szCs w:val="24"/>
        </w:rPr>
        <w:t xml:space="preserve"> o promjenama tijekom preuzimanja</w:t>
      </w:r>
      <w:r w:rsidR="000D5453" w:rsidRPr="00BE5472">
        <w:rPr>
          <w:rFonts w:ascii="Times New Roman" w:hAnsi="Times New Roman" w:cs="Times New Roman"/>
          <w:sz w:val="24"/>
          <w:szCs w:val="24"/>
        </w:rPr>
        <w:t>,</w:t>
      </w:r>
      <w:r w:rsidRPr="00BE5472">
        <w:rPr>
          <w:rFonts w:ascii="Times New Roman" w:hAnsi="Times New Roman" w:cs="Times New Roman"/>
          <w:sz w:val="24"/>
          <w:szCs w:val="24"/>
        </w:rPr>
        <w:t xml:space="preserve"> ispitujući sadržaj komunikacije i percepciju pravednosti odnosno kako se percipiraju komunicirane informacije. Autori su došli do zaključka da sama komunikacija nakon preuzimanja ne doprinosi zadovoljstvu zaposlenika jer učinkovitost komunikacije prvenstveno ovisi o tome kako oni percipiraju komunicirane informacije. Kako se informacija komunicira zaposlenicima je jednako ili pak važnija od onoga što im se komunicira. Zbog toga je potrebno razviti različite modele i kanale komunikacije usmjerene prema različitoj publici. Komunicirati je potrebno često i na vrijeme. Zbog toga autori sugeriraju razvijanje plana komuniciranja sa zaposlenicima</w:t>
      </w:r>
      <w:r w:rsidR="00ED19FD" w:rsidRPr="00BE5472">
        <w:rPr>
          <w:rFonts w:ascii="Times New Roman" w:hAnsi="Times New Roman" w:cs="Times New Roman"/>
          <w:sz w:val="24"/>
          <w:szCs w:val="24"/>
        </w:rPr>
        <w:t>.</w:t>
      </w:r>
      <w:r w:rsidRPr="00BE5472">
        <w:rPr>
          <w:rFonts w:ascii="Times New Roman" w:hAnsi="Times New Roman" w:cs="Times New Roman"/>
          <w:sz w:val="24"/>
          <w:szCs w:val="24"/>
        </w:rPr>
        <w:t xml:space="preserve"> Značaj komunikacije potvrđuju i zaključci istraživanja Appelbauma i sur. (2000). Zaposlenici će se lakše i brže integrirati ako dobivaju ispravne informacije i povratne informacije, ako im se jasno objasne promjene i ako im se komunikacijom omogući razmjena ideja (Daly 1995; Thakur i Bansal 2015).</w:t>
      </w:r>
    </w:p>
    <w:p w14:paraId="2A367EDE" w14:textId="687023E9"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Neki od uzroka neuspjeha u procesima spajanja i preuzimanja tradicionalno spominjanih u literaturi povezani su s </w:t>
      </w:r>
      <w:r w:rsidRPr="00BE5472">
        <w:rPr>
          <w:rFonts w:ascii="Times New Roman" w:hAnsi="Times New Roman" w:cs="Times New Roman"/>
          <w:b/>
          <w:bCs/>
          <w:sz w:val="24"/>
          <w:szCs w:val="24"/>
        </w:rPr>
        <w:t>upravljanjem ljudskim resursima u fazi integracije</w:t>
      </w:r>
      <w:r w:rsidRPr="00BE5472">
        <w:rPr>
          <w:rFonts w:ascii="Times New Roman" w:hAnsi="Times New Roman" w:cs="Times New Roman"/>
          <w:bCs/>
          <w:sz w:val="24"/>
          <w:szCs w:val="24"/>
        </w:rPr>
        <w:t>. Primjeri uključuju probleme s integracijom ljudskih resursa, nedostatak jasnog vodstva, neizvjesnost u vezi s ljudskim resursima (Deogun i Scannell 2001), kulturnu nekompatibilnost (Marks i Mirvis 2011), distorzije u komunikaciji koje utječu na motivaciju te apsentizam vrijednog osoblja (Drori i sur. 2011). Slabo planiran i/ili izveden integracijski proces može rezultirati smanjenjem produktivnosti ili nezadovoljstvom ljudskih resursa čak tri godine nakon zaključivanja ugovora</w:t>
      </w:r>
      <w:r w:rsidR="00ED19FD"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što se potvrđuje u istraživanju koje je proveo Anon (2000). Sarala i sur. (2017.) analiziraju </w:t>
      </w:r>
      <w:r w:rsidRPr="00BE5472">
        <w:rPr>
          <w:rFonts w:ascii="Times New Roman" w:hAnsi="Times New Roman" w:cs="Times New Roman"/>
          <w:bCs/>
          <w:i/>
          <w:sz w:val="24"/>
          <w:szCs w:val="24"/>
        </w:rPr>
        <w:t>ljudsku stranu</w:t>
      </w:r>
      <w:r w:rsidRPr="00BE5472">
        <w:rPr>
          <w:rFonts w:ascii="Times New Roman" w:hAnsi="Times New Roman" w:cs="Times New Roman"/>
          <w:bCs/>
          <w:sz w:val="24"/>
          <w:szCs w:val="24"/>
        </w:rPr>
        <w:t xml:space="preserve"> globalnih spajanja i preuzimanja te objašnjavaju da je potrebno </w:t>
      </w:r>
      <w:r w:rsidRPr="00BE5472">
        <w:rPr>
          <w:rFonts w:ascii="Times New Roman" w:hAnsi="Times New Roman" w:cs="Times New Roman"/>
          <w:bCs/>
          <w:i/>
          <w:sz w:val="24"/>
          <w:szCs w:val="24"/>
        </w:rPr>
        <w:t>detaljnije razumijevanje „ljudske strane“</w:t>
      </w:r>
      <w:r w:rsidRPr="00BE5472">
        <w:rPr>
          <w:rFonts w:ascii="Times New Roman" w:hAnsi="Times New Roman" w:cs="Times New Roman"/>
          <w:bCs/>
          <w:sz w:val="24"/>
          <w:szCs w:val="24"/>
        </w:rPr>
        <w:t>, što zahtijeva konceptualiziranje spajanja i preuzimanja kao procesa orijentiranih na praksu. Autori Shield, Thorpe i Nelson (2002) zaključuju da nedostatak pažnje vezane uz praksu ljudskih resursa negativno utječe na uspješnost spajanja i preuzimanja. Istraživanje su proveli na primjeru spajanja bolnica. Rezultati istraživanja koje su proveli Rodríguez-Sánchez, Ortiz-de-Urbina-Criado i Mora-Valentin (2019) ukazali su na posebnu važnost upravljanja ljudskim resursima u uspjehu procesa integracije prilikom spajanja i preuzimanja. Spomenuti su autori identificirali glavne čimbenike i aktivnosti koje valja provesti u upravljanju ljudskim resursima, a koj</w:t>
      </w:r>
      <w:r w:rsidR="00ED19FD" w:rsidRPr="00BE5472">
        <w:rPr>
          <w:rFonts w:ascii="Times New Roman" w:hAnsi="Times New Roman" w:cs="Times New Roman"/>
          <w:bCs/>
          <w:sz w:val="24"/>
          <w:szCs w:val="24"/>
        </w:rPr>
        <w:t>i</w:t>
      </w:r>
      <w:r w:rsidRPr="00BE5472">
        <w:rPr>
          <w:rFonts w:ascii="Times New Roman" w:hAnsi="Times New Roman" w:cs="Times New Roman"/>
          <w:bCs/>
          <w:sz w:val="24"/>
          <w:szCs w:val="24"/>
        </w:rPr>
        <w:t xml:space="preserve"> doprinose uspjehu ovog procesa. Izdvojeni glavni čimbenici jesu: (1) </w:t>
      </w:r>
      <w:r w:rsidRPr="00BE5472">
        <w:rPr>
          <w:rFonts w:ascii="Times New Roman" w:hAnsi="Times New Roman" w:cs="Times New Roman"/>
          <w:bCs/>
          <w:i/>
          <w:iCs/>
          <w:sz w:val="24"/>
          <w:szCs w:val="24"/>
        </w:rPr>
        <w:t>vodstvo i tim za integraciju</w:t>
      </w:r>
      <w:r w:rsidRPr="00BE5472">
        <w:rPr>
          <w:rFonts w:ascii="Times New Roman" w:hAnsi="Times New Roman" w:cs="Times New Roman"/>
          <w:bCs/>
          <w:sz w:val="24"/>
          <w:szCs w:val="24"/>
        </w:rPr>
        <w:t xml:space="preserve"> – proaktivno vodstvo, pozitivnog mentaliteta i s odgovarajućim komunikacijskim vještinama koje im omogućuju </w:t>
      </w:r>
      <w:r w:rsidRPr="00BE5472">
        <w:rPr>
          <w:rFonts w:ascii="Times New Roman" w:hAnsi="Times New Roman" w:cs="Times New Roman"/>
          <w:bCs/>
          <w:sz w:val="24"/>
          <w:szCs w:val="24"/>
        </w:rPr>
        <w:lastRenderedPageBreak/>
        <w:t xml:space="preserve">detektiranje nesigurnosti u radnim timovima, dok tim za integraciju trebaju činiti ljudi iz preuzetog poduzeća koji poznaju okruženje, kulturu i praksu ljudskih resursa u poduzeću koje se preuzima; (2) </w:t>
      </w:r>
      <w:r w:rsidRPr="00BE5472">
        <w:rPr>
          <w:rFonts w:ascii="Times New Roman" w:hAnsi="Times New Roman" w:cs="Times New Roman"/>
          <w:bCs/>
          <w:i/>
          <w:iCs/>
          <w:sz w:val="24"/>
          <w:szCs w:val="24"/>
        </w:rPr>
        <w:t>promjena i proces restrukturiranja</w:t>
      </w:r>
      <w:r w:rsidRPr="00BE5472">
        <w:rPr>
          <w:rFonts w:ascii="Times New Roman" w:hAnsi="Times New Roman" w:cs="Times New Roman"/>
          <w:bCs/>
          <w:sz w:val="24"/>
          <w:szCs w:val="24"/>
        </w:rPr>
        <w:t xml:space="preserve"> – zaposlenici moraju razumjeti potrebu restrukturiranja, nužno je stvoriti novu organizacijsku kulturu koja postaje trajna; (3)</w:t>
      </w:r>
      <w:r w:rsidR="00ED19FD"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otpor osoblja</w:t>
      </w:r>
      <w:r w:rsidRPr="00BE5472">
        <w:rPr>
          <w:rFonts w:ascii="Times New Roman" w:hAnsi="Times New Roman" w:cs="Times New Roman"/>
          <w:bCs/>
          <w:sz w:val="24"/>
          <w:szCs w:val="24"/>
        </w:rPr>
        <w:t xml:space="preserve"> </w:t>
      </w:r>
      <w:r w:rsidR="00ED19FD" w:rsidRPr="00BE5472">
        <w:rPr>
          <w:rFonts w:ascii="Times New Roman" w:hAnsi="Times New Roman" w:cs="Times New Roman"/>
          <w:kern w:val="2"/>
          <w:sz w:val="24"/>
          <w:szCs w:val="24"/>
          <w14:ligatures w14:val="standardContextual"/>
        </w:rPr>
        <w:t>–</w:t>
      </w:r>
      <w:r w:rsidRPr="00BE5472">
        <w:rPr>
          <w:rFonts w:ascii="Times New Roman" w:hAnsi="Times New Roman" w:cs="Times New Roman"/>
          <w:bCs/>
          <w:sz w:val="24"/>
          <w:szCs w:val="24"/>
        </w:rPr>
        <w:t xml:space="preserve"> bitno je opisati i procijeniti vrijednosti, stavove, uvjerenja i grupne norme poduzeća pa je stoga procjena ljudskih resursa neophodna za uspješan integracijski proces; (4) </w:t>
      </w:r>
      <w:r w:rsidRPr="00BE5472">
        <w:rPr>
          <w:rFonts w:ascii="Times New Roman" w:hAnsi="Times New Roman" w:cs="Times New Roman"/>
          <w:bCs/>
          <w:i/>
          <w:iCs/>
          <w:sz w:val="24"/>
          <w:szCs w:val="24"/>
        </w:rPr>
        <w:t>zadržavanje vrijednih zaposlenika</w:t>
      </w:r>
      <w:r w:rsidRPr="00BE5472">
        <w:rPr>
          <w:rFonts w:ascii="Times New Roman" w:hAnsi="Times New Roman" w:cs="Times New Roman"/>
          <w:bCs/>
          <w:sz w:val="24"/>
          <w:szCs w:val="24"/>
        </w:rPr>
        <w:t xml:space="preserve">   aktivnosti zadržavanja vrijednih zaposlenika omogućuju postizanje temeljnih ciljeva za uspjeh spajanja i preuzimanja. Usko povezana uz utjecaj ljudskih resursa kao značajnog čimbenika uspješnosti integracije u procesima spajanja i preuzimanja jest i organizacijska kultura o čijem utjecaju više u tekstu koji slijedi.</w:t>
      </w:r>
      <w:r w:rsidRPr="00BE5472">
        <w:rPr>
          <w:rFonts w:ascii="Times New Roman" w:hAnsi="Times New Roman" w:cs="Times New Roman"/>
        </w:rPr>
        <w:t xml:space="preserve"> </w:t>
      </w:r>
    </w:p>
    <w:p w14:paraId="07ADD79B" w14:textId="2F0E6617"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Analiza uloge </w:t>
      </w:r>
      <w:r w:rsidRPr="00BE5472">
        <w:rPr>
          <w:rFonts w:ascii="Times New Roman" w:hAnsi="Times New Roman" w:cs="Times New Roman"/>
          <w:b/>
          <w:sz w:val="24"/>
          <w:szCs w:val="24"/>
        </w:rPr>
        <w:t>organizacijske kulture</w:t>
      </w:r>
      <w:r w:rsidRPr="00BE5472">
        <w:rPr>
          <w:rFonts w:ascii="Times New Roman" w:hAnsi="Times New Roman" w:cs="Times New Roman"/>
          <w:sz w:val="24"/>
          <w:szCs w:val="24"/>
        </w:rPr>
        <w:t xml:space="preserve"> u fazi integracije nakon preuzimanja bila je predmet više različitih istraživanja. Primjerice, Nahavandi i Malekzadeh (1988) razvili </w:t>
      </w:r>
      <w:r w:rsidR="00ED19FD" w:rsidRPr="00BE5472">
        <w:rPr>
          <w:rFonts w:ascii="Times New Roman" w:hAnsi="Times New Roman" w:cs="Times New Roman"/>
          <w:sz w:val="24"/>
          <w:szCs w:val="24"/>
        </w:rPr>
        <w:t xml:space="preserve">su </w:t>
      </w:r>
      <w:r w:rsidRPr="00BE5472">
        <w:rPr>
          <w:rFonts w:ascii="Times New Roman" w:hAnsi="Times New Roman" w:cs="Times New Roman"/>
          <w:sz w:val="24"/>
          <w:szCs w:val="24"/>
        </w:rPr>
        <w:t>tzv. četiri stila akulturacije</w:t>
      </w:r>
      <w:r w:rsidRPr="00BE5472">
        <w:rPr>
          <w:rFonts w:ascii="Times New Roman" w:hAnsi="Times New Roman" w:cs="Times New Roman"/>
          <w:sz w:val="24"/>
          <w:szCs w:val="24"/>
          <w:vertAlign w:val="superscript"/>
        </w:rPr>
        <w:footnoteReference w:id="42"/>
      </w:r>
      <w:r w:rsidRPr="00BE5472">
        <w:rPr>
          <w:rFonts w:ascii="Times New Roman" w:hAnsi="Times New Roman" w:cs="Times New Roman"/>
          <w:sz w:val="24"/>
          <w:szCs w:val="24"/>
        </w:rPr>
        <w:t xml:space="preserve">, </w:t>
      </w:r>
      <w:r w:rsidR="00ED19FD" w:rsidRPr="00BE5472">
        <w:rPr>
          <w:rFonts w:ascii="Times New Roman" w:hAnsi="Times New Roman" w:cs="Times New Roman"/>
          <w:sz w:val="24"/>
          <w:szCs w:val="24"/>
        </w:rPr>
        <w:t xml:space="preserve">temeljeći </w:t>
      </w:r>
      <w:r w:rsidRPr="00BE5472">
        <w:rPr>
          <w:rFonts w:ascii="Times New Roman" w:hAnsi="Times New Roman" w:cs="Times New Roman"/>
          <w:sz w:val="24"/>
          <w:szCs w:val="24"/>
        </w:rPr>
        <w:t>se na tzv. akulturativn</w:t>
      </w:r>
      <w:r w:rsidR="00ED19FD" w:rsidRPr="00BE5472">
        <w:rPr>
          <w:rFonts w:ascii="Times New Roman" w:hAnsi="Times New Roman" w:cs="Times New Roman"/>
          <w:sz w:val="24"/>
          <w:szCs w:val="24"/>
        </w:rPr>
        <w:t>om</w:t>
      </w:r>
      <w:r w:rsidRPr="00BE5472">
        <w:rPr>
          <w:rFonts w:ascii="Times New Roman" w:hAnsi="Times New Roman" w:cs="Times New Roman"/>
          <w:sz w:val="24"/>
          <w:szCs w:val="24"/>
        </w:rPr>
        <w:t xml:space="preserve"> stres</w:t>
      </w:r>
      <w:r w:rsidR="00ED19FD" w:rsidRPr="00BE5472">
        <w:rPr>
          <w:rFonts w:ascii="Times New Roman" w:hAnsi="Times New Roman" w:cs="Times New Roman"/>
          <w:sz w:val="24"/>
          <w:szCs w:val="24"/>
        </w:rPr>
        <w:t>u</w:t>
      </w:r>
      <w:r w:rsidRPr="00BE5472">
        <w:rPr>
          <w:rFonts w:ascii="Times New Roman" w:hAnsi="Times New Roman" w:cs="Times New Roman"/>
          <w:sz w:val="24"/>
          <w:szCs w:val="24"/>
        </w:rPr>
        <w:t xml:space="preserve"> koji zaposlenici u oba poduzeća mogu doživjeti prilikom spajanja i preuzimanja, a posebice u fazi integracije nakon procesa. Tako izdvajaju:</w:t>
      </w:r>
    </w:p>
    <w:p w14:paraId="3334F754" w14:textId="77777777" w:rsidR="006E052A" w:rsidRPr="00BE5472" w:rsidRDefault="006E052A" w:rsidP="00120B4F">
      <w:pPr>
        <w:numPr>
          <w:ilvl w:val="0"/>
          <w:numId w:val="80"/>
        </w:numPr>
        <w:spacing w:line="360" w:lineRule="auto"/>
        <w:jc w:val="both"/>
        <w:rPr>
          <w:rFonts w:ascii="Times New Roman" w:hAnsi="Times New Roman" w:cs="Times New Roman"/>
          <w:sz w:val="24"/>
          <w:szCs w:val="24"/>
        </w:rPr>
      </w:pPr>
      <w:r w:rsidRPr="00BE5472">
        <w:rPr>
          <w:rFonts w:ascii="Times New Roman" w:hAnsi="Times New Roman" w:cs="Times New Roman"/>
          <w:i/>
          <w:sz w:val="24"/>
          <w:szCs w:val="24"/>
        </w:rPr>
        <w:t>Odvajanje</w:t>
      </w:r>
      <w:r w:rsidRPr="00BE5472">
        <w:rPr>
          <w:rFonts w:ascii="Times New Roman" w:hAnsi="Times New Roman" w:cs="Times New Roman"/>
          <w:sz w:val="24"/>
          <w:szCs w:val="24"/>
        </w:rPr>
        <w:t xml:space="preserve"> – Preuzeto poduzeće zadržava svoju kulturu i praksu i tako ostaje odvojeno i neovisno o poduzeću preuzimatelju.</w:t>
      </w:r>
    </w:p>
    <w:p w14:paraId="120116D4" w14:textId="346CFF84" w:rsidR="006E052A" w:rsidRPr="00BE5472" w:rsidRDefault="006E052A" w:rsidP="00120B4F">
      <w:pPr>
        <w:numPr>
          <w:ilvl w:val="0"/>
          <w:numId w:val="80"/>
        </w:numPr>
        <w:spacing w:line="360" w:lineRule="auto"/>
        <w:jc w:val="both"/>
        <w:rPr>
          <w:rFonts w:ascii="Times New Roman" w:hAnsi="Times New Roman" w:cs="Times New Roman"/>
          <w:sz w:val="24"/>
          <w:szCs w:val="24"/>
        </w:rPr>
      </w:pPr>
      <w:r w:rsidRPr="00BE5472">
        <w:rPr>
          <w:rFonts w:ascii="Times New Roman" w:hAnsi="Times New Roman" w:cs="Times New Roman"/>
          <w:i/>
          <w:sz w:val="24"/>
          <w:szCs w:val="24"/>
        </w:rPr>
        <w:t>Asimilacija</w:t>
      </w:r>
      <w:r w:rsidRPr="00BE5472">
        <w:rPr>
          <w:rFonts w:ascii="Times New Roman" w:hAnsi="Times New Roman" w:cs="Times New Roman"/>
          <w:sz w:val="24"/>
          <w:szCs w:val="24"/>
        </w:rPr>
        <w:t xml:space="preserve"> – Preuzeto poduzeće preuzima identitet, kulturu, prakse i sustave preuzimatelj</w:t>
      </w:r>
      <w:r w:rsidR="00D44974" w:rsidRPr="00BE5472">
        <w:rPr>
          <w:rFonts w:ascii="Times New Roman" w:hAnsi="Times New Roman" w:cs="Times New Roman"/>
          <w:sz w:val="24"/>
          <w:szCs w:val="24"/>
        </w:rPr>
        <w:t>a i</w:t>
      </w:r>
      <w:r w:rsidRPr="00BE5472">
        <w:rPr>
          <w:rFonts w:ascii="Times New Roman" w:hAnsi="Times New Roman" w:cs="Times New Roman"/>
          <w:sz w:val="24"/>
          <w:szCs w:val="24"/>
        </w:rPr>
        <w:t xml:space="preserve"> prestaje postojati kao kulturni entitet.</w:t>
      </w:r>
    </w:p>
    <w:p w14:paraId="4ED5772A" w14:textId="0596E7DD" w:rsidR="006E052A" w:rsidRPr="00BE5472" w:rsidRDefault="006E052A" w:rsidP="00120B4F">
      <w:pPr>
        <w:numPr>
          <w:ilvl w:val="0"/>
          <w:numId w:val="80"/>
        </w:numPr>
        <w:spacing w:line="360" w:lineRule="auto"/>
        <w:jc w:val="both"/>
        <w:rPr>
          <w:rFonts w:ascii="Times New Roman" w:hAnsi="Times New Roman" w:cs="Times New Roman"/>
          <w:sz w:val="24"/>
          <w:szCs w:val="24"/>
        </w:rPr>
      </w:pPr>
      <w:r w:rsidRPr="00BE5472">
        <w:rPr>
          <w:rFonts w:ascii="Times New Roman" w:hAnsi="Times New Roman" w:cs="Times New Roman"/>
          <w:i/>
          <w:sz w:val="24"/>
          <w:szCs w:val="24"/>
        </w:rPr>
        <w:t>Integracija</w:t>
      </w:r>
      <w:r w:rsidRPr="00BE5472">
        <w:rPr>
          <w:rFonts w:ascii="Times New Roman" w:hAnsi="Times New Roman" w:cs="Times New Roman"/>
          <w:sz w:val="24"/>
          <w:szCs w:val="24"/>
        </w:rPr>
        <w:t xml:space="preserve"> </w:t>
      </w:r>
      <w:r w:rsidR="00ED19FD"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Zaposlenici preuzetog poduzeća nastoje zadržati svoje osnovne pretpostavke, vjerovanja, kulturne elemente, organizacijske prakse i sustave koji ih čine jedinstvenima, ali su spremni biti integrirani u strukturu poduzeća preuzimatelja.</w:t>
      </w:r>
    </w:p>
    <w:p w14:paraId="6E497047" w14:textId="6A62F2F6" w:rsidR="006E052A" w:rsidRPr="00BE5472" w:rsidRDefault="006E052A" w:rsidP="00120B4F">
      <w:pPr>
        <w:numPr>
          <w:ilvl w:val="0"/>
          <w:numId w:val="80"/>
        </w:numPr>
        <w:spacing w:line="360" w:lineRule="auto"/>
        <w:jc w:val="both"/>
        <w:rPr>
          <w:rFonts w:ascii="Times New Roman" w:hAnsi="Times New Roman" w:cs="Times New Roman"/>
          <w:sz w:val="24"/>
          <w:szCs w:val="24"/>
        </w:rPr>
      </w:pPr>
      <w:r w:rsidRPr="00BE5472">
        <w:rPr>
          <w:rFonts w:ascii="Times New Roman" w:hAnsi="Times New Roman" w:cs="Times New Roman"/>
          <w:i/>
          <w:sz w:val="24"/>
          <w:szCs w:val="24"/>
        </w:rPr>
        <w:t>Dekulturacija</w:t>
      </w:r>
      <w:r w:rsidRPr="00BE5472">
        <w:rPr>
          <w:rFonts w:ascii="Times New Roman" w:hAnsi="Times New Roman" w:cs="Times New Roman"/>
          <w:sz w:val="24"/>
          <w:szCs w:val="24"/>
        </w:rPr>
        <w:t xml:space="preserve"> </w:t>
      </w:r>
      <w:r w:rsidR="00ED19FD" w:rsidRPr="00BE5472">
        <w:rPr>
          <w:rFonts w:ascii="Times New Roman" w:hAnsi="Times New Roman" w:cs="Times New Roman"/>
          <w:kern w:val="2"/>
          <w:sz w:val="24"/>
          <w:szCs w:val="24"/>
          <w14:ligatures w14:val="standardContextual"/>
        </w:rPr>
        <w:t>–</w:t>
      </w:r>
      <w:r w:rsidRPr="00BE5472">
        <w:rPr>
          <w:rFonts w:ascii="Times New Roman" w:hAnsi="Times New Roman" w:cs="Times New Roman"/>
          <w:sz w:val="24"/>
          <w:szCs w:val="24"/>
        </w:rPr>
        <w:t xml:space="preserve"> Gubi se kulturni i psihološki kontakt između poduzeća koja se spajaju.</w:t>
      </w:r>
    </w:p>
    <w:p w14:paraId="126554D3" w14:textId="02980144"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Cartwright i Cooper (1993) su u svojem radu naglasili kako prethodno razumijevanje već uspostavljenih organizacijskih kultura poduzeća koja sudjeluju u procesu integracije igra krucijalnu ulogu u određivanju uspješnosti procesa spajanja i preuzimanja. Pablo (1994) također </w:t>
      </w:r>
      <w:r w:rsidRPr="00BE5472">
        <w:rPr>
          <w:rFonts w:ascii="Times New Roman" w:hAnsi="Times New Roman" w:cs="Times New Roman"/>
          <w:sz w:val="24"/>
          <w:szCs w:val="24"/>
        </w:rPr>
        <w:lastRenderedPageBreak/>
        <w:t>zaključuje kako kulturološki čimbenici utječu na modele odlučivanja o integracijskoj politici u fazi nakon preuzimanja. Weber i Camarer (2003) pak naglašava</w:t>
      </w:r>
      <w:r w:rsidR="00750FD5" w:rsidRPr="00BE5472">
        <w:rPr>
          <w:rFonts w:ascii="Times New Roman" w:hAnsi="Times New Roman" w:cs="Times New Roman"/>
          <w:sz w:val="24"/>
          <w:szCs w:val="24"/>
        </w:rPr>
        <w:t>ju</w:t>
      </w:r>
      <w:r w:rsidRPr="00BE5472">
        <w:rPr>
          <w:rFonts w:ascii="Times New Roman" w:hAnsi="Times New Roman" w:cs="Times New Roman"/>
          <w:sz w:val="24"/>
          <w:szCs w:val="24"/>
        </w:rPr>
        <w:t xml:space="preserve"> da je vrlo zahtjevno spojiti dvije organizacijske kulture u različitim poduzećima koje su već duboko uspostavljene.</w:t>
      </w:r>
      <w:r w:rsidR="00750FD5" w:rsidRPr="00BE5472">
        <w:rPr>
          <w:rFonts w:ascii="Times New Roman" w:hAnsi="Times New Roman" w:cs="Times New Roman"/>
          <w:sz w:val="24"/>
          <w:szCs w:val="24"/>
        </w:rPr>
        <w:t xml:space="preserve"> </w:t>
      </w:r>
      <w:r w:rsidRPr="00BE5472">
        <w:rPr>
          <w:rFonts w:ascii="Times New Roman" w:hAnsi="Times New Roman" w:cs="Times New Roman"/>
          <w:sz w:val="24"/>
          <w:szCs w:val="24"/>
        </w:rPr>
        <w:t>Često se neuspjeh spajanja ili preuzimanja u postizanju financijskih ili strateških ciljeva pripisuje sukobu kultura između poduzeća koja se spajaju (Cartwright i Price 2003).</w:t>
      </w:r>
      <w:r w:rsidRPr="00BE5472">
        <w:rPr>
          <w:rFonts w:ascii="Times New Roman" w:hAnsi="Times New Roman" w:cs="Times New Roman"/>
        </w:rPr>
        <w:t xml:space="preserve"> </w:t>
      </w:r>
      <w:r w:rsidRPr="00BE5472">
        <w:rPr>
          <w:rFonts w:ascii="Times New Roman" w:hAnsi="Times New Roman" w:cs="Times New Roman"/>
          <w:sz w:val="24"/>
          <w:szCs w:val="24"/>
        </w:rPr>
        <w:t>Mirvis i Marks (2003), s druge strane, argumentiraju kako umjerena razlika u kulturi između poduzeća koja sudjeluju u integracijskom procesu može biti poticaj za dijalog, kreativno rješavanje problema i inovacije. Kulturne razlike također mogu razbiti rigidnosti poduzeća preuzimatelja, pomoći im u razvijanju bogatijeg tržišnog i menadžerskog znanja te poticati inovacije (Schreyögg 2005).</w:t>
      </w:r>
      <w:r w:rsidRPr="00BE5472">
        <w:rPr>
          <w:rFonts w:ascii="Times New Roman" w:hAnsi="Times New Roman" w:cs="Times New Roman"/>
        </w:rPr>
        <w:t xml:space="preserve">  S</w:t>
      </w:r>
      <w:r w:rsidRPr="00BE5472">
        <w:rPr>
          <w:rFonts w:ascii="Times New Roman" w:hAnsi="Times New Roman" w:cs="Times New Roman"/>
          <w:sz w:val="24"/>
          <w:szCs w:val="24"/>
        </w:rPr>
        <w:t>pajanja i preuzimanja mogu poduzećima osigurati konkurentsku prednost</w:t>
      </w:r>
      <w:r w:rsidR="00ED19FD" w:rsidRPr="00BE5472">
        <w:rPr>
          <w:rFonts w:ascii="Times New Roman" w:hAnsi="Times New Roman" w:cs="Times New Roman"/>
          <w:sz w:val="24"/>
          <w:szCs w:val="24"/>
        </w:rPr>
        <w:t>,</w:t>
      </w:r>
      <w:r w:rsidRPr="00BE5472">
        <w:rPr>
          <w:rFonts w:ascii="Times New Roman" w:hAnsi="Times New Roman" w:cs="Times New Roman"/>
          <w:sz w:val="24"/>
          <w:szCs w:val="24"/>
        </w:rPr>
        <w:t xml:space="preserve"> omogućujući im pristup jedinstvenim i potencijalno vrijednim sposobnostima koje su ukorijenjene u drugoj kulturi (Olie i Verwaal 2004).</w:t>
      </w:r>
      <w:r w:rsidRPr="00BE5472">
        <w:rPr>
          <w:rFonts w:ascii="Times New Roman" w:hAnsi="Times New Roman" w:cs="Times New Roman"/>
        </w:rPr>
        <w:t xml:space="preserve"> </w:t>
      </w:r>
      <w:r w:rsidRPr="00BE5472">
        <w:rPr>
          <w:rFonts w:ascii="Times New Roman" w:hAnsi="Times New Roman" w:cs="Times New Roman"/>
          <w:sz w:val="24"/>
          <w:szCs w:val="24"/>
        </w:rPr>
        <w:t>Hoće li kulturne razlike imati pozitivan ili negativan utjecaj na uspješnost spajanja i preuzimanja ovisi o: (1) prirodi i opsegu tih razlika, (2) intervencijama korištenim za njihovo upravljanje te (3) pristupu integraciji</w:t>
      </w:r>
      <w:r w:rsidR="00750FD5" w:rsidRPr="00BE5472">
        <w:rPr>
          <w:rFonts w:ascii="Times New Roman" w:hAnsi="Times New Roman" w:cs="Times New Roman"/>
          <w:sz w:val="24"/>
          <w:szCs w:val="24"/>
        </w:rPr>
        <w:t>,</w:t>
      </w:r>
      <w:r w:rsidRPr="00BE5472">
        <w:rPr>
          <w:rFonts w:ascii="Times New Roman" w:hAnsi="Times New Roman" w:cs="Times New Roman"/>
          <w:sz w:val="24"/>
          <w:szCs w:val="24"/>
        </w:rPr>
        <w:t xml:space="preserve"> kako</w:t>
      </w:r>
      <w:r w:rsidR="00750FD5" w:rsidRPr="00BE5472">
        <w:rPr>
          <w:rFonts w:ascii="Times New Roman" w:hAnsi="Times New Roman" w:cs="Times New Roman"/>
          <w:sz w:val="24"/>
          <w:szCs w:val="24"/>
        </w:rPr>
        <w:t xml:space="preserve"> to</w:t>
      </w:r>
      <w:r w:rsidRPr="00BE5472">
        <w:rPr>
          <w:rFonts w:ascii="Times New Roman" w:hAnsi="Times New Roman" w:cs="Times New Roman"/>
          <w:sz w:val="24"/>
          <w:szCs w:val="24"/>
        </w:rPr>
        <w:t xml:space="preserve"> zaključuju Stahl</w:t>
      </w:r>
      <w:r w:rsidR="00FA3AAB">
        <w:rPr>
          <w:rFonts w:ascii="Times New Roman" w:hAnsi="Times New Roman" w:cs="Times New Roman"/>
          <w:sz w:val="24"/>
          <w:szCs w:val="24"/>
        </w:rPr>
        <w:t xml:space="preserve"> i sur.</w:t>
      </w:r>
      <w:r w:rsidRPr="00BE5472">
        <w:rPr>
          <w:rFonts w:ascii="Times New Roman" w:hAnsi="Times New Roman" w:cs="Times New Roman"/>
          <w:sz w:val="24"/>
          <w:szCs w:val="24"/>
        </w:rPr>
        <w:t xml:space="preserve"> (2004). Za najbolje rješavanje kulturnih aspekata spajanja i preuzimanja nije nužno pronalaženje partnera s sličnom ili kompatibilnom kulturom, nego upravljati kulturnim razlikama putem sveobuhvatnog pristupa koji gradi razumijevanje kulture i promiče kreativne sinergije (Marks i Mirvis 2011). Razvijen je i model u kojem se prikazuju različita krajnja organizacijska i kultur</w:t>
      </w:r>
      <w:r w:rsidR="0035624C" w:rsidRPr="00BE5472">
        <w:rPr>
          <w:rFonts w:ascii="Times New Roman" w:hAnsi="Times New Roman" w:cs="Times New Roman"/>
          <w:sz w:val="24"/>
          <w:szCs w:val="24"/>
        </w:rPr>
        <w:t>n</w:t>
      </w:r>
      <w:r w:rsidRPr="00BE5472">
        <w:rPr>
          <w:rFonts w:ascii="Times New Roman" w:hAnsi="Times New Roman" w:cs="Times New Roman"/>
          <w:sz w:val="24"/>
          <w:szCs w:val="24"/>
        </w:rPr>
        <w:t>a stanja koja mogu pomoći izvršnim direktorima da razmotre svoje mogućnosti i razjasne namjere vezane uz kombinirano poduzeće koje nastaje procesom integracije. Model se pojašnjava u nastavku (Marks i Mirvis: 866 – 867):</w:t>
      </w:r>
    </w:p>
    <w:p w14:paraId="5473CE09" w14:textId="58D4F66F" w:rsidR="006E052A" w:rsidRPr="00BE5472" w:rsidRDefault="006E052A" w:rsidP="00120B4F">
      <w:pPr>
        <w:numPr>
          <w:ilvl w:val="0"/>
          <w:numId w:val="84"/>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Očuvanje</w:t>
      </w:r>
      <w:r w:rsidRPr="00BE5472">
        <w:rPr>
          <w:rFonts w:ascii="Times New Roman" w:hAnsi="Times New Roman" w:cs="Times New Roman"/>
          <w:sz w:val="24"/>
          <w:szCs w:val="24"/>
        </w:rPr>
        <w:t>. To je slučaj kada se preuzeto poduzeće suočava samo s umjerenim stupnjem integracije i zadržava svoj način poslovanja. Ovo krajnje stanje poželjno je u diversificiranim poduzećima koje promoviraju kulturni pluralizam među poslovnim jedinicama,</w:t>
      </w:r>
      <w:r w:rsidR="0035624C" w:rsidRPr="00BE5472">
        <w:rPr>
          <w:rFonts w:ascii="Times New Roman" w:hAnsi="Times New Roman" w:cs="Times New Roman"/>
          <w:sz w:val="24"/>
          <w:szCs w:val="24"/>
        </w:rPr>
        <w:t xml:space="preserve"> </w:t>
      </w:r>
      <w:r w:rsidRPr="00BE5472">
        <w:rPr>
          <w:rFonts w:ascii="Times New Roman" w:hAnsi="Times New Roman" w:cs="Times New Roman"/>
          <w:sz w:val="24"/>
          <w:szCs w:val="24"/>
        </w:rPr>
        <w:t>ali i u preuzimanjima koja za cilj imaju osigurati i izgraditi ljudski i društveni kapital. Da bi uspjela, uprava poduzeća preuzimatelja mora štititi granicu podružnice, ograničiti upade njezinog korporativnog osoblja i minimizirati pridržavanje njezinih pravila i sustava. Strateške sinergije koje proizlaze iz ove kombinacije dolaze iz konačnog „križanja“ zaposlenika i  rada na zajedničkim programima.</w:t>
      </w:r>
    </w:p>
    <w:p w14:paraId="79B40FA0" w14:textId="5B4029AF" w:rsidR="006E052A" w:rsidRPr="00BE5472" w:rsidRDefault="006E052A" w:rsidP="00120B4F">
      <w:pPr>
        <w:numPr>
          <w:ilvl w:val="0"/>
          <w:numId w:val="84"/>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Apsorpcija</w:t>
      </w:r>
      <w:r w:rsidRPr="00BE5472">
        <w:rPr>
          <w:rFonts w:ascii="Times New Roman" w:hAnsi="Times New Roman" w:cs="Times New Roman"/>
          <w:sz w:val="24"/>
          <w:szCs w:val="24"/>
        </w:rPr>
        <w:t xml:space="preserve">. Ovdje se preuzeto poduzeće apsorbira od strane preuzimatelja i asimilira u kulturu. U ovim slučajevima poduzeća preuzimatelji često moraju dovesti novu upravu i </w:t>
      </w:r>
      <w:r w:rsidRPr="00BE5472">
        <w:rPr>
          <w:rFonts w:ascii="Times New Roman" w:hAnsi="Times New Roman" w:cs="Times New Roman"/>
          <w:sz w:val="24"/>
          <w:szCs w:val="24"/>
        </w:rPr>
        <w:lastRenderedPageBreak/>
        <w:t>prilagoditi preuzeto poduzeće korporativnim odnosima izvještavanja i režimima preuzimatelja. Ovo krajnje stanje često je izvedivo u horizontalnim spajanjima koj</w:t>
      </w:r>
      <w:r w:rsidR="0035624C" w:rsidRPr="00BE5472">
        <w:rPr>
          <w:rFonts w:ascii="Times New Roman" w:hAnsi="Times New Roman" w:cs="Times New Roman"/>
          <w:sz w:val="24"/>
          <w:szCs w:val="24"/>
        </w:rPr>
        <w:t>a</w:t>
      </w:r>
      <w:r w:rsidRPr="00BE5472">
        <w:rPr>
          <w:rFonts w:ascii="Times New Roman" w:hAnsi="Times New Roman" w:cs="Times New Roman"/>
          <w:sz w:val="24"/>
          <w:szCs w:val="24"/>
        </w:rPr>
        <w:t xml:space="preserve"> povezuju poduzeća u istoj industriji.</w:t>
      </w:r>
    </w:p>
    <w:p w14:paraId="0BC85D99" w14:textId="77777777" w:rsidR="006E052A" w:rsidRPr="00BE5472" w:rsidRDefault="006E052A" w:rsidP="00120B4F">
      <w:pPr>
        <w:numPr>
          <w:ilvl w:val="0"/>
          <w:numId w:val="84"/>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Obrnuto preuzimanje</w:t>
      </w:r>
      <w:r w:rsidRPr="00BE5472">
        <w:rPr>
          <w:rFonts w:ascii="Times New Roman" w:hAnsi="Times New Roman" w:cs="Times New Roman"/>
          <w:sz w:val="24"/>
          <w:szCs w:val="24"/>
        </w:rPr>
        <w:t>. Ovo je zrcalna slika apsorpcijske kombinacije. Ovdje se poduzeće preuzimatelj želi prilagoditi preuzetom poduzeću. Preuzeto poduzeće definira uvjete preuzimanja i način integracije i pokreće kulturne promjene u poduzeću preuzimatelju. Kada se ovaj neobičan tip integracije dogodi, obično uključuje preuzetu poslovnu jedinicu ili odjel koji potom apsorbira operacije paralelne jedinice u preuzetom poduzeću.</w:t>
      </w:r>
    </w:p>
    <w:p w14:paraId="20BB5C6C" w14:textId="7CB9937C" w:rsidR="006E052A" w:rsidRPr="00BE5472" w:rsidRDefault="006E052A" w:rsidP="00120B4F">
      <w:pPr>
        <w:numPr>
          <w:ilvl w:val="0"/>
          <w:numId w:val="84"/>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Najbolje od oba</w:t>
      </w:r>
      <w:r w:rsidRPr="00BE5472">
        <w:rPr>
          <w:rFonts w:ascii="Times New Roman" w:hAnsi="Times New Roman" w:cs="Times New Roman"/>
          <w:sz w:val="24"/>
          <w:szCs w:val="24"/>
        </w:rPr>
        <w:t xml:space="preserve">. Ovo je slučaj postizanja sinergije između poduzeća kroz njihovu djelomičnu ili potpunu integraciju. Geografska proširenja ili </w:t>
      </w:r>
      <w:r w:rsidRPr="00BE5472">
        <w:rPr>
          <w:rFonts w:ascii="Times New Roman" w:hAnsi="Times New Roman" w:cs="Times New Roman"/>
          <w:i/>
          <w:sz w:val="24"/>
          <w:szCs w:val="24"/>
        </w:rPr>
        <w:t>roll-up</w:t>
      </w:r>
      <w:r w:rsidRPr="00BE5472">
        <w:rPr>
          <w:rFonts w:ascii="Times New Roman" w:hAnsi="Times New Roman" w:cs="Times New Roman"/>
          <w:sz w:val="24"/>
          <w:szCs w:val="24"/>
        </w:rPr>
        <w:t xml:space="preserve"> u fragmentiranim industrijama često teže ovom krajnjem stanju. Povijesno gledano, ovi tipovi kombinacija obično su uspješniji od drugih, ali su također i zahtjevniji. Financijske i operativne sinergije postižu se konsolidacijom. To znači spajanje funkcija </w:t>
      </w:r>
      <w:r w:rsidR="005C230F" w:rsidRPr="00BE5472">
        <w:rPr>
          <w:rFonts w:ascii="Times New Roman" w:hAnsi="Times New Roman" w:cs="Times New Roman"/>
          <w:sz w:val="24"/>
          <w:szCs w:val="24"/>
        </w:rPr>
        <w:t>koje</w:t>
      </w:r>
      <w:r w:rsidRPr="00BE5472">
        <w:rPr>
          <w:rFonts w:ascii="Times New Roman" w:hAnsi="Times New Roman" w:cs="Times New Roman"/>
          <w:sz w:val="24"/>
          <w:szCs w:val="24"/>
        </w:rPr>
        <w:t xml:space="preserve"> često rezultira smanjenjem radne snage. Optimalni rezultat je potpuna kulturna integracija </w:t>
      </w:r>
      <w:r w:rsidR="00ED19FD" w:rsidRPr="00BE5472">
        <w:rPr>
          <w:rFonts w:ascii="Times New Roman" w:hAnsi="Times New Roman" w:cs="Times New Roman"/>
          <w:sz w:val="24"/>
          <w:szCs w:val="24"/>
        </w:rPr>
        <w:t>–</w:t>
      </w:r>
      <w:r w:rsidRPr="00BE5472">
        <w:rPr>
          <w:rFonts w:ascii="Times New Roman" w:hAnsi="Times New Roman" w:cs="Times New Roman"/>
          <w:sz w:val="24"/>
          <w:szCs w:val="24"/>
        </w:rPr>
        <w:t xml:space="preserve"> miješanje politika i praksi oba poduzeća.</w:t>
      </w:r>
    </w:p>
    <w:p w14:paraId="4ED56AA8" w14:textId="77777777" w:rsidR="006E052A" w:rsidRPr="00BE5472" w:rsidRDefault="006E052A" w:rsidP="00120B4F">
      <w:pPr>
        <w:numPr>
          <w:ilvl w:val="0"/>
          <w:numId w:val="84"/>
        </w:numPr>
        <w:spacing w:line="360" w:lineRule="auto"/>
        <w:contextualSpacing/>
        <w:jc w:val="both"/>
        <w:rPr>
          <w:rFonts w:ascii="Times New Roman" w:hAnsi="Times New Roman" w:cs="Times New Roman"/>
          <w:sz w:val="24"/>
          <w:szCs w:val="24"/>
        </w:rPr>
      </w:pPr>
      <w:r w:rsidRPr="00BE5472">
        <w:rPr>
          <w:rFonts w:ascii="Times New Roman" w:hAnsi="Times New Roman" w:cs="Times New Roman"/>
          <w:i/>
          <w:sz w:val="24"/>
          <w:szCs w:val="24"/>
        </w:rPr>
        <w:t>Transformacija</w:t>
      </w:r>
      <w:r w:rsidRPr="00BE5472">
        <w:rPr>
          <w:rFonts w:ascii="Times New Roman" w:hAnsi="Times New Roman" w:cs="Times New Roman"/>
          <w:sz w:val="24"/>
          <w:szCs w:val="24"/>
        </w:rPr>
        <w:t>. Ovdje oba poduzeća prolaze kroz temeljne promjene nakon njihove integracije. Ovo krajnje stanje je željeno kada se industrija radikalno mijenja. Sinergije ne dolazi samo iz reorganizacije poslovanja, već i iz novostvorenog poduzeća. Ovo je najkompleksniji od svih tipova integracija i zahtijeva značajna ulaganja i inventivno upravljanje. Transformacija predstavlja oštar prekid s prošlošću. Postojeće prakse i rutine moraju biti napuštene, a nove razvijene.</w:t>
      </w:r>
    </w:p>
    <w:p w14:paraId="6C699D8C" w14:textId="77777777" w:rsidR="006E052A" w:rsidRPr="00BE5472" w:rsidRDefault="006E052A" w:rsidP="006E052A">
      <w:pPr>
        <w:spacing w:line="360" w:lineRule="auto"/>
        <w:jc w:val="both"/>
        <w:rPr>
          <w:rFonts w:ascii="Times New Roman" w:hAnsi="Times New Roman" w:cs="Times New Roman"/>
          <w:sz w:val="24"/>
          <w:szCs w:val="24"/>
        </w:rPr>
      </w:pPr>
    </w:p>
    <w:p w14:paraId="2ACE00FE" w14:textId="3A5A846A"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istraživanja kojeg su proveli Saunders, Altinay i Riordan (2009) na uzorku poduzeća u hotelskoj industriji naglašavaju važnost ljudske dinamike spajanja, ističući značaj snažnog vodstva, otvorene i iskrene komunikacije kao preduvjeta za integraciju. Autori sugeriraju potrebu za provođenjem kulturnog audit</w:t>
      </w:r>
      <w:r w:rsidR="005C230F" w:rsidRPr="00BE5472">
        <w:rPr>
          <w:rFonts w:ascii="Times New Roman" w:hAnsi="Times New Roman" w:cs="Times New Roman"/>
          <w:sz w:val="24"/>
          <w:szCs w:val="24"/>
        </w:rPr>
        <w:t>a</w:t>
      </w:r>
      <w:r w:rsidRPr="00BE5472">
        <w:rPr>
          <w:rFonts w:ascii="Times New Roman" w:hAnsi="Times New Roman" w:cs="Times New Roman"/>
          <w:sz w:val="24"/>
          <w:szCs w:val="24"/>
        </w:rPr>
        <w:t xml:space="preserve"> prije procesa integracije. Spajanje dvaju poduzeća uključuje izdvajanje mnogo vremena i ostalih resursa i provođenje aktivnosti, kako prije tako i nakon spajanja i preuzimanja, no uspješan ishod je uvijek nesiguran i podložan je učinkovitom upravljanju kulturnom integracijom. Canina (2009) navodi kako o stupnju operativne i kulturološke povezanosti uvelike ovisi kompletna uspješnost integracijskog procesa u hotelijerstvu </w:t>
      </w:r>
      <w:r w:rsidRPr="00BE5472">
        <w:rPr>
          <w:rFonts w:ascii="Times New Roman" w:hAnsi="Times New Roman" w:cs="Times New Roman"/>
          <w:sz w:val="24"/>
          <w:szCs w:val="24"/>
        </w:rPr>
        <w:lastRenderedPageBreak/>
        <w:t xml:space="preserve">promatrajući termin </w:t>
      </w:r>
      <w:r w:rsidRPr="00BE5472">
        <w:rPr>
          <w:rFonts w:ascii="Times New Roman" w:hAnsi="Times New Roman" w:cs="Times New Roman"/>
          <w:i/>
          <w:sz w:val="24"/>
          <w:szCs w:val="24"/>
        </w:rPr>
        <w:t>povezanost</w:t>
      </w:r>
      <w:r w:rsidRPr="00BE5472">
        <w:rPr>
          <w:rFonts w:ascii="Times New Roman" w:hAnsi="Times New Roman" w:cs="Times New Roman"/>
          <w:sz w:val="24"/>
          <w:szCs w:val="24"/>
        </w:rPr>
        <w:t xml:space="preserve"> kroz vanjsku (ciljano tržište i tržišno pozicioniranje) i internu (organizacijska kultura) povezanost.</w:t>
      </w:r>
    </w:p>
    <w:p w14:paraId="3C08D0F0" w14:textId="50522F95" w:rsidR="006E052A" w:rsidRPr="00BE5472" w:rsidRDefault="006E052A" w:rsidP="006E052A">
      <w:pPr>
        <w:spacing w:line="360" w:lineRule="auto"/>
        <w:jc w:val="both"/>
        <w:rPr>
          <w:rFonts w:ascii="Times New Roman" w:hAnsi="Times New Roman" w:cs="Times New Roman"/>
          <w:bCs/>
          <w:sz w:val="24"/>
          <w:szCs w:val="24"/>
        </w:rPr>
      </w:pPr>
      <w:r w:rsidRPr="00BE5472">
        <w:rPr>
          <w:rFonts w:ascii="Times New Roman" w:hAnsi="Times New Roman" w:cs="Times New Roman"/>
          <w:b/>
          <w:sz w:val="24"/>
          <w:szCs w:val="24"/>
        </w:rPr>
        <w:t>Uloga menadžera</w:t>
      </w:r>
      <w:r w:rsidRPr="00BE5472">
        <w:rPr>
          <w:rFonts w:ascii="Times New Roman" w:hAnsi="Times New Roman" w:cs="Times New Roman"/>
          <w:sz w:val="24"/>
          <w:szCs w:val="24"/>
        </w:rPr>
        <w:t xml:space="preserve"> u procesu integracije nakon spajanja i preuzimanja bila je također područje interesa raznih istraživača. Tako primjerice, DiGeorgio (2001) raspravlja kako je posebna pažnja vrhovnog menadžmenta ključna za ostvarivanje uspjeha u fazi integracije nakon spajanja i preuzimanja. Do sličnog su zaključka došli i Larsson </w:t>
      </w:r>
      <w:r w:rsidR="00370829" w:rsidRPr="00BE5472">
        <w:rPr>
          <w:rFonts w:ascii="Times New Roman" w:hAnsi="Times New Roman" w:cs="Times New Roman"/>
          <w:sz w:val="24"/>
          <w:szCs w:val="24"/>
        </w:rPr>
        <w:t>i</w:t>
      </w:r>
      <w:r w:rsidRPr="00BE5472">
        <w:rPr>
          <w:rFonts w:ascii="Times New Roman" w:hAnsi="Times New Roman" w:cs="Times New Roman"/>
          <w:sz w:val="24"/>
          <w:szCs w:val="24"/>
        </w:rPr>
        <w:t xml:space="preserve"> Finkelstein (1999) u svojem istraživanju.</w:t>
      </w:r>
      <w:r w:rsidRPr="00BE5472">
        <w:rPr>
          <w:rFonts w:ascii="Times New Roman" w:hAnsi="Times New Roman" w:cs="Times New Roman"/>
        </w:rPr>
        <w:t xml:space="preserve"> </w:t>
      </w:r>
      <w:r w:rsidRPr="00BE5472">
        <w:rPr>
          <w:rFonts w:ascii="Times New Roman" w:hAnsi="Times New Roman" w:cs="Times New Roman"/>
          <w:sz w:val="24"/>
          <w:szCs w:val="24"/>
        </w:rPr>
        <w:t>Da bi razumjeli kako pažnja menadžera utječe na proces integracije nakon spajanja i preuzimanja, potrebno je istražiti na koje se probleme menadžeri usredotočuju tijekom vremena u procesu integracije, čimbenike koji utječu na obrasce njihove pažnje te utjecaj pažnje na ishode procesa integracije kako</w:t>
      </w:r>
      <w:r w:rsidR="00A51506" w:rsidRPr="00BE5472">
        <w:rPr>
          <w:rFonts w:ascii="Times New Roman" w:hAnsi="Times New Roman" w:cs="Times New Roman"/>
          <w:sz w:val="24"/>
          <w:szCs w:val="24"/>
        </w:rPr>
        <w:t xml:space="preserve"> to</w:t>
      </w:r>
      <w:r w:rsidRPr="00BE5472">
        <w:rPr>
          <w:rFonts w:ascii="Times New Roman" w:hAnsi="Times New Roman" w:cs="Times New Roman"/>
          <w:sz w:val="24"/>
          <w:szCs w:val="24"/>
        </w:rPr>
        <w:t xml:space="preserve"> zaključuju Yu, Engleman i </w:t>
      </w:r>
      <w:r w:rsidRPr="00BE5472">
        <w:rPr>
          <w:rFonts w:ascii="Times New Roman" w:hAnsi="Times New Roman" w:cs="Times New Roman"/>
          <w:bCs/>
          <w:sz w:val="24"/>
          <w:szCs w:val="24"/>
        </w:rPr>
        <w:t xml:space="preserve">Van de Ven (2015). Ocasio (1997) raspravlja o tome kako je ponašanje poduzeća rezultat načina na koji poduzeća kanaliziraju i distribuiraju pažnju donositelja odluka i svoj pogled temelji na tri povezane pretpostavke: (1) Ono što donositelji odluka rade ovisi o pitanjima i odgovorima na koje oni usmjeravaju svoju pažnju. (2) Pitanja i odgovori na koje se menadžeri – donositelji odluka </w:t>
      </w:r>
      <w:r w:rsidR="00ED19FD" w:rsidRPr="00BE5472">
        <w:rPr>
          <w:rFonts w:ascii="Times New Roman" w:hAnsi="Times New Roman" w:cs="Times New Roman"/>
          <w:kern w:val="2"/>
          <w:sz w:val="24"/>
          <w:szCs w:val="24"/>
          <w14:ligatures w14:val="standardContextual"/>
        </w:rPr>
        <w:t>–</w:t>
      </w:r>
      <w:r w:rsidRPr="00BE5472">
        <w:rPr>
          <w:rFonts w:ascii="Times New Roman" w:hAnsi="Times New Roman" w:cs="Times New Roman"/>
          <w:bCs/>
          <w:sz w:val="24"/>
          <w:szCs w:val="24"/>
        </w:rPr>
        <w:t xml:space="preserve"> fokusiraju, te što oni čine pak ovis</w:t>
      </w:r>
      <w:r w:rsidR="00A51506" w:rsidRPr="00BE5472">
        <w:rPr>
          <w:rFonts w:ascii="Times New Roman" w:hAnsi="Times New Roman" w:cs="Times New Roman"/>
          <w:bCs/>
          <w:sz w:val="24"/>
          <w:szCs w:val="24"/>
        </w:rPr>
        <w:t>i</w:t>
      </w:r>
      <w:r w:rsidRPr="00BE5472">
        <w:rPr>
          <w:rFonts w:ascii="Times New Roman" w:hAnsi="Times New Roman" w:cs="Times New Roman"/>
          <w:bCs/>
          <w:sz w:val="24"/>
          <w:szCs w:val="24"/>
        </w:rPr>
        <w:t xml:space="preserve"> o njihovoj situaciji. Pojedinci, donositelji odluka, mijenjaju fokus svoje pažnje, koji ovisi prvenstveno o karakteristikama situacije u kojoj se nalaze. (3) Određena situacija u kojoj se nalaze donositelji odluka i način na koji joj pristupaju, ovise o strukturalnoj alokaciji pažnje. </w:t>
      </w:r>
      <w:r w:rsidR="0068707F" w:rsidRPr="00BE5472">
        <w:rPr>
          <w:rFonts w:ascii="Times New Roman" w:hAnsi="Times New Roman" w:cs="Times New Roman"/>
          <w:bCs/>
          <w:sz w:val="24"/>
          <w:szCs w:val="24"/>
        </w:rPr>
        <w:t xml:space="preserve">Konkretno, </w:t>
      </w:r>
      <w:r w:rsidR="00644882" w:rsidRPr="00BE5472">
        <w:rPr>
          <w:rFonts w:ascii="Times New Roman" w:hAnsi="Times New Roman" w:cs="Times New Roman"/>
          <w:bCs/>
          <w:sz w:val="24"/>
          <w:szCs w:val="24"/>
        </w:rPr>
        <w:t>pažnja</w:t>
      </w:r>
      <w:r w:rsidR="0068707F" w:rsidRPr="00BE5472">
        <w:rPr>
          <w:rFonts w:ascii="Times New Roman" w:hAnsi="Times New Roman" w:cs="Times New Roman"/>
          <w:bCs/>
          <w:sz w:val="24"/>
          <w:szCs w:val="24"/>
        </w:rPr>
        <w:t xml:space="preserve"> donositelja odluka ovisi o načinu na koji poduzeće strukturira i usmjerava resurse, informacije i odgovornosti prema specifičnim aktivnostima i postupcima</w:t>
      </w:r>
      <w:r w:rsidRPr="00BE5472">
        <w:rPr>
          <w:rFonts w:ascii="Times New Roman" w:hAnsi="Times New Roman" w:cs="Times New Roman"/>
          <w:bCs/>
          <w:sz w:val="24"/>
          <w:szCs w:val="24"/>
        </w:rPr>
        <w:t>. Drugim riječima, organizacije uspostavljaju strukture koje utječu na to koja pitanja zauzimaju pažnju dionika organizacije, koje opcije postaju dostupne za djelovanje po tim pitanjima te, u konačnici, aktivnosti koje poduzimaju. Autori Hruška, Omazić i Vrdoljak Raguž (2015) tvrde da  organizacijska dinamika proizlazi iz ponavljajućih procesa stvaranja smisla od stalno promjenjivih okolnosti te da je vođenje način pružanja smisla. Oni smatraju da sve polazi od rekonstrukcije identiteta vođe</w:t>
      </w:r>
      <w:r w:rsidR="00ED19FD"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što dovodi do uspješnih organizacijskih promjena. No, autori </w:t>
      </w:r>
      <w:bookmarkStart w:id="148" w:name="_Hlk160098163"/>
      <w:r w:rsidRPr="00BE5472">
        <w:rPr>
          <w:rFonts w:ascii="Times New Roman" w:hAnsi="Times New Roman" w:cs="Times New Roman"/>
          <w:bCs/>
          <w:sz w:val="24"/>
          <w:szCs w:val="24"/>
        </w:rPr>
        <w:t xml:space="preserve">Yu, Engleman i Van de Ven (2015) </w:t>
      </w:r>
      <w:bookmarkEnd w:id="148"/>
      <w:r w:rsidRPr="00BE5472">
        <w:rPr>
          <w:rFonts w:ascii="Times New Roman" w:hAnsi="Times New Roman" w:cs="Times New Roman"/>
          <w:bCs/>
          <w:sz w:val="24"/>
          <w:szCs w:val="24"/>
        </w:rPr>
        <w:t xml:space="preserve">izdvajaju i značaj i ulogu perspektive organizacijskog osmišljavanja. Perspektiva organizacijskog osmišljavanja odnosi se na teorijski okvir ili pristup unutar istraživanja organizacija koji se fokusira na to kako pojedinci unutar poduzeća tumače i daju smisao svom okruženju. Naglašava razumijevanje kako ljudi zajedno stvaraju značenje iz nejasnih ili nesigurnih situacija, kako konstruiraju zajednička tumačenja događaja i kako ta tumačenja oblikuju njihove akcije i odluke unutar organizacije. Ova perspektiva istražuje kognitivne procese, društvene interakcije i kulturne </w:t>
      </w:r>
      <w:r w:rsidRPr="00BE5472">
        <w:rPr>
          <w:rFonts w:ascii="Times New Roman" w:hAnsi="Times New Roman" w:cs="Times New Roman"/>
          <w:bCs/>
          <w:sz w:val="24"/>
          <w:szCs w:val="24"/>
        </w:rPr>
        <w:lastRenderedPageBreak/>
        <w:t>utjecaje koji doprinose organizacijskom osmišljavanju. Prema Yu, Engleman i Van de Ven (2015) perspektiva organizacijskog osmišljavanja naglašava ulogu mentalnih modela temeljenih na prošlim iskustvima u tumačenju signala koji privlače pažnju dionika organizacije. Tako su spomenuti autori u svom istraživanju pošli od obje perspektive kako bi identificirali obrasce o temama i pitanjima koja su privukla pažnju menadžera u organizaciji u kojoj su proveli istraživanje (Midwest Helathcare System) tijekom procesa integracije nakon spajanja i preuzimanja. Analizirali su organizacijske strukture koje leže u pozadini tih obrazaca. Također analiziraju kako su menadžeri tijekom vremena shvaćali razne teme i pitanja te kako su njihovi procesi osmišljavanja utjecali na tijek integracijskog procesa te na promatrane ishode.</w:t>
      </w:r>
      <w:r w:rsidRPr="00BE5472">
        <w:rPr>
          <w:rFonts w:ascii="Times New Roman" w:hAnsi="Times New Roman" w:cs="Times New Roman"/>
          <w:kern w:val="2"/>
          <w14:ligatures w14:val="standardContextual"/>
        </w:rPr>
        <w:t xml:space="preserve"> </w:t>
      </w:r>
    </w:p>
    <w:p w14:paraId="394457A9" w14:textId="615D424C"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b/>
          <w:sz w:val="24"/>
          <w:szCs w:val="24"/>
        </w:rPr>
        <w:t>Integracija</w:t>
      </w:r>
      <w:r w:rsidRPr="00BE5472">
        <w:rPr>
          <w:rFonts w:ascii="Times New Roman" w:hAnsi="Times New Roman" w:cs="Times New Roman"/>
          <w:sz w:val="24"/>
          <w:szCs w:val="24"/>
        </w:rPr>
        <w:t xml:space="preserve"> </w:t>
      </w:r>
      <w:r w:rsidRPr="00BE5472">
        <w:rPr>
          <w:rFonts w:ascii="Times New Roman" w:hAnsi="Times New Roman" w:cs="Times New Roman"/>
          <w:b/>
          <w:sz w:val="24"/>
          <w:szCs w:val="24"/>
        </w:rPr>
        <w:t>informacijskih sustava</w:t>
      </w:r>
      <w:r w:rsidRPr="00BE5472">
        <w:rPr>
          <w:rFonts w:ascii="Times New Roman" w:hAnsi="Times New Roman" w:cs="Times New Roman"/>
          <w:sz w:val="24"/>
          <w:szCs w:val="24"/>
        </w:rPr>
        <w:t xml:space="preserve"> još je jedan od izazova s kojim se suoč</w:t>
      </w:r>
      <w:r w:rsidR="009110E3" w:rsidRPr="00BE5472">
        <w:rPr>
          <w:rFonts w:ascii="Times New Roman" w:hAnsi="Times New Roman" w:cs="Times New Roman"/>
          <w:sz w:val="24"/>
          <w:szCs w:val="24"/>
        </w:rPr>
        <w:t>ava</w:t>
      </w:r>
      <w:r w:rsidRPr="00BE5472">
        <w:rPr>
          <w:rFonts w:ascii="Times New Roman" w:hAnsi="Times New Roman" w:cs="Times New Roman"/>
          <w:sz w:val="24"/>
          <w:szCs w:val="24"/>
        </w:rPr>
        <w:t xml:space="preserve">ju poduzeća koja sudjeluju u procesima spajanja i preuzimanja. Chang, Chang i Wang (2014) ukazuju da je za uspješnost integracije informacijskih sustava ključno identificirati kritične funkcije i iskoristiti sva prethodna znanja u svakom od poduzeća. Standardizacija informacijskih sustava možda neće biti prioritet u fazi integracije nakon spajanja i preuzimanja, posebice </w:t>
      </w:r>
      <w:r w:rsidR="00F87611" w:rsidRPr="00BE5472">
        <w:rPr>
          <w:rFonts w:ascii="Times New Roman" w:hAnsi="Times New Roman" w:cs="Times New Roman"/>
          <w:sz w:val="24"/>
          <w:szCs w:val="24"/>
        </w:rPr>
        <w:t>a</w:t>
      </w:r>
      <w:r w:rsidRPr="00BE5472">
        <w:rPr>
          <w:rFonts w:ascii="Times New Roman" w:hAnsi="Times New Roman" w:cs="Times New Roman"/>
          <w:sz w:val="24"/>
          <w:szCs w:val="24"/>
        </w:rPr>
        <w:t xml:space="preserve">ko spajanja nisu horizontalna, a svako od poduzeća u svojoj bazi ima druge dobavljače, klijente i sl. Zbog toga integracija poprima obilježja očuvanja i apsorpcije, odnosno hibridnog modela integracije nakon preuzimanja. </w:t>
      </w:r>
    </w:p>
    <w:p w14:paraId="76FE3209" w14:textId="2CB7688F"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Spajanja i preuzimanja smatraju se strateškim transakcijama poduzeća koje uključuju prijenos vlasništva ili kontrolu nad jednim ili više poslovnih subjekata. Riječ je o uobičajenim procesima koji se događaju u hotelskom sektoru i u turizmu. Oni nude značajne prilike za rast i razvoj poduzeća. Iako česte, posebice posljednjih godina, </w:t>
      </w:r>
      <w:r w:rsidR="00644882" w:rsidRPr="00BE5472">
        <w:rPr>
          <w:rFonts w:ascii="Times New Roman" w:hAnsi="Times New Roman" w:cs="Times New Roman"/>
          <w:sz w:val="24"/>
          <w:szCs w:val="24"/>
        </w:rPr>
        <w:t xml:space="preserve">to su </w:t>
      </w:r>
      <w:r w:rsidRPr="00BE5472">
        <w:rPr>
          <w:rFonts w:ascii="Times New Roman" w:hAnsi="Times New Roman" w:cs="Times New Roman"/>
          <w:sz w:val="24"/>
          <w:szCs w:val="24"/>
        </w:rPr>
        <w:t>složene</w:t>
      </w:r>
      <w:r w:rsidR="00644882"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transakcije koje ostavljaju traga unutar cjelokupnog turističkog ekosustava te, uže, hotelskog sektora i njegova okruženja. Zato se i snalaženje u ovakvim procesima smatra pravom umjetnošću. </w:t>
      </w:r>
    </w:p>
    <w:p w14:paraId="10D26F65" w14:textId="1900A504"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Razloga u pozadini poduzimanja transakcija spajanja i preuzimanja ima mnogo. Može to biti želj</w:t>
      </w:r>
      <w:r w:rsidR="003A7646" w:rsidRPr="00BE5472">
        <w:rPr>
          <w:rFonts w:ascii="Times New Roman" w:hAnsi="Times New Roman" w:cs="Times New Roman"/>
          <w:sz w:val="24"/>
          <w:szCs w:val="24"/>
        </w:rPr>
        <w:t>a</w:t>
      </w:r>
      <w:r w:rsidRPr="00BE5472">
        <w:rPr>
          <w:rFonts w:ascii="Times New Roman" w:hAnsi="Times New Roman" w:cs="Times New Roman"/>
          <w:sz w:val="24"/>
          <w:szCs w:val="24"/>
        </w:rPr>
        <w:t xml:space="preserve"> za preuzimanjem tržišta i </w:t>
      </w:r>
      <w:r w:rsidR="009110E3" w:rsidRPr="00BE5472">
        <w:rPr>
          <w:rFonts w:ascii="Times New Roman" w:hAnsi="Times New Roman" w:cs="Times New Roman"/>
          <w:sz w:val="24"/>
          <w:szCs w:val="24"/>
        </w:rPr>
        <w:t>otvaranjem</w:t>
      </w:r>
      <w:r w:rsidRPr="00BE5472">
        <w:rPr>
          <w:rFonts w:ascii="Times New Roman" w:hAnsi="Times New Roman" w:cs="Times New Roman"/>
          <w:sz w:val="24"/>
          <w:szCs w:val="24"/>
        </w:rPr>
        <w:t xml:space="preserve"> novih destinacija. Primjerice, </w:t>
      </w:r>
      <w:r w:rsidRPr="00BE5472">
        <w:rPr>
          <w:rFonts w:ascii="Times New Roman" w:hAnsi="Times New Roman" w:cs="Times New Roman"/>
          <w:i/>
          <w:iCs/>
          <w:sz w:val="24"/>
          <w:szCs w:val="24"/>
        </w:rPr>
        <w:t>Marriot International</w:t>
      </w:r>
      <w:r w:rsidRPr="00BE5472">
        <w:rPr>
          <w:rFonts w:ascii="Times New Roman" w:hAnsi="Times New Roman" w:cs="Times New Roman"/>
          <w:sz w:val="24"/>
          <w:szCs w:val="24"/>
        </w:rPr>
        <w:t xml:space="preserve"> je 2019. godine preuzeo </w:t>
      </w:r>
      <w:r w:rsidRPr="00BE5472">
        <w:rPr>
          <w:rFonts w:ascii="Times New Roman" w:hAnsi="Times New Roman" w:cs="Times New Roman"/>
          <w:i/>
          <w:iCs/>
          <w:sz w:val="24"/>
          <w:szCs w:val="24"/>
        </w:rPr>
        <w:t>Elegant Hotels Group</w:t>
      </w:r>
      <w:r w:rsidRPr="00BE5472">
        <w:rPr>
          <w:rFonts w:ascii="Times New Roman" w:hAnsi="Times New Roman" w:cs="Times New Roman"/>
          <w:sz w:val="24"/>
          <w:szCs w:val="24"/>
        </w:rPr>
        <w:t xml:space="preserve"> sa sedam luksuznih hotela na Barbadosu i time je proširio svoj portfelj na Karipskom otočju. Proširenje poslovanja hotelskih poduzeća na nove destinacije jedan je od razloga brojnih preuzimanja koja su se dogodila posljednjih godina i na području Republike Hrvatske, konkretno </w:t>
      </w:r>
      <w:r w:rsidR="00ED19FD" w:rsidRPr="00BE5472">
        <w:rPr>
          <w:rFonts w:ascii="Times New Roman" w:hAnsi="Times New Roman" w:cs="Times New Roman"/>
          <w:sz w:val="24"/>
          <w:szCs w:val="24"/>
        </w:rPr>
        <w:t>j</w:t>
      </w:r>
      <w:r w:rsidRPr="00BE5472">
        <w:rPr>
          <w:rFonts w:ascii="Times New Roman" w:hAnsi="Times New Roman" w:cs="Times New Roman"/>
          <w:sz w:val="24"/>
          <w:szCs w:val="24"/>
        </w:rPr>
        <w:t xml:space="preserve">adranske Hrvatske. Tako je </w:t>
      </w:r>
      <w:r w:rsidRPr="00BE5472">
        <w:rPr>
          <w:rFonts w:ascii="Times New Roman" w:hAnsi="Times New Roman" w:cs="Times New Roman"/>
          <w:i/>
          <w:iCs/>
          <w:sz w:val="24"/>
          <w:szCs w:val="24"/>
        </w:rPr>
        <w:t>Valamar Riviera</w:t>
      </w:r>
      <w:r w:rsidRPr="00BE5472">
        <w:rPr>
          <w:rFonts w:ascii="Times New Roman" w:hAnsi="Times New Roman" w:cs="Times New Roman"/>
          <w:sz w:val="24"/>
          <w:szCs w:val="24"/>
        </w:rPr>
        <w:t xml:space="preserve">, koji je tradicionalno bio prisutan najviše u Istri, svoje poslovanje proširio i na druge destinacije: Krk, Rab, Makarska, Hvar. Tu je i </w:t>
      </w:r>
      <w:r w:rsidRPr="00BE5472">
        <w:rPr>
          <w:rFonts w:ascii="Times New Roman" w:hAnsi="Times New Roman" w:cs="Times New Roman"/>
          <w:i/>
          <w:iCs/>
          <w:sz w:val="24"/>
          <w:szCs w:val="24"/>
        </w:rPr>
        <w:t>Laguna Novigrad</w:t>
      </w:r>
      <w:r w:rsidRPr="00BE5472">
        <w:rPr>
          <w:rFonts w:ascii="Times New Roman" w:hAnsi="Times New Roman" w:cs="Times New Roman"/>
          <w:sz w:val="24"/>
          <w:szCs w:val="24"/>
        </w:rPr>
        <w:t xml:space="preserve">, odnosno </w:t>
      </w:r>
      <w:r w:rsidRPr="00BE5472">
        <w:rPr>
          <w:rFonts w:ascii="Times New Roman" w:hAnsi="Times New Roman" w:cs="Times New Roman"/>
          <w:i/>
          <w:iCs/>
          <w:sz w:val="24"/>
          <w:szCs w:val="24"/>
        </w:rPr>
        <w:t>Aminess</w:t>
      </w:r>
      <w:r w:rsidRPr="00BE5472">
        <w:rPr>
          <w:rFonts w:ascii="Times New Roman" w:hAnsi="Times New Roman" w:cs="Times New Roman"/>
          <w:sz w:val="24"/>
          <w:szCs w:val="24"/>
        </w:rPr>
        <w:t xml:space="preserve"> d.d. koji se iz Novigrada proširio na Krk, Pag, </w:t>
      </w:r>
      <w:r w:rsidRPr="00BE5472">
        <w:rPr>
          <w:rFonts w:ascii="Times New Roman" w:hAnsi="Times New Roman" w:cs="Times New Roman"/>
          <w:sz w:val="24"/>
          <w:szCs w:val="24"/>
        </w:rPr>
        <w:lastRenderedPageBreak/>
        <w:t xml:space="preserve">Korčulu, Orebić, Crikvenicu i Makarsku. Činjenica je da se radi o vrlo atraktivnim i tradicionalnim turističkim </w:t>
      </w:r>
      <w:r w:rsidR="000E67F0" w:rsidRPr="00BE5472">
        <w:rPr>
          <w:rFonts w:ascii="Times New Roman" w:hAnsi="Times New Roman" w:cs="Times New Roman"/>
          <w:sz w:val="24"/>
          <w:szCs w:val="24"/>
        </w:rPr>
        <w:t>tržištima</w:t>
      </w:r>
      <w:r w:rsidRPr="00BE5472">
        <w:rPr>
          <w:rFonts w:ascii="Times New Roman" w:hAnsi="Times New Roman" w:cs="Times New Roman"/>
          <w:sz w:val="24"/>
          <w:szCs w:val="24"/>
        </w:rPr>
        <w:t xml:space="preserve"> u Hrvatskoj. Razlozi mogu biti i stjecanje vrijedne imovine, konkurentske prednosti, ali i diverzifikacija portfelja i diferencijacija. Primjerice, </w:t>
      </w:r>
      <w:r w:rsidRPr="00BE5472">
        <w:rPr>
          <w:rFonts w:ascii="Times New Roman" w:hAnsi="Times New Roman" w:cs="Times New Roman"/>
          <w:i/>
          <w:iCs/>
          <w:sz w:val="24"/>
          <w:szCs w:val="24"/>
        </w:rPr>
        <w:t>Accor Hotel Group</w:t>
      </w:r>
      <w:r w:rsidRPr="00BE5472">
        <w:rPr>
          <w:rFonts w:ascii="Times New Roman" w:hAnsi="Times New Roman" w:cs="Times New Roman"/>
          <w:sz w:val="24"/>
          <w:szCs w:val="24"/>
        </w:rPr>
        <w:t xml:space="preserve"> je 2018. godine preuzeo švicarski M</w:t>
      </w:r>
      <w:r w:rsidRPr="00BE5472">
        <w:rPr>
          <w:rFonts w:ascii="Times New Roman" w:hAnsi="Times New Roman" w:cs="Times New Roman"/>
          <w:i/>
          <w:iCs/>
          <w:sz w:val="24"/>
          <w:szCs w:val="24"/>
        </w:rPr>
        <w:t>ovenpick Hotels &amp; Resorts</w:t>
      </w:r>
      <w:r w:rsidR="00EF2DE1" w:rsidRPr="00BE5472">
        <w:rPr>
          <w:rFonts w:ascii="Times New Roman" w:hAnsi="Times New Roman" w:cs="Times New Roman"/>
          <w:i/>
          <w:iCs/>
          <w:sz w:val="24"/>
          <w:szCs w:val="24"/>
        </w:rPr>
        <w:t>,</w:t>
      </w:r>
      <w:r w:rsidRPr="00BE5472">
        <w:rPr>
          <w:rFonts w:ascii="Times New Roman" w:hAnsi="Times New Roman" w:cs="Times New Roman"/>
          <w:sz w:val="24"/>
          <w:szCs w:val="24"/>
        </w:rPr>
        <w:t xml:space="preserve"> koji se oduvijek profilirao kao lanac održivih i društveno-odgovornih hotela. Motivacija u pozadini može biti povećanje prihoda i dobiti, smanjenje troškova, smanjenje konkurencije. Stvaranje sinergije i jačanje vrijednosti kombiniranjem resursa, sposobnosti i znanja jedan je od najčešćih razloga poduzimanja ovakvih transakcija. Najbolji primjer je najveće preuzimanje u povijesti hotelskog sektora kada </w:t>
      </w:r>
      <w:r w:rsidRPr="00BE5472">
        <w:rPr>
          <w:rFonts w:ascii="Times New Roman" w:hAnsi="Times New Roman" w:cs="Times New Roman"/>
          <w:i/>
          <w:iCs/>
          <w:sz w:val="24"/>
          <w:szCs w:val="24"/>
        </w:rPr>
        <w:t xml:space="preserve">Marriot International </w:t>
      </w:r>
      <w:r w:rsidRPr="00BE5472">
        <w:rPr>
          <w:rFonts w:ascii="Times New Roman" w:hAnsi="Times New Roman" w:cs="Times New Roman"/>
          <w:sz w:val="24"/>
          <w:szCs w:val="24"/>
        </w:rPr>
        <w:t>preuz</w:t>
      </w:r>
      <w:r w:rsidR="002F0969" w:rsidRPr="00BE5472">
        <w:rPr>
          <w:rFonts w:ascii="Times New Roman" w:hAnsi="Times New Roman" w:cs="Times New Roman"/>
          <w:sz w:val="24"/>
          <w:szCs w:val="24"/>
        </w:rPr>
        <w:t>eo</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Starwood Hotels and Resorts</w:t>
      </w:r>
      <w:r w:rsidRPr="00BE5472">
        <w:rPr>
          <w:rFonts w:ascii="Times New Roman" w:hAnsi="Times New Roman" w:cs="Times New Roman"/>
          <w:sz w:val="24"/>
          <w:szCs w:val="24"/>
        </w:rPr>
        <w:t xml:space="preserve"> i stv</w:t>
      </w:r>
      <w:r w:rsidR="002F0969" w:rsidRPr="00BE5472">
        <w:rPr>
          <w:rFonts w:ascii="Times New Roman" w:hAnsi="Times New Roman" w:cs="Times New Roman"/>
          <w:sz w:val="24"/>
          <w:szCs w:val="24"/>
        </w:rPr>
        <w:t>orio</w:t>
      </w:r>
      <w:r w:rsidRPr="00BE5472">
        <w:rPr>
          <w:rFonts w:ascii="Times New Roman" w:hAnsi="Times New Roman" w:cs="Times New Roman"/>
          <w:sz w:val="24"/>
          <w:szCs w:val="24"/>
        </w:rPr>
        <w:t xml:space="preserve"> poduzeće s više od 30 marki hotela i preko 7000 objekata diljem svijeta. U konačnici, pristupanja novom poslovnom modelu, intelektualnom vlasništvu i tehnologiji također su neki od razloga zbog kojih se hotelska poduzeća odlučuju na ovakve modele rasta i razvoja.</w:t>
      </w:r>
    </w:p>
    <w:p w14:paraId="74082D5C" w14:textId="21D00068" w:rsidR="006E052A" w:rsidRPr="00BE5472" w:rsidRDefault="006E052A" w:rsidP="006E052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Međutim proces spajanja i preuzimanja nije bez izazova. Oni su brojni. Sukobi kultura, razlike u organizacijskoj kulturi, vrijednostima i viziji, komunikacijski jaz, regulatorne prepreke, financijski rizici (npr. preuzimanje prevelikog duga za financiranje transakcije, kriva procjena vrijednosti </w:t>
      </w:r>
      <w:r w:rsidR="009110E3" w:rsidRPr="00BE5472">
        <w:rPr>
          <w:rFonts w:ascii="Times New Roman" w:hAnsi="Times New Roman" w:cs="Times New Roman"/>
          <w:sz w:val="24"/>
          <w:szCs w:val="24"/>
        </w:rPr>
        <w:t>poduzeća</w:t>
      </w:r>
      <w:r w:rsidRPr="00BE5472">
        <w:rPr>
          <w:rFonts w:ascii="Times New Roman" w:hAnsi="Times New Roman" w:cs="Times New Roman"/>
          <w:sz w:val="24"/>
          <w:szCs w:val="24"/>
        </w:rPr>
        <w:t xml:space="preserve"> mete), neočekivani troškovi, nemogućnost integracije informacijskih sustava i dr. </w:t>
      </w:r>
      <w:r w:rsidR="00EF2DE1" w:rsidRPr="00BE5472">
        <w:rPr>
          <w:rFonts w:ascii="Times New Roman" w:hAnsi="Times New Roman" w:cs="Times New Roman"/>
          <w:kern w:val="2"/>
          <w:sz w:val="24"/>
          <w:szCs w:val="24"/>
          <w14:ligatures w14:val="standardContextual"/>
        </w:rPr>
        <w:t xml:space="preserve">– </w:t>
      </w:r>
      <w:r w:rsidRPr="00BE5472">
        <w:rPr>
          <w:rFonts w:ascii="Times New Roman" w:hAnsi="Times New Roman" w:cs="Times New Roman"/>
          <w:sz w:val="24"/>
          <w:szCs w:val="24"/>
        </w:rPr>
        <w:t>sve su to problemi na koje poduzeća mogu naići. Takvi izazovi, jazovi i sukobi mogu značajno utjecati na komunikaciju, suradnju i integraciju zaposlenika, pa i timova i odjela.</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sz w:val="24"/>
          <w:szCs w:val="24"/>
        </w:rPr>
        <w:t>Često su navedeni primjeri rezultat razlike u stilovima vođenja, organizacijskim strukturama i procesima donošenja odluka, ali i lošem praćenju cjelokupnog procesa spajanja i preuzimanja. Proces spajanja i preuzimanja provodi se u fazama, a najčešće se izdvajaju tri ključne faze: faza upravljanja prije preuzimanja, faza integracije nakon preuzimanja i faza evaluacije uspješnosti nakon preuzimanja.</w:t>
      </w:r>
    </w:p>
    <w:p w14:paraId="7A97FA5E" w14:textId="33382A13" w:rsidR="00A7388B" w:rsidRPr="00BE5472" w:rsidRDefault="006E052A" w:rsidP="006E052A">
      <w:pPr>
        <w:spacing w:line="360" w:lineRule="auto"/>
        <w:jc w:val="both"/>
        <w:rPr>
          <w:rFonts w:ascii="Times New Roman" w:hAnsi="Times New Roman" w:cs="Times New Roman"/>
          <w:sz w:val="24"/>
          <w:szCs w:val="24"/>
        </w:rPr>
        <w:sectPr w:rsidR="00A7388B" w:rsidRPr="00BE5472" w:rsidSect="00D03C2F">
          <w:pgSz w:w="12240" w:h="15840"/>
          <w:pgMar w:top="1440" w:right="1440" w:bottom="1440" w:left="1440" w:header="708" w:footer="708" w:gutter="0"/>
          <w:cols w:space="708"/>
          <w:docGrid w:linePitch="360"/>
        </w:sectPr>
      </w:pPr>
      <w:r w:rsidRPr="00BE5472">
        <w:rPr>
          <w:rFonts w:ascii="Times New Roman" w:hAnsi="Times New Roman" w:cs="Times New Roman"/>
          <w:sz w:val="24"/>
          <w:szCs w:val="24"/>
        </w:rPr>
        <w:t>U fazi upravljanja koja prethodi procesu spajanja i preuzimanja ključno je strateško planiranje, jer potrebno je definirati jasne ciljeve i strategije te razumjeti zašto je spajanje ili preuzimanje potrebno te kako će ono doprinijeti dugoročnim ciljevima poduzeća</w:t>
      </w:r>
      <w:r w:rsidR="00927AB8">
        <w:rPr>
          <w:rFonts w:ascii="Times New Roman" w:hAnsi="Times New Roman" w:cs="Times New Roman"/>
          <w:sz w:val="24"/>
          <w:szCs w:val="24"/>
        </w:rPr>
        <w:t xml:space="preserve">. </w:t>
      </w:r>
      <w:r w:rsidRPr="00BE5472">
        <w:rPr>
          <w:rFonts w:ascii="Times New Roman" w:hAnsi="Times New Roman" w:cs="Times New Roman"/>
          <w:sz w:val="24"/>
          <w:szCs w:val="24"/>
        </w:rPr>
        <w:t>Kulturalna kompatibilnost je još jedan značajan čimbenik, posebice kada se radi o međunarodnim spajanjima i preuzimanjima u hotels</w:t>
      </w:r>
      <w:r w:rsidR="0060759C" w:rsidRPr="00BE5472">
        <w:rPr>
          <w:rFonts w:ascii="Times New Roman" w:hAnsi="Times New Roman" w:cs="Times New Roman"/>
          <w:sz w:val="24"/>
          <w:szCs w:val="24"/>
        </w:rPr>
        <w:t>k</w:t>
      </w:r>
      <w:r w:rsidRPr="00BE5472">
        <w:rPr>
          <w:rFonts w:ascii="Times New Roman" w:hAnsi="Times New Roman" w:cs="Times New Roman"/>
          <w:sz w:val="24"/>
          <w:szCs w:val="24"/>
        </w:rPr>
        <w:t>om sektoru. Razumijevanje razlika u poslovnim vrijednostima, stilovima upravljanja i radnim navikama može pomoći u predviđanju potencijalnih sukoba i planiranju njihova ublažavanja.</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sz w:val="24"/>
          <w:szCs w:val="24"/>
        </w:rPr>
        <w:t xml:space="preserve">Nakon što je preuzimanje završeno, počinje pravi izazov: postizanje željenih sinergija i ostvarivanje željene profitabilnosti. Neposredni koraci nakon preuzimanja trebali bi uključivati </w:t>
      </w:r>
      <w:r w:rsidRPr="00BE5472">
        <w:rPr>
          <w:rFonts w:ascii="Times New Roman" w:hAnsi="Times New Roman" w:cs="Times New Roman"/>
          <w:sz w:val="24"/>
          <w:szCs w:val="24"/>
        </w:rPr>
        <w:lastRenderedPageBreak/>
        <w:t xml:space="preserve">rigorozne napore u integraciji, redovitu komunikaciju sa zainteresiranim stranama i reviziju učinka kako bi se osiguralo da sve ide prema planu. U fazi integracije nakon preuzimanja važan čimbenik je plan integracije, gdje se definiraju konkretni koraci za spajanje poslovanja, timova i sustava oba poduzeća. Redovita komunikacija sa svim dionicima ključna je za osiguranje transparentnosti i za rješavanje svih pitanja koja se mogu pojaviti tijekom procesa. Također, pažljivo upravljanje promjenama je od presudne važnosti. Ne smije se zaboraviti na interne dionike – zaposlenike te njihov mogući strah, ali i nesigurnost koja se pojavljuje zbog neizvjesnosti. </w:t>
      </w:r>
      <w:r w:rsidR="00EF2DE1" w:rsidRPr="00BE5472">
        <w:rPr>
          <w:rFonts w:ascii="Times New Roman" w:hAnsi="Times New Roman" w:cs="Times New Roman"/>
          <w:sz w:val="24"/>
          <w:szCs w:val="24"/>
        </w:rPr>
        <w:t>Nužno je o</w:t>
      </w:r>
      <w:r w:rsidRPr="00BE5472">
        <w:rPr>
          <w:rFonts w:ascii="Times New Roman" w:hAnsi="Times New Roman" w:cs="Times New Roman"/>
          <w:sz w:val="24"/>
          <w:szCs w:val="24"/>
        </w:rPr>
        <w:t>siguravanje potrebne podrške za prilagodbu novim okolnostima kroz plan upravljanja ljudskim resursima u novonastalim okolnostima.</w:t>
      </w:r>
      <w:r w:rsidRPr="00BE5472">
        <w:rPr>
          <w:rFonts w:ascii="Times New Roman" w:hAnsi="Times New Roman" w:cs="Times New Roman"/>
          <w:kern w:val="2"/>
          <w:sz w:val="24"/>
          <w:szCs w:val="24"/>
          <w14:ligatures w14:val="standardContextual"/>
        </w:rPr>
        <w:t xml:space="preserve"> P</w:t>
      </w:r>
      <w:r w:rsidRPr="00BE5472">
        <w:rPr>
          <w:rFonts w:ascii="Times New Roman" w:hAnsi="Times New Roman" w:cs="Times New Roman"/>
          <w:sz w:val="24"/>
          <w:szCs w:val="24"/>
        </w:rPr>
        <w:t>raćenje i evaluacija integracijskog procesa je kritična. Potrebno je redovito pratiti napredak sukladno postavljenim ciljevima, identificirati i rješavati sve probleme koji se pojave te osigurati da se sinergije koje su planirane u početnoj fazi zaista i ostvare. Također, održavanje kulture kontinuirane komunikacije i suradnje pomaže u konsolidaciji novih poslovnih praksi i jačanju zajedničke korporativne kulture.</w:t>
      </w:r>
    </w:p>
    <w:p w14:paraId="78C1210C" w14:textId="18285535" w:rsidR="006E052A" w:rsidRPr="00BE5472" w:rsidRDefault="00A7388B" w:rsidP="00112796">
      <w:pPr>
        <w:pStyle w:val="Heading1"/>
        <w:numPr>
          <w:ilvl w:val="0"/>
          <w:numId w:val="5"/>
        </w:numPr>
        <w:rPr>
          <w:rFonts w:ascii="Times New Roman" w:hAnsi="Times New Roman" w:cs="Times New Roman"/>
        </w:rPr>
      </w:pPr>
      <w:bookmarkStart w:id="149" w:name="_Toc241865153"/>
      <w:r w:rsidRPr="00BE5472">
        <w:rPr>
          <w:rFonts w:ascii="Times New Roman" w:hAnsi="Times New Roman" w:cs="Times New Roman"/>
        </w:rPr>
        <w:lastRenderedPageBreak/>
        <w:t>KONCEPTUALIZACIJA EMPIRIJSKOG ISTRAŽIVANJA</w:t>
      </w:r>
      <w:bookmarkEnd w:id="149"/>
      <w:r w:rsidRPr="00BE5472">
        <w:rPr>
          <w:rFonts w:ascii="Times New Roman" w:hAnsi="Times New Roman" w:cs="Times New Roman"/>
        </w:rPr>
        <w:t xml:space="preserve"> </w:t>
      </w:r>
    </w:p>
    <w:p w14:paraId="1CE91A26" w14:textId="77777777" w:rsidR="00F908AB" w:rsidRPr="00BE5472" w:rsidRDefault="00F908AB" w:rsidP="00F908AB">
      <w:pPr>
        <w:rPr>
          <w:rFonts w:ascii="Times New Roman" w:hAnsi="Times New Roman" w:cs="Times New Roman"/>
        </w:rPr>
      </w:pPr>
    </w:p>
    <w:p w14:paraId="41FB616C" w14:textId="77777777"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ovom se poglavlju prikazuje konceptualni okvir empirijskog istraživanja, uključujući istraživački dizajn, logiku i slijed primijenjenih metoda te način operacionalizacije istraživačkih ciljeva i hipoteza.</w:t>
      </w:r>
    </w:p>
    <w:p w14:paraId="097AC6BB" w14:textId="78F56FCE"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Ciljevi i svrha empirijskog istraživanja proizlaze iz problema istraživanja, istraživačkih pitanja i postavljenih hipoteza definiranih u uvodnom dijelu rada, pri čemu je istraživanje jasno usmjereno na procese spajanja i preuzimanja u hotelskom sektoru Republike Hrvatske. Dok je teorijski dio disertacije posvećen analizi konceptualnih i empirijskih spoznaja o razvojnim strategijama i konsolidacijskim procesima u međunarodnom kontekstu, empirijski dio rada fokusiran je na specifičnosti, obilježja i učinke tih procesa u hrvatskom hotelijerstvu.</w:t>
      </w:r>
    </w:p>
    <w:p w14:paraId="4626ADB4" w14:textId="36115B90"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Svrha empirijskog istraživanja jest sustavno ispitati procese spajanja i preuzimanja u hotelskom sektoru Republike Hrvatske iz perspektive samog procesa, a ne isključivo kroz financijske ishode. Poseban naglasak stavljen je na identifikaciju ključnih čimbenika uspješnosti u svim fazama integracijskog procesa – od faze prije preuzimanja, preko faze integracije, do post-akvizicijske faze – uz uvažavanje institucionalnih, tržišnih i organizacijskih specifičnosti koje obilježavaju hrvatsko hotelsko tržište.</w:t>
      </w:r>
    </w:p>
    <w:p w14:paraId="54E2ADF4" w14:textId="31C1E9CF"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skladu s navedenom svrhom, ciljevi empirijskog istraživanja operacionalizirani su </w:t>
      </w:r>
      <w:r w:rsidR="00F87611" w:rsidRPr="00BE5472">
        <w:rPr>
          <w:rFonts w:ascii="Times New Roman" w:hAnsi="Times New Roman" w:cs="Times New Roman"/>
          <w:sz w:val="24"/>
          <w:szCs w:val="24"/>
        </w:rPr>
        <w:t>tijekom</w:t>
      </w:r>
      <w:r w:rsidRPr="00BE5472">
        <w:rPr>
          <w:rFonts w:ascii="Times New Roman" w:hAnsi="Times New Roman" w:cs="Times New Roman"/>
          <w:sz w:val="24"/>
          <w:szCs w:val="24"/>
        </w:rPr>
        <w:t xml:space="preserve"> nekoliko međusobno povezanih istraživačkih zadataka. Prvi cilj odnosi se na identifikaciju i strukturiranje ključnih čimbenika procesa spajanja i preuzimanja u hotelskom sektoru Republike Hrvatske, s posebnim naglaskom na specifičnosti koje proizlaze iz strukture vlasništva, razine tržišne koncentracije i povijesnog razvoja hrvatskog hotelijerstva. Drugi cilj usmjeren je na ispitivanje percepcije važnosti identificiranih čimbenika iz perspektive sudionika stvarnih akvizicijskih procesa u hrvatskim hotelskim poduzećima, čime se nastoji procijeniti njihova praktična relevantnost u domaćem kontekstu. Treći cilj empirijskog istraživanja odnosi se na analizu učinaka procesa spajanja i preuzimanja na poslovnu uspješnost hotelskih poduzeća u Republici Hrvatskoj, promatranu kroz odabrane financijske i tržišne pokazatelje, kao i na usporedbu s poduzećima koja su ostvarivala rast organskim putem.</w:t>
      </w:r>
    </w:p>
    <w:p w14:paraId="17384222" w14:textId="77777777"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Konačno, svrha empirijskog istraživanja jest doprinijeti boljem razumijevanju uloge procesa spajanja i preuzimanja kao strategije rasta u hrvatskom hotelijerstvu te pružiti znanstveno utemeljene spoznaje koje su relevantne za domaće hotelske menadžere, investitore i donositelje strateških odluka. Na taj se način empirijski dio disertacije izravno veže uz specifične izazove </w:t>
      </w:r>
      <w:r w:rsidRPr="00BE5472">
        <w:rPr>
          <w:rFonts w:ascii="Times New Roman" w:hAnsi="Times New Roman" w:cs="Times New Roman"/>
          <w:sz w:val="24"/>
          <w:szCs w:val="24"/>
        </w:rPr>
        <w:lastRenderedPageBreak/>
        <w:t>i razvojne okolnosti hotelskog sektora Republike Hrvatske, povezujući teorijske postavke s praksom nacionalnog tržišta.</w:t>
      </w:r>
    </w:p>
    <w:p w14:paraId="7211B9CA" w14:textId="4FA7C82F" w:rsidR="00E943DB" w:rsidRPr="00BE5472" w:rsidRDefault="00F908AB" w:rsidP="00E943DB">
      <w:pPr>
        <w:pStyle w:val="Heading2"/>
        <w:numPr>
          <w:ilvl w:val="1"/>
          <w:numId w:val="5"/>
        </w:numPr>
        <w:rPr>
          <w:rFonts w:ascii="Times New Roman" w:hAnsi="Times New Roman" w:cs="Times New Roman"/>
        </w:rPr>
      </w:pPr>
      <w:bookmarkStart w:id="150" w:name="_Toc241865154"/>
      <w:r w:rsidRPr="00BE5472">
        <w:rPr>
          <w:rFonts w:ascii="Times New Roman" w:hAnsi="Times New Roman" w:cs="Times New Roman"/>
        </w:rPr>
        <w:t>Konceptualni pristup istraživačkom procesu</w:t>
      </w:r>
      <w:bookmarkEnd w:id="150"/>
    </w:p>
    <w:p w14:paraId="07B112A8" w14:textId="77777777" w:rsidR="00E943DB" w:rsidRPr="00BE5472" w:rsidRDefault="00E943DB" w:rsidP="00E943DB">
      <w:pPr>
        <w:rPr>
          <w:rFonts w:ascii="Times New Roman" w:hAnsi="Times New Roman" w:cs="Times New Roman"/>
        </w:rPr>
      </w:pPr>
    </w:p>
    <w:p w14:paraId="6D763384" w14:textId="3B93A870" w:rsidR="00DD6CC8" w:rsidRPr="00DD6CC8" w:rsidRDefault="00DD6CC8" w:rsidP="00DD6CC8">
      <w:pPr>
        <w:spacing w:line="360" w:lineRule="auto"/>
        <w:jc w:val="both"/>
        <w:rPr>
          <w:rFonts w:ascii="Times New Roman" w:hAnsi="Times New Roman" w:cs="Times New Roman"/>
          <w:sz w:val="24"/>
          <w:szCs w:val="24"/>
        </w:rPr>
      </w:pPr>
      <w:r w:rsidRPr="00DD6CC8">
        <w:rPr>
          <w:rFonts w:ascii="Times New Roman" w:hAnsi="Times New Roman" w:cs="Times New Roman"/>
          <w:sz w:val="24"/>
          <w:szCs w:val="24"/>
        </w:rPr>
        <w:t>Polazeći od definiranog problema i ciljeva istraživanja te identificiranog jaza u dosadašnjim teorijskim i empirijskim spoznajama, empirijsko istraživanje koncipirano je kao višefazni i višemetodski proces. Takav pristup proizlazi iz složenosti procesa spajanja i preuzimanja u hotelskom sektoru, koji obuhvaća strateške, organizacijske, financijske i operativne dimenzije, te potrebe za istraživanjem obilježja samog procesa i njegovih učinaka na poslovnu uspješnost.</w:t>
      </w:r>
    </w:p>
    <w:p w14:paraId="2F6A0D90" w14:textId="148B3597" w:rsidR="00F908AB" w:rsidRDefault="00DD6CC8" w:rsidP="00DD6CC8">
      <w:pPr>
        <w:spacing w:line="360" w:lineRule="auto"/>
        <w:jc w:val="both"/>
        <w:rPr>
          <w:rFonts w:ascii="Times New Roman" w:hAnsi="Times New Roman" w:cs="Times New Roman"/>
          <w:sz w:val="24"/>
          <w:szCs w:val="24"/>
        </w:rPr>
      </w:pPr>
      <w:r w:rsidRPr="00DD6CC8">
        <w:rPr>
          <w:rFonts w:ascii="Times New Roman" w:hAnsi="Times New Roman" w:cs="Times New Roman"/>
          <w:sz w:val="24"/>
          <w:szCs w:val="24"/>
        </w:rPr>
        <w:t>Istraživački proces temelji se na sekvencijalnoj primjeni izviđajnih (kvalitativnih) i opisnih (kvantitativnih) metoda. Izviđajnim istraživanjem identificirani su i strukturirani ključni čimbenici procesa spajanja i preuzimanja, dok je kvantitativno istraživanje usmjereno na njihovu empirijsku provjeru te analizu učinaka konsolidacijskih procesa na poslovne rezultate hotelskih poduzeća. Operacionalizacija pojedinih faza istraživanja i postavljenih hipoteza detaljno je prikazana u nastavku poglavlja.</w:t>
      </w:r>
    </w:p>
    <w:p w14:paraId="47C682E1" w14:textId="00BF08EC" w:rsidR="00F908AB" w:rsidRPr="00BE5472" w:rsidRDefault="00F908AB" w:rsidP="00BC0FD9">
      <w:pPr>
        <w:pStyle w:val="Heading2"/>
        <w:numPr>
          <w:ilvl w:val="1"/>
          <w:numId w:val="5"/>
        </w:numPr>
        <w:rPr>
          <w:rFonts w:ascii="Times New Roman" w:hAnsi="Times New Roman" w:cs="Times New Roman"/>
        </w:rPr>
      </w:pPr>
      <w:bookmarkStart w:id="151" w:name="_Toc241865155"/>
      <w:r w:rsidRPr="00BE5472">
        <w:rPr>
          <w:rFonts w:ascii="Times New Roman" w:hAnsi="Times New Roman" w:cs="Times New Roman"/>
        </w:rPr>
        <w:t>Operacionalizacija izviđajnih (kvalitativnih) istraživanja</w:t>
      </w:r>
      <w:bookmarkEnd w:id="151"/>
    </w:p>
    <w:p w14:paraId="0D8E78AC" w14:textId="77777777" w:rsidR="00BC0FD9" w:rsidRPr="00BE5472" w:rsidRDefault="00BC0FD9" w:rsidP="00BC0FD9">
      <w:pPr>
        <w:rPr>
          <w:rFonts w:ascii="Times New Roman" w:hAnsi="Times New Roman" w:cs="Times New Roman"/>
        </w:rPr>
      </w:pPr>
    </w:p>
    <w:p w14:paraId="2597D46C" w14:textId="5FC189B9" w:rsidR="00F908AB"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Kako bi se dobio odgovor na pitanje </w:t>
      </w:r>
      <w:r w:rsidRPr="00BE5472">
        <w:rPr>
          <w:rFonts w:ascii="Times New Roman" w:hAnsi="Times New Roman" w:cs="Times New Roman"/>
          <w:b/>
          <w:i/>
          <w:sz w:val="24"/>
          <w:szCs w:val="24"/>
        </w:rPr>
        <w:t>Koja su glavna obilježja svake faze procesa spajanja i preuzimanja u hotelskom sektoru u Republici Hrvatskoj?</w:t>
      </w:r>
      <w:r w:rsidR="00B76326" w:rsidRPr="00BE5472">
        <w:rPr>
          <w:rFonts w:ascii="Times New Roman" w:hAnsi="Times New Roman" w:cs="Times New Roman"/>
          <w:b/>
          <w:i/>
          <w:sz w:val="24"/>
          <w:szCs w:val="24"/>
        </w:rPr>
        <w:t>,</w:t>
      </w:r>
      <w:r w:rsidRPr="00BE5472">
        <w:rPr>
          <w:rFonts w:ascii="Times New Roman" w:hAnsi="Times New Roman" w:cs="Times New Roman"/>
          <w:b/>
          <w:i/>
          <w:sz w:val="24"/>
          <w:szCs w:val="24"/>
        </w:rPr>
        <w:t xml:space="preserve"> </w:t>
      </w:r>
      <w:r w:rsidRPr="00BE5472">
        <w:rPr>
          <w:rFonts w:ascii="Times New Roman" w:hAnsi="Times New Roman" w:cs="Times New Roman"/>
          <w:sz w:val="24"/>
          <w:szCs w:val="24"/>
        </w:rPr>
        <w:t xml:space="preserve">bilo je potrebno ispitati cjelokupni proces spajanja i preuzimanja. </w:t>
      </w:r>
    </w:p>
    <w:p w14:paraId="7C1200C0" w14:textId="13963B9A" w:rsidR="00AC5429" w:rsidRPr="00AC5429" w:rsidRDefault="00AC5429" w:rsidP="00AC5429">
      <w:pPr>
        <w:spacing w:line="360" w:lineRule="auto"/>
        <w:jc w:val="both"/>
        <w:rPr>
          <w:rFonts w:ascii="Times New Roman" w:hAnsi="Times New Roman" w:cs="Times New Roman"/>
          <w:sz w:val="24"/>
          <w:szCs w:val="24"/>
          <w:lang w:val="it-IT"/>
        </w:rPr>
      </w:pPr>
      <w:r w:rsidRPr="00AC5429">
        <w:rPr>
          <w:rFonts w:ascii="Times New Roman" w:hAnsi="Times New Roman" w:cs="Times New Roman"/>
          <w:sz w:val="24"/>
          <w:szCs w:val="24"/>
        </w:rPr>
        <w:t xml:space="preserve">Pregledom literature o procesima spajanja i preuzimanja postojeći je okvir nadopunjen i prilagođen specifičnostima hrvatskog hotelskog sektora. Na taj je način identificirano ukupno 80 motiva i ključnih čimbenika koji obuhvaćaju sve faze procesa spajanja i preuzimanja. </w:t>
      </w:r>
      <w:r w:rsidRPr="00AC5429">
        <w:rPr>
          <w:rFonts w:ascii="Times New Roman" w:hAnsi="Times New Roman" w:cs="Times New Roman"/>
          <w:sz w:val="24"/>
          <w:szCs w:val="24"/>
          <w:lang w:val="it-IT"/>
        </w:rPr>
        <w:t xml:space="preserve">Njihova struktura prikazana je u </w:t>
      </w:r>
      <w:r w:rsidR="00127A4E">
        <w:rPr>
          <w:rFonts w:ascii="Times New Roman" w:hAnsi="Times New Roman" w:cs="Times New Roman"/>
          <w:sz w:val="24"/>
          <w:szCs w:val="24"/>
          <w:lang w:val="it-IT"/>
        </w:rPr>
        <w:t>Tablici</w:t>
      </w:r>
      <w:r w:rsidRPr="00AC5429">
        <w:rPr>
          <w:rFonts w:ascii="Times New Roman" w:hAnsi="Times New Roman" w:cs="Times New Roman"/>
          <w:sz w:val="24"/>
          <w:szCs w:val="24"/>
          <w:lang w:val="it-IT"/>
        </w:rPr>
        <w:t xml:space="preserve"> 22, dok je cjeloviti popis ispitivanih motiva i čimbenika naveden u Prilogu 1.</w:t>
      </w:r>
    </w:p>
    <w:p w14:paraId="2D6A72BE" w14:textId="23B734C5" w:rsidR="0095124E" w:rsidRPr="00E1098E" w:rsidRDefault="00E1098E" w:rsidP="00E1098E">
      <w:pPr>
        <w:pStyle w:val="Caption"/>
        <w:rPr>
          <w:rFonts w:ascii="Times New Roman" w:hAnsi="Times New Roman" w:cs="Times New Roman"/>
          <w:sz w:val="24"/>
          <w:szCs w:val="24"/>
        </w:rPr>
      </w:pPr>
      <w:bookmarkStart w:id="152" w:name="_Toc241865216"/>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22</w:t>
      </w:r>
      <w:r w:rsidRPr="00E1098E">
        <w:rPr>
          <w:rFonts w:ascii="Times New Roman" w:hAnsi="Times New Roman" w:cs="Times New Roman"/>
          <w:sz w:val="24"/>
          <w:szCs w:val="24"/>
        </w:rPr>
        <w:fldChar w:fldCharType="end"/>
      </w:r>
      <w:r w:rsidR="00331487" w:rsidRPr="00E1098E">
        <w:rPr>
          <w:rFonts w:ascii="Times New Roman" w:hAnsi="Times New Roman" w:cs="Times New Roman"/>
          <w:sz w:val="24"/>
          <w:szCs w:val="24"/>
        </w:rPr>
        <w:t xml:space="preserve">: </w:t>
      </w:r>
      <w:r w:rsidR="00CF6797" w:rsidRPr="00E1098E">
        <w:rPr>
          <w:rFonts w:ascii="Times New Roman" w:hAnsi="Times New Roman" w:cs="Times New Roman"/>
          <w:sz w:val="24"/>
          <w:szCs w:val="24"/>
        </w:rPr>
        <w:t>Prikaz broja ispitivanih motiva i čimbenika uspjeha po fazama procesa spajanja i preuzimanja</w:t>
      </w:r>
      <w:bookmarkEnd w:id="152"/>
    </w:p>
    <w:tbl>
      <w:tblPr>
        <w:tblStyle w:val="TableGrid"/>
        <w:tblW w:w="0" w:type="auto"/>
        <w:tblLook w:val="04A0" w:firstRow="1" w:lastRow="0" w:firstColumn="1" w:lastColumn="0" w:noHBand="0" w:noVBand="1"/>
      </w:tblPr>
      <w:tblGrid>
        <w:gridCol w:w="2269"/>
        <w:gridCol w:w="2247"/>
        <w:gridCol w:w="2248"/>
        <w:gridCol w:w="2255"/>
      </w:tblGrid>
      <w:tr w:rsidR="00F908AB" w:rsidRPr="00BE5472" w14:paraId="138F7885" w14:textId="77777777" w:rsidTr="00CD2065">
        <w:tc>
          <w:tcPr>
            <w:tcW w:w="2337" w:type="dxa"/>
            <w:vAlign w:val="center"/>
          </w:tcPr>
          <w:p w14:paraId="6958CD6A" w14:textId="09F21260" w:rsidR="00F908AB" w:rsidRPr="00BE5472" w:rsidRDefault="00F908AB" w:rsidP="00CD2065">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t>MOTIVI ZA POKRETANJE PROCESA SPAJANJA I PREUZIMANJA U HRVATSKOM HOTELIJERSTVU</w:t>
            </w:r>
          </w:p>
        </w:tc>
        <w:tc>
          <w:tcPr>
            <w:tcW w:w="2337" w:type="dxa"/>
            <w:vAlign w:val="center"/>
          </w:tcPr>
          <w:p w14:paraId="0ECD5412" w14:textId="77777777" w:rsidR="00F908AB" w:rsidRPr="00BE5472" w:rsidRDefault="00F908AB" w:rsidP="00CD2065">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t>KLJUČNI ČIMBENICI USPJEHA PROCESA SPAJANJA I PREUZIMANJA PRIJE PREUZIMANJA PODUZEĆA METE</w:t>
            </w:r>
          </w:p>
        </w:tc>
        <w:tc>
          <w:tcPr>
            <w:tcW w:w="2338" w:type="dxa"/>
            <w:vAlign w:val="center"/>
          </w:tcPr>
          <w:p w14:paraId="761EF3FA" w14:textId="77777777" w:rsidR="00F908AB" w:rsidRPr="00BE5472" w:rsidRDefault="00F908AB" w:rsidP="00CD2065">
            <w:pPr>
              <w:spacing w:line="360" w:lineRule="auto"/>
              <w:jc w:val="center"/>
              <w:rPr>
                <w:rFonts w:ascii="Times New Roman" w:hAnsi="Times New Roman" w:cs="Times New Roman"/>
                <w:bCs/>
                <w:sz w:val="20"/>
                <w:szCs w:val="20"/>
              </w:rPr>
            </w:pPr>
            <w:r w:rsidRPr="00BE5472">
              <w:rPr>
                <w:rFonts w:ascii="Times New Roman" w:hAnsi="Times New Roman" w:cs="Times New Roman"/>
                <w:bCs/>
                <w:sz w:val="20"/>
                <w:szCs w:val="20"/>
              </w:rPr>
              <w:t>KLJUČNI ČIMBENICI USPJEHA PROCESA SPAJANJA I PREUZIMANJA U FAZI INTEGRACIJE</w:t>
            </w:r>
          </w:p>
          <w:p w14:paraId="1C82BBED" w14:textId="77777777" w:rsidR="00F908AB" w:rsidRPr="00BE5472" w:rsidRDefault="00F908AB" w:rsidP="00CD2065">
            <w:pPr>
              <w:spacing w:line="360" w:lineRule="auto"/>
              <w:jc w:val="center"/>
              <w:rPr>
                <w:rFonts w:ascii="Times New Roman" w:hAnsi="Times New Roman" w:cs="Times New Roman"/>
                <w:sz w:val="20"/>
                <w:szCs w:val="20"/>
              </w:rPr>
            </w:pPr>
          </w:p>
        </w:tc>
        <w:tc>
          <w:tcPr>
            <w:tcW w:w="2338" w:type="dxa"/>
            <w:vAlign w:val="center"/>
          </w:tcPr>
          <w:p w14:paraId="5E70418C" w14:textId="77777777" w:rsidR="00F908AB" w:rsidRPr="00BE5472" w:rsidRDefault="00F908AB" w:rsidP="00CD2065">
            <w:pPr>
              <w:spacing w:line="360" w:lineRule="auto"/>
              <w:jc w:val="center"/>
              <w:rPr>
                <w:rFonts w:ascii="Times New Roman" w:hAnsi="Times New Roman" w:cs="Times New Roman"/>
                <w:sz w:val="20"/>
                <w:szCs w:val="20"/>
              </w:rPr>
            </w:pPr>
            <w:r w:rsidRPr="00BE5472">
              <w:rPr>
                <w:rFonts w:ascii="Times New Roman" w:hAnsi="Times New Roman" w:cs="Times New Roman"/>
                <w:bCs/>
                <w:sz w:val="20"/>
                <w:szCs w:val="20"/>
              </w:rPr>
              <w:t xml:space="preserve">KLJUČNI ČIMBENICI USPJEHA PROCESA SPAJANJA I PREUZIMANJA NAKON ZAVRŠETKA FAZE INTEGRACIJE </w:t>
            </w:r>
            <w:r w:rsidRPr="00BE5472">
              <w:rPr>
                <w:rFonts w:ascii="Times New Roman" w:hAnsi="Times New Roman" w:cs="Times New Roman"/>
                <w:bCs/>
                <w:sz w:val="20"/>
                <w:szCs w:val="20"/>
              </w:rPr>
              <w:lastRenderedPageBreak/>
              <w:t>(U POST-AKVIZICIJSKOJ FAZI)</w:t>
            </w:r>
          </w:p>
        </w:tc>
      </w:tr>
      <w:tr w:rsidR="00F908AB" w:rsidRPr="00BE5472" w14:paraId="4B1DEC81" w14:textId="77777777" w:rsidTr="0095124E">
        <w:tc>
          <w:tcPr>
            <w:tcW w:w="2337" w:type="dxa"/>
            <w:vAlign w:val="center"/>
          </w:tcPr>
          <w:p w14:paraId="020F45EF" w14:textId="77777777" w:rsidR="00F908AB" w:rsidRPr="00BE5472" w:rsidRDefault="00F908AB" w:rsidP="0095124E">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lastRenderedPageBreak/>
              <w:t>14</w:t>
            </w:r>
          </w:p>
        </w:tc>
        <w:tc>
          <w:tcPr>
            <w:tcW w:w="2337" w:type="dxa"/>
            <w:vAlign w:val="center"/>
          </w:tcPr>
          <w:p w14:paraId="1EFA9D78" w14:textId="77777777" w:rsidR="00F908AB" w:rsidRPr="00BE5472" w:rsidRDefault="00F908AB" w:rsidP="0095124E">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t>32</w:t>
            </w:r>
          </w:p>
        </w:tc>
        <w:tc>
          <w:tcPr>
            <w:tcW w:w="2338" w:type="dxa"/>
            <w:vAlign w:val="center"/>
          </w:tcPr>
          <w:p w14:paraId="0F77CE8E" w14:textId="77777777" w:rsidR="00F908AB" w:rsidRPr="00BE5472" w:rsidRDefault="00F908AB" w:rsidP="0095124E">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t>25</w:t>
            </w:r>
          </w:p>
        </w:tc>
        <w:tc>
          <w:tcPr>
            <w:tcW w:w="2338" w:type="dxa"/>
            <w:vAlign w:val="center"/>
          </w:tcPr>
          <w:p w14:paraId="023BCC6C" w14:textId="77777777" w:rsidR="00F908AB" w:rsidRPr="00BE5472" w:rsidRDefault="00F908AB" w:rsidP="0095124E">
            <w:pPr>
              <w:spacing w:line="360" w:lineRule="auto"/>
              <w:jc w:val="center"/>
              <w:rPr>
                <w:rFonts w:ascii="Times New Roman" w:hAnsi="Times New Roman" w:cs="Times New Roman"/>
                <w:sz w:val="20"/>
                <w:szCs w:val="20"/>
              </w:rPr>
            </w:pPr>
            <w:r w:rsidRPr="00BE5472">
              <w:rPr>
                <w:rFonts w:ascii="Times New Roman" w:hAnsi="Times New Roman" w:cs="Times New Roman"/>
                <w:sz w:val="20"/>
                <w:szCs w:val="20"/>
              </w:rPr>
              <w:t>9</w:t>
            </w:r>
          </w:p>
        </w:tc>
      </w:tr>
    </w:tbl>
    <w:p w14:paraId="5606DD37" w14:textId="2A58C547" w:rsidR="00F908AB" w:rsidRPr="00BE5472" w:rsidRDefault="00331487"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Izvor: </w:t>
      </w:r>
      <w:r w:rsidR="002D6572" w:rsidRPr="00BE5472">
        <w:rPr>
          <w:rFonts w:ascii="Times New Roman" w:hAnsi="Times New Roman" w:cs="Times New Roman"/>
          <w:sz w:val="24"/>
          <w:szCs w:val="24"/>
        </w:rPr>
        <w:t>obrada autora</w:t>
      </w:r>
    </w:p>
    <w:p w14:paraId="1EDC8657" w14:textId="4C75E3C3" w:rsidR="00454E8C" w:rsidRDefault="00454E8C" w:rsidP="00F908AB">
      <w:pPr>
        <w:spacing w:line="360" w:lineRule="auto"/>
        <w:jc w:val="both"/>
        <w:rPr>
          <w:rFonts w:ascii="Times New Roman" w:hAnsi="Times New Roman" w:cs="Times New Roman"/>
          <w:sz w:val="24"/>
          <w:szCs w:val="24"/>
        </w:rPr>
      </w:pPr>
      <w:r w:rsidRPr="00454E8C">
        <w:rPr>
          <w:rFonts w:ascii="Times New Roman" w:hAnsi="Times New Roman" w:cs="Times New Roman"/>
          <w:sz w:val="24"/>
          <w:szCs w:val="24"/>
        </w:rPr>
        <w:t>Nakon definiranja inicijalnog skupa motiva i čimbenika procesa spajanja i preuzimanja, pristupilo se odabiru skupine stručnjaka s relevantnim znanjem i iskustvom u području spajanja i preuzimanja u hrvatskom hotelijerstvu. Njihova je zadaća bila procijeniti važnost identificiranih motiva i ključnih čimbenika uspjeha u pojedinim fazama procesa spajanja i preuzimanja te sudjelovati u oblikovanju konačnog skupa čimbenika za nastavak empirijskog istraživanja.</w:t>
      </w:r>
    </w:p>
    <w:p w14:paraId="16C5BC2F" w14:textId="27D137E9"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cilju sustavne i metodološki utemeljene provedbe navedenog postupka, u istraživanju je primijenjena metodologija</w:t>
      </w:r>
      <w:r w:rsidR="00DD74E4" w:rsidRPr="00BE5472">
        <w:rPr>
          <w:rFonts w:ascii="Times New Roman" w:hAnsi="Times New Roman" w:cs="Times New Roman"/>
          <w:sz w:val="24"/>
          <w:szCs w:val="24"/>
        </w:rPr>
        <w:t xml:space="preserve"> </w:t>
      </w:r>
      <w:r w:rsidR="00DD74E4"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Ova metodologija omogućuje strukturirano prikupljanje i objedinjavanje mišljenja stručnjaka te olakšava postizanje konsenzusa u vezi s definiranjem ključnih čimbenika, standarda, tijeka procesa ili razvojnih trendova (Linstone i Turoff, 2002; Green, 2014). </w:t>
      </w:r>
    </w:p>
    <w:p w14:paraId="3AD1090D" w14:textId="771DA80A" w:rsidR="00F908AB"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Primjena </w:t>
      </w:r>
      <w:r w:rsidRPr="00BE5472">
        <w:rPr>
          <w:rFonts w:ascii="Times New Roman" w:hAnsi="Times New Roman" w:cs="Times New Roman"/>
          <w:i/>
          <w:iCs/>
          <w:sz w:val="24"/>
          <w:szCs w:val="24"/>
        </w:rPr>
        <w:t>Delphi</w:t>
      </w:r>
      <w:r w:rsidR="00DD74E4" w:rsidRPr="00BE5472">
        <w:rPr>
          <w:rFonts w:ascii="Times New Roman" w:hAnsi="Times New Roman" w:cs="Times New Roman"/>
          <w:sz w:val="24"/>
          <w:szCs w:val="24"/>
        </w:rPr>
        <w:t xml:space="preserve"> </w:t>
      </w:r>
      <w:r w:rsidRPr="00BE5472">
        <w:rPr>
          <w:rFonts w:ascii="Times New Roman" w:hAnsi="Times New Roman" w:cs="Times New Roman"/>
          <w:sz w:val="24"/>
          <w:szCs w:val="24"/>
        </w:rPr>
        <w:t>metodologije u potpunosti je u skladu s kriterijima koje su definirali Linstone i Turoff (1975), prema kojima je ova metoda osobito prikladna u situacijama kada:</w:t>
      </w:r>
      <w:r w:rsidRPr="00BE5472">
        <w:rPr>
          <w:rFonts w:ascii="Times New Roman" w:hAnsi="Times New Roman" w:cs="Times New Roman"/>
          <w:sz w:val="24"/>
          <w:szCs w:val="24"/>
        </w:rPr>
        <w:br/>
        <w:t>(1) problem nije moguće rješavati primjenom preciznih analitičkih tehnika, ali subjektivne kolektivne prosudbe mogu značajno doprinijeti njegovu razumijevanju;</w:t>
      </w:r>
      <w:r w:rsidRPr="00BE5472">
        <w:rPr>
          <w:rFonts w:ascii="Times New Roman" w:hAnsi="Times New Roman" w:cs="Times New Roman"/>
          <w:sz w:val="24"/>
          <w:szCs w:val="24"/>
        </w:rPr>
        <w:br/>
        <w:t>(2) sudionici potrebni za raspravu o složenom ili interdisciplinarnom problemu nemaju razvijene obrasce izravne komunikacije te dolaze iz različitih profesionalnih i iskustvenih pozadina;</w:t>
      </w:r>
      <w:r w:rsidRPr="00BE5472">
        <w:rPr>
          <w:rFonts w:ascii="Times New Roman" w:hAnsi="Times New Roman" w:cs="Times New Roman"/>
          <w:sz w:val="24"/>
          <w:szCs w:val="24"/>
        </w:rPr>
        <w:br/>
        <w:t>(3) heterogenost sudionika mora biti očuvana kako bi se osigurala valjanost i vjerodostojnost rezultata.</w:t>
      </w:r>
    </w:p>
    <w:p w14:paraId="47C48716" w14:textId="4CF52110" w:rsidR="00454E8C" w:rsidRDefault="00454E8C" w:rsidP="00F908AB">
      <w:pPr>
        <w:spacing w:line="360" w:lineRule="auto"/>
        <w:jc w:val="both"/>
        <w:rPr>
          <w:rFonts w:ascii="Times New Roman" w:hAnsi="Times New Roman" w:cs="Times New Roman"/>
          <w:sz w:val="24"/>
          <w:szCs w:val="24"/>
        </w:rPr>
      </w:pPr>
      <w:r w:rsidRPr="00454E8C">
        <w:rPr>
          <w:rFonts w:ascii="Times New Roman" w:hAnsi="Times New Roman" w:cs="Times New Roman"/>
          <w:sz w:val="24"/>
          <w:szCs w:val="24"/>
        </w:rPr>
        <w:t xml:space="preserve">Sukladno preporuci Andranovicha (1995), prema kojoj se unaprijed definiraju broj panelista i njihove potrebne kvalifikacije, u istraživanju je sudjelovalo sedam stručnjaka. Radi osiguravanja multidisciplinarnosti, panel je obuhvatio stručnjake s relevantnim iskustvom u području spajanja i preuzimanja, hotelijerstva, korporativnog upravljanja i strateškog menadžmenta. Struktura i obilježja odabranog ekspertnog panela prikazani su u </w:t>
      </w:r>
      <w:r w:rsidR="00127A4E">
        <w:rPr>
          <w:rFonts w:ascii="Times New Roman" w:hAnsi="Times New Roman" w:cs="Times New Roman"/>
          <w:sz w:val="24"/>
          <w:szCs w:val="24"/>
        </w:rPr>
        <w:t>Tablici</w:t>
      </w:r>
      <w:r w:rsidRPr="00454E8C">
        <w:rPr>
          <w:rFonts w:ascii="Times New Roman" w:hAnsi="Times New Roman" w:cs="Times New Roman"/>
          <w:sz w:val="24"/>
          <w:szCs w:val="24"/>
        </w:rPr>
        <w:t xml:space="preserve"> 23.</w:t>
      </w:r>
    </w:p>
    <w:p w14:paraId="730249E9" w14:textId="6E06369F" w:rsidR="003D46C7" w:rsidRDefault="003D46C7" w:rsidP="00F908AB">
      <w:pPr>
        <w:spacing w:line="360" w:lineRule="auto"/>
        <w:jc w:val="both"/>
        <w:rPr>
          <w:rFonts w:ascii="Times New Roman" w:hAnsi="Times New Roman" w:cs="Times New Roman"/>
          <w:sz w:val="24"/>
          <w:szCs w:val="24"/>
        </w:rPr>
      </w:pPr>
    </w:p>
    <w:p w14:paraId="7F6A563D" w14:textId="77777777" w:rsidR="003D46C7" w:rsidRPr="00BE5472" w:rsidRDefault="003D46C7" w:rsidP="00F908AB">
      <w:pPr>
        <w:spacing w:line="360" w:lineRule="auto"/>
        <w:jc w:val="both"/>
        <w:rPr>
          <w:rFonts w:ascii="Times New Roman" w:hAnsi="Times New Roman" w:cs="Times New Roman"/>
          <w:sz w:val="24"/>
          <w:szCs w:val="24"/>
        </w:rPr>
      </w:pPr>
    </w:p>
    <w:p w14:paraId="247829C7" w14:textId="0FF0785C" w:rsidR="00892B7B" w:rsidRPr="00E1098E" w:rsidRDefault="00E1098E" w:rsidP="00E1098E">
      <w:pPr>
        <w:pStyle w:val="Caption"/>
        <w:rPr>
          <w:rFonts w:ascii="Times New Roman" w:hAnsi="Times New Roman" w:cs="Times New Roman"/>
          <w:sz w:val="24"/>
          <w:szCs w:val="24"/>
        </w:rPr>
      </w:pPr>
      <w:bookmarkStart w:id="153" w:name="_Toc241865217"/>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23</w:t>
      </w:r>
      <w:r w:rsidRPr="00E1098E">
        <w:rPr>
          <w:rFonts w:ascii="Times New Roman" w:hAnsi="Times New Roman" w:cs="Times New Roman"/>
          <w:sz w:val="24"/>
          <w:szCs w:val="24"/>
        </w:rPr>
        <w:fldChar w:fldCharType="end"/>
      </w:r>
      <w:r w:rsidR="00892B7B" w:rsidRPr="00E1098E">
        <w:rPr>
          <w:rFonts w:ascii="Times New Roman" w:hAnsi="Times New Roman" w:cs="Times New Roman"/>
          <w:bCs/>
          <w:sz w:val="24"/>
          <w:szCs w:val="24"/>
        </w:rPr>
        <w:t xml:space="preserve">: </w:t>
      </w:r>
      <w:r w:rsidR="00766658" w:rsidRPr="00E1098E">
        <w:rPr>
          <w:rFonts w:ascii="Times New Roman" w:hAnsi="Times New Roman" w:cs="Times New Roman"/>
          <w:bCs/>
          <w:sz w:val="24"/>
          <w:szCs w:val="24"/>
        </w:rPr>
        <w:t>Odabrani stručnjaci uključeni u istraživanje</w:t>
      </w:r>
      <w:bookmarkEnd w:id="153"/>
    </w:p>
    <w:tbl>
      <w:tblPr>
        <w:tblStyle w:val="TableGrid"/>
        <w:tblW w:w="9132" w:type="dxa"/>
        <w:tblLook w:val="04A0" w:firstRow="1" w:lastRow="0" w:firstColumn="1" w:lastColumn="0" w:noHBand="0" w:noVBand="1"/>
      </w:tblPr>
      <w:tblGrid>
        <w:gridCol w:w="1436"/>
        <w:gridCol w:w="2450"/>
        <w:gridCol w:w="2117"/>
        <w:gridCol w:w="3129"/>
      </w:tblGrid>
      <w:tr w:rsidR="00F908AB" w:rsidRPr="00BE5472" w14:paraId="1BCDF1FE" w14:textId="77777777" w:rsidTr="3CEEF855">
        <w:tc>
          <w:tcPr>
            <w:tcW w:w="1440" w:type="dxa"/>
            <w:vAlign w:val="center"/>
          </w:tcPr>
          <w:p w14:paraId="0BCBE1D2" w14:textId="10B35DAF" w:rsidR="00F908AB" w:rsidRPr="00BE5472" w:rsidRDefault="3E483B74" w:rsidP="00484651">
            <w:pPr>
              <w:jc w:val="center"/>
              <w:rPr>
                <w:rFonts w:ascii="Times New Roman" w:hAnsi="Times New Roman" w:cs="Times New Roman"/>
                <w:sz w:val="20"/>
                <w:szCs w:val="20"/>
              </w:rPr>
            </w:pPr>
            <w:r w:rsidRPr="00BE5472">
              <w:rPr>
                <w:rFonts w:ascii="Times New Roman" w:hAnsi="Times New Roman" w:cs="Times New Roman"/>
                <w:sz w:val="20"/>
                <w:szCs w:val="20"/>
              </w:rPr>
              <w:t>STRUČNJACI</w:t>
            </w:r>
          </w:p>
        </w:tc>
        <w:tc>
          <w:tcPr>
            <w:tcW w:w="1695" w:type="dxa"/>
            <w:vAlign w:val="center"/>
          </w:tcPr>
          <w:p w14:paraId="27A2F295" w14:textId="77777777" w:rsidR="00F908AB" w:rsidRPr="00BE5472" w:rsidRDefault="3E483B74" w:rsidP="00484651">
            <w:pPr>
              <w:jc w:val="center"/>
              <w:rPr>
                <w:rFonts w:ascii="Times New Roman" w:hAnsi="Times New Roman" w:cs="Times New Roman"/>
                <w:sz w:val="20"/>
                <w:szCs w:val="20"/>
              </w:rPr>
            </w:pPr>
            <w:r w:rsidRPr="00BE5472">
              <w:rPr>
                <w:rFonts w:ascii="Times New Roman" w:hAnsi="Times New Roman" w:cs="Times New Roman"/>
                <w:sz w:val="20"/>
                <w:szCs w:val="20"/>
              </w:rPr>
              <w:t>OBRAZOVANJE</w:t>
            </w:r>
          </w:p>
        </w:tc>
        <w:tc>
          <w:tcPr>
            <w:tcW w:w="2228" w:type="dxa"/>
            <w:vAlign w:val="center"/>
          </w:tcPr>
          <w:p w14:paraId="314107EF" w14:textId="0EC76F86" w:rsidR="00F908AB" w:rsidRPr="00BE5472" w:rsidRDefault="3E483B74" w:rsidP="00484651">
            <w:pPr>
              <w:jc w:val="center"/>
              <w:rPr>
                <w:rFonts w:ascii="Times New Roman" w:hAnsi="Times New Roman" w:cs="Times New Roman"/>
                <w:sz w:val="20"/>
                <w:szCs w:val="20"/>
              </w:rPr>
            </w:pPr>
            <w:r w:rsidRPr="00BE5472">
              <w:rPr>
                <w:rFonts w:ascii="Times New Roman" w:hAnsi="Times New Roman" w:cs="Times New Roman"/>
                <w:sz w:val="20"/>
                <w:szCs w:val="20"/>
              </w:rPr>
              <w:t>TRENUT</w:t>
            </w:r>
            <w:r w:rsidR="009F3C04" w:rsidRPr="00BE5472">
              <w:rPr>
                <w:rFonts w:ascii="Times New Roman" w:hAnsi="Times New Roman" w:cs="Times New Roman"/>
                <w:sz w:val="20"/>
                <w:szCs w:val="20"/>
              </w:rPr>
              <w:t>AČ</w:t>
            </w:r>
            <w:r w:rsidRPr="00BE5472">
              <w:rPr>
                <w:rFonts w:ascii="Times New Roman" w:hAnsi="Times New Roman" w:cs="Times New Roman"/>
                <w:sz w:val="20"/>
                <w:szCs w:val="20"/>
              </w:rPr>
              <w:t>NA POZICIJA</w:t>
            </w:r>
          </w:p>
        </w:tc>
        <w:tc>
          <w:tcPr>
            <w:tcW w:w="3769" w:type="dxa"/>
            <w:vAlign w:val="center"/>
          </w:tcPr>
          <w:p w14:paraId="26DA3271" w14:textId="4C1DBBF8" w:rsidR="00F908AB" w:rsidRPr="00BE5472" w:rsidRDefault="3E483B74" w:rsidP="00484651">
            <w:pPr>
              <w:jc w:val="center"/>
              <w:rPr>
                <w:rFonts w:ascii="Times New Roman" w:hAnsi="Times New Roman" w:cs="Times New Roman"/>
                <w:sz w:val="20"/>
                <w:szCs w:val="20"/>
              </w:rPr>
            </w:pPr>
            <w:r w:rsidRPr="00BE5472">
              <w:rPr>
                <w:rFonts w:ascii="Times New Roman" w:hAnsi="Times New Roman" w:cs="Times New Roman"/>
                <w:sz w:val="20"/>
                <w:szCs w:val="20"/>
              </w:rPr>
              <w:t>RADNO ISKUSTVO</w:t>
            </w:r>
          </w:p>
        </w:tc>
      </w:tr>
      <w:tr w:rsidR="00F908AB" w:rsidRPr="00BE5472" w14:paraId="6F921F34" w14:textId="77777777" w:rsidTr="3CEEF855">
        <w:tc>
          <w:tcPr>
            <w:tcW w:w="1440" w:type="dxa"/>
            <w:vAlign w:val="center"/>
          </w:tcPr>
          <w:p w14:paraId="46C9680D" w14:textId="58A9AB09" w:rsidR="00F908AB" w:rsidRPr="00BE5472" w:rsidRDefault="6E840524" w:rsidP="00484651">
            <w:pPr>
              <w:jc w:val="center"/>
              <w:rPr>
                <w:rFonts w:ascii="Times New Roman" w:hAnsi="Times New Roman" w:cs="Times New Roman"/>
              </w:rPr>
            </w:pPr>
            <w:r w:rsidRPr="00BE5472">
              <w:rPr>
                <w:rFonts w:ascii="Times New Roman" w:hAnsi="Times New Roman" w:cs="Times New Roman"/>
                <w:sz w:val="24"/>
                <w:szCs w:val="24"/>
              </w:rPr>
              <w:t>Sanja Čizmar</w:t>
            </w:r>
          </w:p>
        </w:tc>
        <w:tc>
          <w:tcPr>
            <w:tcW w:w="1695" w:type="dxa"/>
            <w:vAlign w:val="center"/>
          </w:tcPr>
          <w:p w14:paraId="0EC36D1D" w14:textId="6E6A4AE7" w:rsidR="00F908AB" w:rsidRPr="00BE5472" w:rsidRDefault="378FAABD" w:rsidP="00484651">
            <w:pPr>
              <w:jc w:val="center"/>
              <w:rPr>
                <w:rFonts w:ascii="Times New Roman" w:hAnsi="Times New Roman" w:cs="Times New Roman"/>
              </w:rPr>
            </w:pPr>
            <w:r w:rsidRPr="00BE5472">
              <w:rPr>
                <w:rFonts w:ascii="Times New Roman" w:hAnsi="Times New Roman" w:cs="Times New Roman"/>
                <w:sz w:val="24"/>
                <w:szCs w:val="24"/>
              </w:rPr>
              <w:t>d</w:t>
            </w:r>
            <w:r w:rsidR="6E840524" w:rsidRPr="00BE5472">
              <w:rPr>
                <w:rFonts w:ascii="Times New Roman" w:hAnsi="Times New Roman" w:cs="Times New Roman"/>
                <w:sz w:val="24"/>
                <w:szCs w:val="24"/>
              </w:rPr>
              <w:t>r.sc.</w:t>
            </w:r>
          </w:p>
          <w:p w14:paraId="37A99F34" w14:textId="5B682C8F" w:rsidR="00F908AB" w:rsidRPr="00BE5472" w:rsidRDefault="65FDB89A" w:rsidP="00484651">
            <w:pPr>
              <w:jc w:val="center"/>
              <w:rPr>
                <w:rFonts w:ascii="Times New Roman" w:hAnsi="Times New Roman" w:cs="Times New Roman"/>
              </w:rPr>
            </w:pPr>
            <w:r w:rsidRPr="00BE5472">
              <w:rPr>
                <w:rFonts w:ascii="Times New Roman" w:hAnsi="Times New Roman" w:cs="Times New Roman"/>
                <w:sz w:val="24"/>
                <w:szCs w:val="24"/>
              </w:rPr>
              <w:t xml:space="preserve">Ekonomski fakultet Sveučilišta u Zagrebu </w:t>
            </w:r>
          </w:p>
        </w:tc>
        <w:tc>
          <w:tcPr>
            <w:tcW w:w="2228" w:type="dxa"/>
            <w:vAlign w:val="center"/>
          </w:tcPr>
          <w:p w14:paraId="4E07C25C" w14:textId="71463E35" w:rsidR="00F908AB" w:rsidRPr="00BE5472" w:rsidRDefault="5E96F906" w:rsidP="00484651">
            <w:pPr>
              <w:jc w:val="center"/>
              <w:rPr>
                <w:rFonts w:ascii="Times New Roman" w:hAnsi="Times New Roman" w:cs="Times New Roman"/>
              </w:rPr>
            </w:pPr>
            <w:r w:rsidRPr="00BE5472">
              <w:rPr>
                <w:rFonts w:ascii="Times New Roman" w:eastAsia="Times New Roman" w:hAnsi="Times New Roman" w:cs="Times New Roman"/>
                <w:sz w:val="24"/>
                <w:szCs w:val="24"/>
              </w:rPr>
              <w:t xml:space="preserve">Osnivačica i direktorica savjetodavne tvrtke </w:t>
            </w:r>
            <w:r w:rsidRPr="00BE5472">
              <w:rPr>
                <w:rFonts w:ascii="Times New Roman" w:eastAsia="Times New Roman" w:hAnsi="Times New Roman" w:cs="Times New Roman"/>
                <w:i/>
                <w:iCs/>
                <w:sz w:val="24"/>
                <w:szCs w:val="24"/>
              </w:rPr>
              <w:t>505 savjetovanje,</w:t>
            </w:r>
            <w:r w:rsidRPr="00BE5472">
              <w:rPr>
                <w:rFonts w:ascii="Times New Roman" w:eastAsia="Times New Roman" w:hAnsi="Times New Roman" w:cs="Times New Roman"/>
                <w:sz w:val="24"/>
                <w:szCs w:val="24"/>
              </w:rPr>
              <w:t xml:space="preserve"> specijalizirane za hotelijerstvo i turizam</w:t>
            </w:r>
          </w:p>
          <w:p w14:paraId="573C5FCE" w14:textId="0F3EE843" w:rsidR="00F908AB" w:rsidRPr="00DD6CC8" w:rsidRDefault="00F908AB" w:rsidP="00484651">
            <w:pPr>
              <w:jc w:val="center"/>
              <w:rPr>
                <w:rFonts w:ascii="Times New Roman" w:eastAsia="Times New Roman" w:hAnsi="Times New Roman" w:cs="Times New Roman"/>
                <w:sz w:val="24"/>
                <w:szCs w:val="24"/>
              </w:rPr>
            </w:pPr>
          </w:p>
          <w:p w14:paraId="014D57A0" w14:textId="1BA3B256" w:rsidR="00F908AB" w:rsidRPr="00BE5472" w:rsidRDefault="5E96F906" w:rsidP="00484651">
            <w:pPr>
              <w:jc w:val="center"/>
              <w:rPr>
                <w:rFonts w:ascii="Times New Roman" w:hAnsi="Times New Roman" w:cs="Times New Roman"/>
              </w:rPr>
            </w:pPr>
            <w:r w:rsidRPr="00DD6CC8">
              <w:rPr>
                <w:rFonts w:ascii="Times New Roman" w:eastAsia="Times New Roman" w:hAnsi="Times New Roman" w:cs="Times New Roman"/>
                <w:i/>
                <w:iCs/>
                <w:sz w:val="24"/>
                <w:szCs w:val="24"/>
              </w:rPr>
              <w:t xml:space="preserve"> </w:t>
            </w:r>
            <w:r w:rsidRPr="00BE5472">
              <w:rPr>
                <w:rFonts w:ascii="Times New Roman" w:eastAsia="Times New Roman" w:hAnsi="Times New Roman" w:cs="Times New Roman"/>
                <w:i/>
                <w:iCs/>
                <w:sz w:val="24"/>
                <w:szCs w:val="24"/>
                <w:lang w:val="en-US"/>
              </w:rPr>
              <w:t>Senior International Advisor European Bank for Reconstruction and Development</w:t>
            </w:r>
            <w:r w:rsidRPr="00BE5472">
              <w:rPr>
                <w:rFonts w:ascii="Times New Roman" w:eastAsia="Times New Roman" w:hAnsi="Times New Roman" w:cs="Times New Roman"/>
                <w:sz w:val="24"/>
                <w:szCs w:val="24"/>
                <w:lang w:val="en-US"/>
              </w:rPr>
              <w:t xml:space="preserve"> (EBRD).</w:t>
            </w:r>
          </w:p>
        </w:tc>
        <w:tc>
          <w:tcPr>
            <w:tcW w:w="3769" w:type="dxa"/>
            <w:vAlign w:val="center"/>
          </w:tcPr>
          <w:p w14:paraId="64A5BE10" w14:textId="63FF1582" w:rsidR="00F908AB" w:rsidRPr="00BE5472" w:rsidRDefault="6717EEB9" w:rsidP="00484651">
            <w:pPr>
              <w:shd w:val="clear" w:color="auto" w:fill="FFFFFF" w:themeFill="background1"/>
              <w:spacing w:after="36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2019. – danas</w:t>
            </w:r>
            <w:r w:rsidR="00B76326" w:rsidRPr="00BE5472">
              <w:rPr>
                <w:rFonts w:ascii="Times New Roman" w:eastAsiaTheme="minorEastAsia" w:hAnsi="Times New Roman" w:cs="Times New Roman"/>
                <w:i/>
                <w:iCs/>
                <w:sz w:val="24"/>
                <w:szCs w:val="24"/>
              </w:rPr>
              <w:t xml:space="preserve"> –</w:t>
            </w:r>
            <w:r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i/>
                <w:iCs/>
                <w:sz w:val="24"/>
                <w:szCs w:val="24"/>
              </w:rPr>
              <w:t>505</w:t>
            </w:r>
            <w:r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i/>
                <w:iCs/>
                <w:sz w:val="24"/>
                <w:szCs w:val="24"/>
              </w:rPr>
              <w:t>savjetovanje</w:t>
            </w:r>
            <w:r w:rsidRPr="00BE5472">
              <w:rPr>
                <w:rFonts w:ascii="Times New Roman" w:eastAsiaTheme="minorEastAsia" w:hAnsi="Times New Roman" w:cs="Times New Roman"/>
                <w:sz w:val="24"/>
                <w:szCs w:val="24"/>
              </w:rPr>
              <w:t xml:space="preserve"> d.o.o., </w:t>
            </w:r>
            <w:r w:rsidR="007F2F3E" w:rsidRPr="00BE5472">
              <w:rPr>
                <w:rFonts w:ascii="Times New Roman" w:eastAsiaTheme="minorEastAsia" w:hAnsi="Times New Roman" w:cs="Times New Roman"/>
                <w:sz w:val="24"/>
                <w:szCs w:val="24"/>
              </w:rPr>
              <w:t>o</w:t>
            </w:r>
            <w:r w:rsidRPr="00BE5472">
              <w:rPr>
                <w:rFonts w:ascii="Times New Roman" w:eastAsiaTheme="minorEastAsia" w:hAnsi="Times New Roman" w:cs="Times New Roman"/>
                <w:sz w:val="24"/>
                <w:szCs w:val="24"/>
              </w:rPr>
              <w:t>snivač i direktorica</w:t>
            </w:r>
          </w:p>
          <w:p w14:paraId="5C032E4D" w14:textId="5CE6381F" w:rsidR="00F908AB" w:rsidRPr="00BE5472" w:rsidRDefault="6717EEB9" w:rsidP="00484651">
            <w:pPr>
              <w:shd w:val="clear" w:color="auto" w:fill="FFFFFF" w:themeFill="background1"/>
              <w:spacing w:after="36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2016. – 2019.</w:t>
            </w:r>
            <w:r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i/>
                <w:iCs/>
                <w:sz w:val="24"/>
                <w:szCs w:val="24"/>
              </w:rPr>
              <w:t>Hotelsko i destinacijsko savjetovanje</w:t>
            </w:r>
            <w:r w:rsidRPr="00BE5472">
              <w:rPr>
                <w:rFonts w:ascii="Times New Roman" w:eastAsiaTheme="minorEastAsia" w:hAnsi="Times New Roman" w:cs="Times New Roman"/>
                <w:sz w:val="24"/>
                <w:szCs w:val="24"/>
              </w:rPr>
              <w:t xml:space="preserve"> d.o.o., Senior </w:t>
            </w:r>
            <w:r w:rsidR="007F2F3E" w:rsidRPr="00BE5472">
              <w:rPr>
                <w:rFonts w:ascii="Times New Roman" w:eastAsiaTheme="minorEastAsia" w:hAnsi="Times New Roman" w:cs="Times New Roman"/>
                <w:sz w:val="24"/>
                <w:szCs w:val="24"/>
              </w:rPr>
              <w:t>p</w:t>
            </w:r>
            <w:r w:rsidRPr="00BE5472">
              <w:rPr>
                <w:rFonts w:ascii="Times New Roman" w:eastAsiaTheme="minorEastAsia" w:hAnsi="Times New Roman" w:cs="Times New Roman"/>
                <w:sz w:val="24"/>
                <w:szCs w:val="24"/>
              </w:rPr>
              <w:t>artner</w:t>
            </w:r>
          </w:p>
          <w:p w14:paraId="67489C55" w14:textId="64390595" w:rsidR="00F908AB" w:rsidRPr="00BE5472" w:rsidRDefault="6717EEB9" w:rsidP="00484651">
            <w:pPr>
              <w:shd w:val="clear" w:color="auto" w:fill="FFFFFF" w:themeFill="background1"/>
              <w:spacing w:after="36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2007. – 2018.</w:t>
            </w:r>
            <w:r w:rsidRPr="00BE5472">
              <w:rPr>
                <w:rFonts w:ascii="Times New Roman" w:eastAsiaTheme="minorEastAsia" w:hAnsi="Times New Roman" w:cs="Times New Roman"/>
                <w:sz w:val="24"/>
                <w:szCs w:val="24"/>
              </w:rPr>
              <w:t xml:space="preserve"> Ekonomski fakultet Sveučilišta u Zagrebu, Predavač na kolegiju Hotelski menadžment, vanjski suradnik</w:t>
            </w:r>
          </w:p>
          <w:p w14:paraId="7D2063C7" w14:textId="7C9EF38A" w:rsidR="00F908AB" w:rsidRPr="00BE5472" w:rsidRDefault="6717EEB9" w:rsidP="00484651">
            <w:pPr>
              <w:shd w:val="clear" w:color="auto" w:fill="FFFFFF" w:themeFill="background1"/>
              <w:spacing w:after="360"/>
              <w:jc w:val="both"/>
              <w:rPr>
                <w:rFonts w:ascii="Times New Roman" w:eastAsiaTheme="minorEastAsia" w:hAnsi="Times New Roman" w:cs="Times New Roman"/>
                <w:sz w:val="24"/>
                <w:szCs w:val="24"/>
                <w:lang w:val="pt-BR"/>
              </w:rPr>
            </w:pPr>
            <w:r w:rsidRPr="00BE5472">
              <w:rPr>
                <w:rFonts w:ascii="Times New Roman" w:eastAsiaTheme="minorEastAsia" w:hAnsi="Times New Roman" w:cs="Times New Roman"/>
                <w:i/>
                <w:iCs/>
                <w:sz w:val="24"/>
                <w:szCs w:val="24"/>
                <w:lang w:val="pt-BR"/>
              </w:rPr>
              <w:t>1994. – 2016</w:t>
            </w:r>
            <w:r w:rsidRPr="00BE5472">
              <w:rPr>
                <w:rFonts w:ascii="Times New Roman" w:eastAsiaTheme="minorEastAsia" w:hAnsi="Times New Roman" w:cs="Times New Roman"/>
                <w:sz w:val="24"/>
                <w:szCs w:val="24"/>
                <w:lang w:val="pt-BR"/>
              </w:rPr>
              <w:t xml:space="preserve">. </w:t>
            </w:r>
            <w:r w:rsidRPr="00BE5472">
              <w:rPr>
                <w:rFonts w:ascii="Times New Roman" w:eastAsiaTheme="minorEastAsia" w:hAnsi="Times New Roman" w:cs="Times New Roman"/>
                <w:i/>
                <w:iCs/>
                <w:sz w:val="24"/>
                <w:szCs w:val="24"/>
                <w:lang w:val="pt-BR"/>
              </w:rPr>
              <w:t>Horwath i Horwath Consulting Zagreb</w:t>
            </w:r>
            <w:r w:rsidRPr="00BE5472">
              <w:rPr>
                <w:rFonts w:ascii="Times New Roman" w:eastAsiaTheme="minorEastAsia" w:hAnsi="Times New Roman" w:cs="Times New Roman"/>
                <w:sz w:val="24"/>
                <w:szCs w:val="24"/>
                <w:lang w:val="pt-BR"/>
              </w:rPr>
              <w:t xml:space="preserve"> d.o.o., Direktorica</w:t>
            </w:r>
          </w:p>
          <w:p w14:paraId="67A68943" w14:textId="61BFECB5" w:rsidR="00F908AB" w:rsidRPr="00BE5472" w:rsidRDefault="6717EEB9" w:rsidP="00484651">
            <w:pPr>
              <w:shd w:val="clear" w:color="auto" w:fill="FFFFFF" w:themeFill="background1"/>
              <w:spacing w:after="36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2003. – 2009.</w:t>
            </w:r>
            <w:r w:rsidRPr="00BE5472">
              <w:rPr>
                <w:rFonts w:ascii="Times New Roman" w:eastAsiaTheme="minorEastAsia" w:hAnsi="Times New Roman" w:cs="Times New Roman"/>
                <w:sz w:val="24"/>
                <w:szCs w:val="24"/>
              </w:rPr>
              <w:t xml:space="preserve"> Zagrebačka škola za menadžment – Studij turizma, Viši predavač, nositelj kolegija </w:t>
            </w:r>
            <w:r w:rsidRPr="00BE5472">
              <w:rPr>
                <w:rFonts w:ascii="Times New Roman" w:eastAsiaTheme="minorEastAsia" w:hAnsi="Times New Roman" w:cs="Times New Roman"/>
                <w:i/>
                <w:iCs/>
                <w:sz w:val="24"/>
                <w:szCs w:val="24"/>
              </w:rPr>
              <w:t>Kontroling u hotelu</w:t>
            </w:r>
          </w:p>
          <w:p w14:paraId="2D5953B3" w14:textId="4A8BBE97" w:rsidR="00F908AB" w:rsidRPr="00BE5472" w:rsidRDefault="6717EEB9" w:rsidP="00484651">
            <w:pPr>
              <w:shd w:val="clear" w:color="auto" w:fill="FFFFFF" w:themeFill="background1"/>
              <w:spacing w:after="36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1989. – 1994.</w:t>
            </w:r>
            <w:r w:rsidRPr="00BE5472">
              <w:rPr>
                <w:rFonts w:ascii="Times New Roman" w:eastAsiaTheme="minorEastAsia" w:hAnsi="Times New Roman" w:cs="Times New Roman"/>
                <w:sz w:val="24"/>
                <w:szCs w:val="24"/>
              </w:rPr>
              <w:t xml:space="preserve"> Institut za turizam Zagreb, Znanstveni suradnik</w:t>
            </w:r>
          </w:p>
          <w:p w14:paraId="0F273E6A" w14:textId="7D7DA088" w:rsidR="00F908AB" w:rsidRPr="00BE5472" w:rsidRDefault="00F908AB" w:rsidP="00484651">
            <w:pPr>
              <w:jc w:val="center"/>
              <w:rPr>
                <w:rFonts w:ascii="Times New Roman" w:hAnsi="Times New Roman" w:cs="Times New Roman"/>
                <w:sz w:val="24"/>
                <w:szCs w:val="24"/>
              </w:rPr>
            </w:pPr>
          </w:p>
        </w:tc>
      </w:tr>
      <w:tr w:rsidR="00F908AB" w:rsidRPr="00BE5472" w14:paraId="5D05C5B9" w14:textId="77777777" w:rsidTr="3CEEF855">
        <w:tc>
          <w:tcPr>
            <w:tcW w:w="1440" w:type="dxa"/>
            <w:vAlign w:val="center"/>
          </w:tcPr>
          <w:p w14:paraId="53C40A29" w14:textId="773B3415" w:rsidR="00F908AB" w:rsidRPr="00BE5472" w:rsidRDefault="6E840524" w:rsidP="00484651">
            <w:pPr>
              <w:jc w:val="center"/>
              <w:rPr>
                <w:rFonts w:ascii="Times New Roman" w:hAnsi="Times New Roman" w:cs="Times New Roman"/>
              </w:rPr>
            </w:pPr>
            <w:r w:rsidRPr="00BE5472">
              <w:rPr>
                <w:rFonts w:ascii="Times New Roman" w:hAnsi="Times New Roman" w:cs="Times New Roman"/>
                <w:sz w:val="24"/>
                <w:szCs w:val="24"/>
              </w:rPr>
              <w:t>Mladen Markoč</w:t>
            </w:r>
          </w:p>
        </w:tc>
        <w:tc>
          <w:tcPr>
            <w:tcW w:w="1695" w:type="dxa"/>
            <w:vAlign w:val="center"/>
          </w:tcPr>
          <w:p w14:paraId="22C6974B" w14:textId="65AC127E" w:rsidR="00F908AB" w:rsidRPr="00BE5472" w:rsidRDefault="4410DBD9" w:rsidP="00484651">
            <w:pPr>
              <w:jc w:val="cente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M</w:t>
            </w:r>
            <w:r w:rsidR="757398D0" w:rsidRPr="00BE5472">
              <w:rPr>
                <w:rFonts w:ascii="Times New Roman" w:eastAsia="Times New Roman" w:hAnsi="Times New Roman" w:cs="Times New Roman"/>
                <w:sz w:val="24"/>
                <w:szCs w:val="24"/>
              </w:rPr>
              <w:t>agistar prava (mag. iur.)</w:t>
            </w:r>
            <w:r w:rsidR="57EDCE00" w:rsidRPr="00BE5472">
              <w:rPr>
                <w:rFonts w:ascii="Times New Roman" w:eastAsia="Times New Roman" w:hAnsi="Times New Roman" w:cs="Times New Roman"/>
                <w:sz w:val="24"/>
                <w:szCs w:val="24"/>
              </w:rPr>
              <w:t xml:space="preserve"> Pravni fakultet Sveučilišta u Zagrebu</w:t>
            </w:r>
          </w:p>
        </w:tc>
        <w:tc>
          <w:tcPr>
            <w:tcW w:w="2228" w:type="dxa"/>
            <w:vAlign w:val="center"/>
          </w:tcPr>
          <w:p w14:paraId="63C6D380" w14:textId="53493BE4" w:rsidR="00F908AB" w:rsidRPr="00BE5472" w:rsidRDefault="46D80AC6" w:rsidP="00484651">
            <w:pPr>
              <w:jc w:val="center"/>
              <w:rPr>
                <w:rFonts w:ascii="Times New Roman" w:hAnsi="Times New Roman" w:cs="Times New Roman"/>
              </w:rPr>
            </w:pPr>
            <w:r w:rsidRPr="00BE5472">
              <w:rPr>
                <w:rFonts w:ascii="Times New Roman" w:eastAsia="Times New Roman" w:hAnsi="Times New Roman" w:cs="Times New Roman"/>
                <w:sz w:val="24"/>
                <w:szCs w:val="24"/>
              </w:rPr>
              <w:t>Č</w:t>
            </w:r>
            <w:r w:rsidR="01033B17" w:rsidRPr="00BE5472">
              <w:rPr>
                <w:rFonts w:ascii="Times New Roman" w:eastAsia="Times New Roman" w:hAnsi="Times New Roman" w:cs="Times New Roman"/>
                <w:sz w:val="24"/>
                <w:szCs w:val="24"/>
              </w:rPr>
              <w:t>lan nadzornih odbora više društava</w:t>
            </w:r>
            <w:r w:rsidR="00F908AB" w:rsidRPr="00BE5472">
              <w:rPr>
                <w:rFonts w:ascii="Times New Roman" w:hAnsi="Times New Roman" w:cs="Times New Roman"/>
              </w:rPr>
              <w:br/>
            </w:r>
            <w:r w:rsidR="01033B17" w:rsidRPr="00BE5472">
              <w:rPr>
                <w:rFonts w:ascii="Times New Roman" w:eastAsia="Times New Roman" w:hAnsi="Times New Roman" w:cs="Times New Roman"/>
                <w:sz w:val="24"/>
                <w:szCs w:val="24"/>
              </w:rPr>
              <w:t xml:space="preserve"> (</w:t>
            </w:r>
            <w:r w:rsidR="01033B17" w:rsidRPr="00BE5472">
              <w:rPr>
                <w:rFonts w:ascii="Times New Roman" w:eastAsia="Times New Roman" w:hAnsi="Times New Roman" w:cs="Times New Roman"/>
                <w:i/>
                <w:iCs/>
                <w:sz w:val="24"/>
                <w:szCs w:val="24"/>
              </w:rPr>
              <w:t>Valamar Riviera</w:t>
            </w:r>
            <w:r w:rsidR="01033B17" w:rsidRPr="00BE5472">
              <w:rPr>
                <w:rFonts w:ascii="Times New Roman" w:eastAsia="Times New Roman" w:hAnsi="Times New Roman" w:cs="Times New Roman"/>
                <w:sz w:val="24"/>
                <w:szCs w:val="24"/>
              </w:rPr>
              <w:t xml:space="preserve"> d.d., </w:t>
            </w:r>
            <w:r w:rsidR="01033B17" w:rsidRPr="00BE5472">
              <w:rPr>
                <w:rFonts w:ascii="Times New Roman" w:eastAsia="Times New Roman" w:hAnsi="Times New Roman" w:cs="Times New Roman"/>
                <w:i/>
                <w:iCs/>
                <w:sz w:val="24"/>
                <w:szCs w:val="24"/>
              </w:rPr>
              <w:t>Imperial Riviera</w:t>
            </w:r>
            <w:r w:rsidR="01033B17" w:rsidRPr="00BE5472">
              <w:rPr>
                <w:rFonts w:ascii="Times New Roman" w:eastAsia="Times New Roman" w:hAnsi="Times New Roman" w:cs="Times New Roman"/>
                <w:sz w:val="24"/>
                <w:szCs w:val="24"/>
              </w:rPr>
              <w:t xml:space="preserve"> d.d., </w:t>
            </w:r>
            <w:r w:rsidR="01033B17" w:rsidRPr="00BE5472">
              <w:rPr>
                <w:rFonts w:ascii="Times New Roman" w:eastAsia="Times New Roman" w:hAnsi="Times New Roman" w:cs="Times New Roman"/>
                <w:i/>
                <w:iCs/>
                <w:sz w:val="24"/>
                <w:szCs w:val="24"/>
              </w:rPr>
              <w:t>Helios Faros</w:t>
            </w:r>
            <w:r w:rsidR="01033B17" w:rsidRPr="00BE5472">
              <w:rPr>
                <w:rFonts w:ascii="Times New Roman" w:eastAsia="Times New Roman" w:hAnsi="Times New Roman" w:cs="Times New Roman"/>
                <w:sz w:val="24"/>
                <w:szCs w:val="24"/>
              </w:rPr>
              <w:t xml:space="preserve"> d.d., </w:t>
            </w:r>
            <w:r w:rsidR="01033B17" w:rsidRPr="00BE5472">
              <w:rPr>
                <w:rFonts w:ascii="Times New Roman" w:eastAsia="Times New Roman" w:hAnsi="Times New Roman" w:cs="Times New Roman"/>
                <w:i/>
                <w:iCs/>
                <w:sz w:val="24"/>
                <w:szCs w:val="24"/>
              </w:rPr>
              <w:t>Ingra</w:t>
            </w:r>
            <w:r w:rsidR="01033B17" w:rsidRPr="00BE5472">
              <w:rPr>
                <w:rFonts w:ascii="Times New Roman" w:eastAsia="Times New Roman" w:hAnsi="Times New Roman" w:cs="Times New Roman"/>
                <w:sz w:val="24"/>
                <w:szCs w:val="24"/>
              </w:rPr>
              <w:t xml:space="preserve"> d.d., </w:t>
            </w:r>
            <w:r w:rsidR="01033B17" w:rsidRPr="00BE5472">
              <w:rPr>
                <w:rFonts w:ascii="Times New Roman" w:eastAsia="Times New Roman" w:hAnsi="Times New Roman" w:cs="Times New Roman"/>
                <w:i/>
                <w:iCs/>
                <w:sz w:val="24"/>
                <w:szCs w:val="24"/>
              </w:rPr>
              <w:t>ICF</w:t>
            </w:r>
            <w:r w:rsidR="01033B17" w:rsidRPr="00BE5472">
              <w:rPr>
                <w:rFonts w:ascii="Times New Roman" w:eastAsia="Times New Roman" w:hAnsi="Times New Roman" w:cs="Times New Roman"/>
                <w:sz w:val="24"/>
                <w:szCs w:val="24"/>
              </w:rPr>
              <w:t xml:space="preserve"> d.d. i </w:t>
            </w:r>
            <w:r w:rsidR="01033B17" w:rsidRPr="00BE5472">
              <w:rPr>
                <w:rFonts w:ascii="Times New Roman" w:eastAsia="Times New Roman" w:hAnsi="Times New Roman" w:cs="Times New Roman"/>
                <w:i/>
                <w:iCs/>
                <w:sz w:val="24"/>
                <w:szCs w:val="24"/>
              </w:rPr>
              <w:t>Proficio</w:t>
            </w:r>
            <w:r w:rsidR="01033B17" w:rsidRPr="00BE5472">
              <w:rPr>
                <w:rFonts w:ascii="Times New Roman" w:eastAsia="Times New Roman" w:hAnsi="Times New Roman" w:cs="Times New Roman"/>
                <w:sz w:val="24"/>
                <w:szCs w:val="24"/>
              </w:rPr>
              <w:t xml:space="preserve"> d.d.) </w:t>
            </w:r>
          </w:p>
          <w:p w14:paraId="45161EDC" w14:textId="7A885454" w:rsidR="00F908AB" w:rsidRPr="00BE5472" w:rsidRDefault="00F908AB" w:rsidP="00484651">
            <w:pPr>
              <w:jc w:val="center"/>
              <w:rPr>
                <w:rFonts w:ascii="Times New Roman" w:eastAsia="Times New Roman" w:hAnsi="Times New Roman" w:cs="Times New Roman"/>
                <w:sz w:val="24"/>
                <w:szCs w:val="24"/>
              </w:rPr>
            </w:pPr>
          </w:p>
          <w:p w14:paraId="6A740C11" w14:textId="7AA64112" w:rsidR="00F908AB" w:rsidRPr="00BE5472" w:rsidRDefault="7B84D858" w:rsidP="00484651">
            <w:pPr>
              <w:jc w:val="center"/>
              <w:rPr>
                <w:rFonts w:ascii="Times New Roman" w:hAnsi="Times New Roman" w:cs="Times New Roman"/>
              </w:rPr>
            </w:pPr>
            <w:r w:rsidRPr="00BE5472">
              <w:rPr>
                <w:rFonts w:ascii="Times New Roman" w:eastAsia="Times New Roman" w:hAnsi="Times New Roman" w:cs="Times New Roman"/>
                <w:sz w:val="24"/>
                <w:szCs w:val="24"/>
              </w:rPr>
              <w:t>Č</w:t>
            </w:r>
            <w:r w:rsidR="01033B17" w:rsidRPr="00BE5472">
              <w:rPr>
                <w:rFonts w:ascii="Times New Roman" w:eastAsia="Times New Roman" w:hAnsi="Times New Roman" w:cs="Times New Roman"/>
                <w:sz w:val="24"/>
                <w:szCs w:val="24"/>
              </w:rPr>
              <w:t>lan Upravnog vijeća</w:t>
            </w:r>
            <w:r w:rsidR="00F908AB" w:rsidRPr="00BE5472">
              <w:rPr>
                <w:rFonts w:ascii="Times New Roman" w:hAnsi="Times New Roman" w:cs="Times New Roman"/>
              </w:rPr>
              <w:br/>
            </w:r>
            <w:r w:rsidR="01033B17" w:rsidRPr="00BE5472">
              <w:rPr>
                <w:rFonts w:ascii="Times New Roman" w:eastAsia="Times New Roman" w:hAnsi="Times New Roman" w:cs="Times New Roman"/>
                <w:sz w:val="24"/>
                <w:szCs w:val="24"/>
              </w:rPr>
              <w:t xml:space="preserve"> </w:t>
            </w:r>
            <w:r w:rsidR="01033B17" w:rsidRPr="00BE5472">
              <w:rPr>
                <w:rFonts w:ascii="Times New Roman" w:eastAsia="Times New Roman" w:hAnsi="Times New Roman" w:cs="Times New Roman"/>
                <w:i/>
                <w:iCs/>
                <w:sz w:val="24"/>
                <w:szCs w:val="24"/>
              </w:rPr>
              <w:t>Ustanova Magdalena</w:t>
            </w:r>
            <w:r w:rsidR="01033B17" w:rsidRPr="00BE5472">
              <w:rPr>
                <w:rFonts w:ascii="Times New Roman" w:eastAsia="Times New Roman" w:hAnsi="Times New Roman" w:cs="Times New Roman"/>
                <w:sz w:val="24"/>
                <w:szCs w:val="24"/>
              </w:rPr>
              <w:t xml:space="preserve"> – klinika za kardiovaskularne bolesti, Medicinski </w:t>
            </w:r>
            <w:r w:rsidR="01033B17" w:rsidRPr="00BE5472">
              <w:rPr>
                <w:rFonts w:ascii="Times New Roman" w:eastAsia="Times New Roman" w:hAnsi="Times New Roman" w:cs="Times New Roman"/>
                <w:sz w:val="24"/>
                <w:szCs w:val="24"/>
              </w:rPr>
              <w:lastRenderedPageBreak/>
              <w:t>fakultet Sveučilišta u Osijeku.</w:t>
            </w:r>
          </w:p>
          <w:p w14:paraId="69ACA41B" w14:textId="230B5597" w:rsidR="00F908AB" w:rsidRPr="00BE5472" w:rsidRDefault="00F908AB" w:rsidP="00484651">
            <w:pPr>
              <w:jc w:val="center"/>
              <w:rPr>
                <w:rFonts w:ascii="Times New Roman" w:eastAsia="Times New Roman" w:hAnsi="Times New Roman" w:cs="Times New Roman"/>
                <w:sz w:val="24"/>
                <w:szCs w:val="24"/>
              </w:rPr>
            </w:pPr>
          </w:p>
          <w:p w14:paraId="39212263" w14:textId="72F7CBA1" w:rsidR="00F908AB" w:rsidRPr="00BE5472" w:rsidRDefault="7101458E" w:rsidP="00484651">
            <w:pPr>
              <w:jc w:val="center"/>
              <w:rPr>
                <w:rFonts w:ascii="Times New Roman" w:hAnsi="Times New Roman" w:cs="Times New Roman"/>
              </w:rPr>
            </w:pPr>
            <w:r w:rsidRPr="00BE5472">
              <w:rPr>
                <w:rFonts w:ascii="Times New Roman" w:eastAsia="Times New Roman" w:hAnsi="Times New Roman" w:cs="Times New Roman"/>
                <w:sz w:val="24"/>
                <w:szCs w:val="24"/>
              </w:rPr>
              <w:t>P</w:t>
            </w:r>
            <w:r w:rsidR="1A78C4C4" w:rsidRPr="00BE5472">
              <w:rPr>
                <w:rFonts w:ascii="Times New Roman" w:eastAsia="Times New Roman" w:hAnsi="Times New Roman" w:cs="Times New Roman"/>
                <w:sz w:val="24"/>
                <w:szCs w:val="24"/>
              </w:rPr>
              <w:t>otpredsjednik</w:t>
            </w:r>
            <w:r w:rsidR="00F908AB" w:rsidRPr="00BE5472">
              <w:rPr>
                <w:rFonts w:ascii="Times New Roman" w:hAnsi="Times New Roman" w:cs="Times New Roman"/>
              </w:rPr>
              <w:br/>
            </w:r>
            <w:r w:rsidR="1A78C4C4" w:rsidRPr="00BE5472">
              <w:rPr>
                <w:rFonts w:ascii="Times New Roman" w:eastAsia="Times New Roman" w:hAnsi="Times New Roman" w:cs="Times New Roman"/>
                <w:sz w:val="24"/>
                <w:szCs w:val="24"/>
              </w:rPr>
              <w:t xml:space="preserve"> Udruga pravnika u gospodarstvu grada Zagreba.</w:t>
            </w:r>
          </w:p>
          <w:p w14:paraId="37A6EE44" w14:textId="789216C1" w:rsidR="00F908AB" w:rsidRPr="00BE5472" w:rsidRDefault="00F908AB" w:rsidP="00484651">
            <w:pPr>
              <w:jc w:val="center"/>
              <w:rPr>
                <w:rFonts w:ascii="Times New Roman" w:eastAsia="Times New Roman" w:hAnsi="Times New Roman" w:cs="Times New Roman"/>
                <w:sz w:val="24"/>
                <w:szCs w:val="24"/>
              </w:rPr>
            </w:pPr>
          </w:p>
        </w:tc>
        <w:tc>
          <w:tcPr>
            <w:tcW w:w="3769" w:type="dxa"/>
            <w:vAlign w:val="center"/>
          </w:tcPr>
          <w:p w14:paraId="1E629F27" w14:textId="3202739F"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lastRenderedPageBreak/>
              <w:t xml:space="preserve">2014. – danas </w:t>
            </w:r>
            <w:r w:rsidRPr="00BE5472">
              <w:rPr>
                <w:rFonts w:ascii="Times New Roman" w:eastAsia="Times New Roman" w:hAnsi="Times New Roman" w:cs="Times New Roman"/>
                <w:sz w:val="24"/>
                <w:szCs w:val="24"/>
              </w:rPr>
              <w:t xml:space="preserve">– zamjenik predsjednika Nadzornog odbora, </w:t>
            </w:r>
            <w:r w:rsidRPr="00BE5472">
              <w:rPr>
                <w:rFonts w:ascii="Times New Roman" w:eastAsia="Times New Roman" w:hAnsi="Times New Roman" w:cs="Times New Roman"/>
                <w:i/>
                <w:iCs/>
                <w:sz w:val="24"/>
                <w:szCs w:val="24"/>
              </w:rPr>
              <w:t>Valamar Riviera</w:t>
            </w:r>
            <w:r w:rsidRPr="00BE5472">
              <w:rPr>
                <w:rFonts w:ascii="Times New Roman" w:eastAsia="Times New Roman" w:hAnsi="Times New Roman" w:cs="Times New Roman"/>
                <w:sz w:val="24"/>
                <w:szCs w:val="24"/>
              </w:rPr>
              <w:t xml:space="preserve"> d.d.,</w:t>
            </w:r>
          </w:p>
          <w:p w14:paraId="67FBBF11" w14:textId="50D2C2AF" w:rsidR="00F908AB" w:rsidRPr="00BE5472" w:rsidRDefault="00F908AB" w:rsidP="00484651">
            <w:pPr>
              <w:jc w:val="both"/>
              <w:rPr>
                <w:rFonts w:ascii="Times New Roman" w:eastAsia="Times New Roman" w:hAnsi="Times New Roman" w:cs="Times New Roman"/>
                <w:i/>
                <w:iCs/>
                <w:sz w:val="24"/>
                <w:szCs w:val="24"/>
              </w:rPr>
            </w:pPr>
          </w:p>
          <w:p w14:paraId="13329C8E" w14:textId="2EF12C2A"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2011. – 2014.</w:t>
            </w:r>
            <w:r w:rsidRPr="00BE5472">
              <w:rPr>
                <w:rFonts w:ascii="Times New Roman" w:eastAsia="Times New Roman" w:hAnsi="Times New Roman" w:cs="Times New Roman"/>
                <w:sz w:val="24"/>
                <w:szCs w:val="24"/>
              </w:rPr>
              <w:t xml:space="preserve"> – član Nadzornog odbora, </w:t>
            </w:r>
            <w:r w:rsidRPr="00BE5472">
              <w:rPr>
                <w:rFonts w:ascii="Times New Roman" w:eastAsia="Times New Roman" w:hAnsi="Times New Roman" w:cs="Times New Roman"/>
                <w:i/>
                <w:iCs/>
                <w:sz w:val="24"/>
                <w:szCs w:val="24"/>
              </w:rPr>
              <w:t>Valamar</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Adria holding</w:t>
            </w:r>
            <w:r w:rsidRPr="00BE5472">
              <w:rPr>
                <w:rFonts w:ascii="Times New Roman" w:eastAsia="Times New Roman" w:hAnsi="Times New Roman" w:cs="Times New Roman"/>
                <w:sz w:val="24"/>
                <w:szCs w:val="24"/>
              </w:rPr>
              <w:t xml:space="preserve"> d.d.</w:t>
            </w:r>
          </w:p>
          <w:p w14:paraId="099A9EFC" w14:textId="46285387" w:rsidR="00F908AB" w:rsidRPr="00BE5472" w:rsidRDefault="00F908AB" w:rsidP="00484651">
            <w:pPr>
              <w:jc w:val="both"/>
              <w:rPr>
                <w:rFonts w:ascii="Times New Roman" w:eastAsia="Times New Roman" w:hAnsi="Times New Roman" w:cs="Times New Roman"/>
                <w:sz w:val="24"/>
                <w:szCs w:val="24"/>
              </w:rPr>
            </w:pPr>
          </w:p>
          <w:p w14:paraId="4D16F3D8" w14:textId="2CB9858B"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2010. – danas</w:t>
            </w:r>
            <w:r w:rsidRPr="00BE5472">
              <w:rPr>
                <w:rFonts w:ascii="Times New Roman" w:eastAsia="Times New Roman" w:hAnsi="Times New Roman" w:cs="Times New Roman"/>
                <w:sz w:val="24"/>
                <w:szCs w:val="24"/>
              </w:rPr>
              <w:t xml:space="preserve"> – Odvjetnički ured Mladen Markoč </w:t>
            </w:r>
          </w:p>
          <w:p w14:paraId="4AAA80F4" w14:textId="466466B5" w:rsidR="00F908AB" w:rsidRPr="00BE5472" w:rsidRDefault="00F908AB" w:rsidP="00484651">
            <w:pPr>
              <w:jc w:val="both"/>
              <w:rPr>
                <w:rFonts w:ascii="Times New Roman" w:eastAsia="Times New Roman" w:hAnsi="Times New Roman" w:cs="Times New Roman"/>
                <w:sz w:val="24"/>
                <w:szCs w:val="24"/>
              </w:rPr>
            </w:pPr>
          </w:p>
          <w:p w14:paraId="174AFE84" w14:textId="4B0291E2"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2008.</w:t>
            </w:r>
            <w:r w:rsidRPr="00BE5472">
              <w:rPr>
                <w:rFonts w:ascii="Times New Roman" w:eastAsia="Times New Roman" w:hAnsi="Times New Roman" w:cs="Times New Roman"/>
                <w:sz w:val="24"/>
                <w:szCs w:val="24"/>
              </w:rPr>
              <w:t xml:space="preserve"> – član Uprave, ICF Grupa d.o.o.</w:t>
            </w:r>
          </w:p>
          <w:p w14:paraId="65B4BFBB" w14:textId="4B5C593F" w:rsidR="00F908AB" w:rsidRPr="00BE5472" w:rsidRDefault="00F908AB" w:rsidP="00484651">
            <w:pPr>
              <w:jc w:val="both"/>
              <w:rPr>
                <w:rFonts w:ascii="Times New Roman" w:eastAsia="Times New Roman" w:hAnsi="Times New Roman" w:cs="Times New Roman"/>
                <w:sz w:val="24"/>
                <w:szCs w:val="24"/>
              </w:rPr>
            </w:pPr>
          </w:p>
          <w:p w14:paraId="6A2EA0E6" w14:textId="1FCCF8A1"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1997. – 2007.</w:t>
            </w:r>
            <w:r w:rsidRPr="00BE5472">
              <w:rPr>
                <w:rFonts w:ascii="Times New Roman" w:eastAsia="Times New Roman" w:hAnsi="Times New Roman" w:cs="Times New Roman"/>
                <w:sz w:val="24"/>
                <w:szCs w:val="24"/>
              </w:rPr>
              <w:t xml:space="preserve"> – </w:t>
            </w:r>
            <w:r w:rsidR="5C6E0309" w:rsidRPr="00BE5472">
              <w:rPr>
                <w:rFonts w:ascii="Times New Roman" w:eastAsia="Times New Roman" w:hAnsi="Times New Roman" w:cs="Times New Roman"/>
                <w:sz w:val="24"/>
                <w:szCs w:val="24"/>
              </w:rPr>
              <w:t xml:space="preserve">Odvjetničko društvo Bogdanović, Dolički &amp; Partneri </w:t>
            </w:r>
          </w:p>
          <w:p w14:paraId="6935AFBA" w14:textId="7C2C1087"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sz w:val="24"/>
                <w:szCs w:val="24"/>
              </w:rPr>
              <w:lastRenderedPageBreak/>
              <w:t>odvjetnik partner</w:t>
            </w:r>
          </w:p>
          <w:p w14:paraId="4435D975" w14:textId="0B6C7C05" w:rsidR="00F908AB" w:rsidRPr="00BE5472" w:rsidRDefault="00F908AB" w:rsidP="00484651">
            <w:pPr>
              <w:jc w:val="both"/>
              <w:rPr>
                <w:rFonts w:ascii="Times New Roman" w:eastAsia="Times New Roman" w:hAnsi="Times New Roman" w:cs="Times New Roman"/>
                <w:sz w:val="24"/>
                <w:szCs w:val="24"/>
              </w:rPr>
            </w:pPr>
          </w:p>
          <w:p w14:paraId="128802F0" w14:textId="321A6C2B"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 xml:space="preserve">1990. – 1997. </w:t>
            </w:r>
            <w:r w:rsidRPr="00BE5472">
              <w:rPr>
                <w:rFonts w:ascii="Times New Roman" w:eastAsia="Times New Roman" w:hAnsi="Times New Roman" w:cs="Times New Roman"/>
                <w:sz w:val="24"/>
                <w:szCs w:val="24"/>
              </w:rPr>
              <w:t xml:space="preserve">– </w:t>
            </w:r>
            <w:r w:rsidR="216FCA6A" w:rsidRPr="00BE5472">
              <w:rPr>
                <w:rFonts w:ascii="Times New Roman" w:eastAsia="Times New Roman" w:hAnsi="Times New Roman" w:cs="Times New Roman"/>
                <w:sz w:val="24"/>
                <w:szCs w:val="24"/>
              </w:rPr>
              <w:t xml:space="preserve">Uprava društva </w:t>
            </w:r>
            <w:r w:rsidR="216FCA6A" w:rsidRPr="00BE5472">
              <w:rPr>
                <w:rFonts w:ascii="Times New Roman" w:eastAsia="Times New Roman" w:hAnsi="Times New Roman" w:cs="Times New Roman"/>
                <w:i/>
                <w:iCs/>
                <w:sz w:val="24"/>
                <w:szCs w:val="24"/>
              </w:rPr>
              <w:t>Pliva</w:t>
            </w:r>
            <w:r w:rsidR="216FCA6A"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sz w:val="24"/>
                <w:szCs w:val="24"/>
              </w:rPr>
              <w:t>pravni savjetnik</w:t>
            </w:r>
          </w:p>
          <w:p w14:paraId="28511C4F" w14:textId="0FF38AB9" w:rsidR="00F908AB" w:rsidRPr="00BE5472" w:rsidRDefault="00F908AB" w:rsidP="00484651">
            <w:pPr>
              <w:jc w:val="both"/>
              <w:rPr>
                <w:rFonts w:ascii="Times New Roman" w:eastAsia="Times New Roman" w:hAnsi="Times New Roman" w:cs="Times New Roman"/>
                <w:sz w:val="24"/>
                <w:szCs w:val="24"/>
              </w:rPr>
            </w:pPr>
          </w:p>
          <w:p w14:paraId="1A0F6E43" w14:textId="27C89ABE" w:rsidR="00F908AB" w:rsidRPr="00BE5472" w:rsidRDefault="655236C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1988.</w:t>
            </w:r>
            <w:r w:rsidRPr="00BE5472">
              <w:rPr>
                <w:rFonts w:ascii="Times New Roman" w:eastAsia="Times New Roman" w:hAnsi="Times New Roman" w:cs="Times New Roman"/>
                <w:sz w:val="24"/>
                <w:szCs w:val="24"/>
              </w:rPr>
              <w:t xml:space="preserve"> – odvjetnički vježbenik</w:t>
            </w:r>
          </w:p>
        </w:tc>
      </w:tr>
      <w:tr w:rsidR="00F908AB" w:rsidRPr="00BE5472" w14:paraId="0C376023" w14:textId="77777777" w:rsidTr="3CEEF855">
        <w:tc>
          <w:tcPr>
            <w:tcW w:w="1440" w:type="dxa"/>
            <w:vAlign w:val="center"/>
          </w:tcPr>
          <w:p w14:paraId="417F2BB0" w14:textId="32C2DDCD" w:rsidR="00F908AB" w:rsidRPr="00BE5472" w:rsidRDefault="70F67456" w:rsidP="00484651">
            <w:pPr>
              <w:jc w:val="center"/>
              <w:rPr>
                <w:rFonts w:ascii="Times New Roman" w:hAnsi="Times New Roman" w:cs="Times New Roman"/>
              </w:rPr>
            </w:pPr>
            <w:r w:rsidRPr="00BE5472">
              <w:rPr>
                <w:rFonts w:ascii="Times New Roman" w:hAnsi="Times New Roman" w:cs="Times New Roman"/>
                <w:sz w:val="24"/>
                <w:szCs w:val="24"/>
              </w:rPr>
              <w:lastRenderedPageBreak/>
              <w:t>Ivica Čačić</w:t>
            </w:r>
          </w:p>
        </w:tc>
        <w:tc>
          <w:tcPr>
            <w:tcW w:w="1695" w:type="dxa"/>
            <w:vAlign w:val="center"/>
          </w:tcPr>
          <w:p w14:paraId="7AD67B3B" w14:textId="2DB6EC5B" w:rsidR="00F908AB" w:rsidRPr="00BE5472" w:rsidRDefault="00F908AB" w:rsidP="00484651">
            <w:pPr>
              <w:jc w:val="center"/>
              <w:rPr>
                <w:rFonts w:ascii="Times New Roman" w:eastAsia="Times New Roman" w:hAnsi="Times New Roman" w:cs="Times New Roman"/>
                <w:sz w:val="24"/>
                <w:szCs w:val="24"/>
                <w:lang w:val="en-US"/>
              </w:rPr>
            </w:pPr>
          </w:p>
          <w:p w14:paraId="46BBE4D7" w14:textId="6ACEA7F0" w:rsidR="00F908AB" w:rsidRPr="00BE5472" w:rsidRDefault="44F13299" w:rsidP="00484651">
            <w:pPr>
              <w:jc w:val="center"/>
              <w:rPr>
                <w:rFonts w:ascii="Times New Roman" w:hAnsi="Times New Roman" w:cs="Times New Roman"/>
              </w:rPr>
            </w:pPr>
            <w:r w:rsidRPr="00BE5472">
              <w:rPr>
                <w:rFonts w:ascii="Times New Roman" w:eastAsia="Times New Roman" w:hAnsi="Times New Roman" w:cs="Times New Roman"/>
                <w:sz w:val="24"/>
                <w:szCs w:val="24"/>
                <w:lang w:val="en-US"/>
              </w:rPr>
              <w:t>Magistar hotelijerskog menadžmenta</w:t>
            </w:r>
            <w:r w:rsidR="49205E80" w:rsidRPr="00BE5472">
              <w:rPr>
                <w:rFonts w:ascii="Times New Roman" w:eastAsia="Times New Roman" w:hAnsi="Times New Roman" w:cs="Times New Roman"/>
                <w:sz w:val="24"/>
                <w:szCs w:val="24"/>
                <w:lang w:val="en-US"/>
              </w:rPr>
              <w:t xml:space="preserve"> (</w:t>
            </w:r>
            <w:r w:rsidR="49205E80" w:rsidRPr="00BE5472">
              <w:rPr>
                <w:rFonts w:ascii="Times New Roman" w:eastAsia="Times New Roman" w:hAnsi="Times New Roman" w:cs="Times New Roman"/>
                <w:i/>
                <w:iCs/>
                <w:sz w:val="24"/>
                <w:szCs w:val="24"/>
                <w:lang w:val="en-US"/>
              </w:rPr>
              <w:t>School of Hotel Administratio</w:t>
            </w:r>
            <w:r w:rsidR="6C716903" w:rsidRPr="00BE5472">
              <w:rPr>
                <w:rFonts w:ascii="Times New Roman" w:eastAsia="Times New Roman" w:hAnsi="Times New Roman" w:cs="Times New Roman"/>
                <w:i/>
                <w:iCs/>
                <w:sz w:val="24"/>
                <w:szCs w:val="24"/>
                <w:lang w:val="en-US"/>
              </w:rPr>
              <w:t>n</w:t>
            </w:r>
            <w:r w:rsidR="49205E80" w:rsidRPr="00BE5472">
              <w:rPr>
                <w:rFonts w:ascii="Times New Roman" w:eastAsia="Times New Roman" w:hAnsi="Times New Roman" w:cs="Times New Roman"/>
                <w:i/>
                <w:iCs/>
                <w:sz w:val="24"/>
                <w:szCs w:val="24"/>
                <w:lang w:val="en-US"/>
              </w:rPr>
              <w:t>,Cornell University</w:t>
            </w:r>
            <w:r w:rsidR="49205E80" w:rsidRPr="00BE5472">
              <w:rPr>
                <w:rFonts w:ascii="Times New Roman" w:eastAsia="Times New Roman" w:hAnsi="Times New Roman" w:cs="Times New Roman"/>
                <w:sz w:val="24"/>
                <w:szCs w:val="24"/>
                <w:lang w:val="en-US"/>
              </w:rPr>
              <w:t>)</w:t>
            </w:r>
          </w:p>
        </w:tc>
        <w:tc>
          <w:tcPr>
            <w:tcW w:w="2228" w:type="dxa"/>
            <w:vAlign w:val="center"/>
          </w:tcPr>
          <w:p w14:paraId="54FE987D" w14:textId="30F83244" w:rsidR="00F908AB" w:rsidRPr="00BE5472" w:rsidRDefault="00F908AB" w:rsidP="00484651">
            <w:pPr>
              <w:jc w:val="center"/>
              <w:rPr>
                <w:rFonts w:ascii="Times New Roman" w:eastAsia="Times New Roman" w:hAnsi="Times New Roman" w:cs="Times New Roman"/>
                <w:sz w:val="24"/>
                <w:szCs w:val="24"/>
              </w:rPr>
            </w:pPr>
          </w:p>
          <w:p w14:paraId="3146E725" w14:textId="62DB51AD" w:rsidR="00F908AB" w:rsidRPr="00BE5472" w:rsidRDefault="2E6E86A5" w:rsidP="00484651">
            <w:pPr>
              <w:jc w:val="center"/>
              <w:rPr>
                <w:rFonts w:ascii="Times New Roman" w:hAnsi="Times New Roman" w:cs="Times New Roman"/>
              </w:rPr>
            </w:pPr>
            <w:r w:rsidRPr="00BE5472">
              <w:rPr>
                <w:rFonts w:ascii="Times New Roman" w:eastAsia="Times New Roman" w:hAnsi="Times New Roman" w:cs="Times New Roman"/>
                <w:sz w:val="24"/>
                <w:szCs w:val="24"/>
              </w:rPr>
              <w:t xml:space="preserve">Potpredsjednik za razvoj </w:t>
            </w:r>
            <w:r w:rsidRPr="00BE5472">
              <w:rPr>
                <w:rFonts w:ascii="Times New Roman" w:eastAsia="Times New Roman" w:hAnsi="Times New Roman" w:cs="Times New Roman"/>
                <w:i/>
                <w:iCs/>
                <w:sz w:val="24"/>
                <w:szCs w:val="24"/>
              </w:rPr>
              <w:t>Marriott International</w:t>
            </w:r>
            <w:r w:rsidRPr="00BE5472">
              <w:rPr>
                <w:rFonts w:ascii="Times New Roman" w:eastAsia="Times New Roman" w:hAnsi="Times New Roman" w:cs="Times New Roman"/>
                <w:sz w:val="24"/>
                <w:szCs w:val="24"/>
              </w:rPr>
              <w:t xml:space="preserve"> za Istočnu Europu, CIS i Balkan </w:t>
            </w:r>
          </w:p>
        </w:tc>
        <w:tc>
          <w:tcPr>
            <w:tcW w:w="3769" w:type="dxa"/>
            <w:vAlign w:val="center"/>
          </w:tcPr>
          <w:p w14:paraId="0C7DF500" w14:textId="4F864C30" w:rsidR="00F908AB" w:rsidRPr="00BE5472" w:rsidRDefault="23FF257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 xml:space="preserve">2012. – danas </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 xml:space="preserve">Marriott International </w:t>
            </w:r>
            <w:r w:rsidRPr="00BE5472">
              <w:rPr>
                <w:rFonts w:ascii="Times New Roman" w:eastAsia="Times New Roman" w:hAnsi="Times New Roman" w:cs="Times New Roman"/>
                <w:sz w:val="24"/>
                <w:szCs w:val="24"/>
              </w:rPr>
              <w:t xml:space="preserve">– </w:t>
            </w:r>
            <w:r w:rsidR="19CCADF5" w:rsidRPr="00BE5472">
              <w:rPr>
                <w:rFonts w:ascii="Times New Roman" w:eastAsia="Times New Roman" w:hAnsi="Times New Roman" w:cs="Times New Roman"/>
                <w:sz w:val="24"/>
                <w:szCs w:val="24"/>
              </w:rPr>
              <w:t>potpredsjednik</w:t>
            </w:r>
            <w:r w:rsidRPr="00BE5472">
              <w:rPr>
                <w:rFonts w:ascii="Times New Roman" w:eastAsia="Times New Roman" w:hAnsi="Times New Roman" w:cs="Times New Roman"/>
                <w:sz w:val="24"/>
                <w:szCs w:val="24"/>
              </w:rPr>
              <w:t xml:space="preserve"> za razvoj projekata u Istočnoj Europi, CIS-u i Balkanu.</w:t>
            </w:r>
          </w:p>
          <w:p w14:paraId="2BFF9648" w14:textId="4DBE8295" w:rsidR="00F908AB" w:rsidRPr="00BE5472" w:rsidRDefault="00F908AB" w:rsidP="00484651">
            <w:pPr>
              <w:jc w:val="both"/>
              <w:rPr>
                <w:rFonts w:ascii="Times New Roman" w:eastAsia="Times New Roman" w:hAnsi="Times New Roman" w:cs="Times New Roman"/>
                <w:sz w:val="24"/>
                <w:szCs w:val="24"/>
              </w:rPr>
            </w:pPr>
          </w:p>
          <w:p w14:paraId="405A1998" w14:textId="64312B4B" w:rsidR="00F908AB" w:rsidRPr="00BE5472" w:rsidRDefault="23FF257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2007. – Marriott International</w:t>
            </w:r>
            <w:r w:rsidRPr="00BE5472">
              <w:rPr>
                <w:rFonts w:ascii="Times New Roman" w:eastAsia="Times New Roman" w:hAnsi="Times New Roman" w:cs="Times New Roman"/>
                <w:sz w:val="24"/>
                <w:szCs w:val="24"/>
              </w:rPr>
              <w:t xml:space="preserve"> – razvojni menadžer - usmjeren na razvoj novih hotelskih projekata na području Balkana.</w:t>
            </w:r>
          </w:p>
          <w:p w14:paraId="4112A6AD" w14:textId="40D9736C" w:rsidR="00F908AB" w:rsidRPr="00BE5472" w:rsidRDefault="00F908AB" w:rsidP="00484651">
            <w:pPr>
              <w:jc w:val="both"/>
              <w:rPr>
                <w:rFonts w:ascii="Times New Roman" w:eastAsia="Times New Roman" w:hAnsi="Times New Roman" w:cs="Times New Roman"/>
                <w:sz w:val="24"/>
                <w:szCs w:val="24"/>
              </w:rPr>
            </w:pPr>
          </w:p>
          <w:p w14:paraId="081E4485" w14:textId="1E8CB122" w:rsidR="00F908AB" w:rsidRPr="00BE5472" w:rsidRDefault="23FF2574"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1999.</w:t>
            </w:r>
            <w:r w:rsidRPr="00BE5472">
              <w:rPr>
                <w:rFonts w:ascii="Times New Roman" w:eastAsia="Times New Roman" w:hAnsi="Times New Roman" w:cs="Times New Roman"/>
                <w:sz w:val="24"/>
                <w:szCs w:val="24"/>
              </w:rPr>
              <w:t xml:space="preserve"> – Osnivač i vlasnik konzultantske tvrtke u hotelijerstvu</w:t>
            </w:r>
            <w:r w:rsidR="00F908AB" w:rsidRPr="00BE5472">
              <w:rPr>
                <w:rFonts w:ascii="Times New Roman" w:hAnsi="Times New Roman" w:cs="Times New Roman"/>
              </w:rPr>
              <w:br/>
            </w:r>
            <w:r w:rsidRPr="00BE5472">
              <w:rPr>
                <w:rFonts w:ascii="Times New Roman" w:eastAsia="Times New Roman" w:hAnsi="Times New Roman" w:cs="Times New Roman"/>
                <w:sz w:val="24"/>
                <w:szCs w:val="24"/>
              </w:rPr>
              <w:t>Specijalizacija: procjene hotelskih nekretnina i restrukturiranje poslovanja u Hrvatskoj.</w:t>
            </w:r>
          </w:p>
        </w:tc>
      </w:tr>
      <w:tr w:rsidR="00F908AB" w:rsidRPr="00BE5472" w14:paraId="31B18707" w14:textId="77777777" w:rsidTr="00CD1AB7">
        <w:trPr>
          <w:trHeight w:val="9771"/>
        </w:trPr>
        <w:tc>
          <w:tcPr>
            <w:tcW w:w="1440" w:type="dxa"/>
            <w:vAlign w:val="center"/>
          </w:tcPr>
          <w:p w14:paraId="436FCC92" w14:textId="53C573EC" w:rsidR="00F908AB" w:rsidRPr="00BE5472" w:rsidRDefault="70F67456" w:rsidP="00484651">
            <w:pPr>
              <w:jc w:val="center"/>
              <w:rPr>
                <w:rFonts w:ascii="Times New Roman" w:hAnsi="Times New Roman" w:cs="Times New Roman"/>
              </w:rPr>
            </w:pPr>
            <w:r w:rsidRPr="00BE5472">
              <w:rPr>
                <w:rFonts w:ascii="Times New Roman" w:hAnsi="Times New Roman" w:cs="Times New Roman"/>
                <w:sz w:val="24"/>
                <w:szCs w:val="24"/>
              </w:rPr>
              <w:lastRenderedPageBreak/>
              <w:t>Duje Bralić</w:t>
            </w:r>
          </w:p>
        </w:tc>
        <w:tc>
          <w:tcPr>
            <w:tcW w:w="1695" w:type="dxa"/>
            <w:vAlign w:val="center"/>
          </w:tcPr>
          <w:p w14:paraId="020C3BA8" w14:textId="4531D7CC" w:rsidR="00F908AB" w:rsidRPr="00BE5472" w:rsidRDefault="40A6C124" w:rsidP="00484651">
            <w:pPr>
              <w:jc w:val="center"/>
              <w:rPr>
                <w:rFonts w:ascii="Times New Roman" w:hAnsi="Times New Roman" w:cs="Times New Roman"/>
              </w:rPr>
            </w:pPr>
            <w:r w:rsidRPr="00BE5472">
              <w:rPr>
                <w:rFonts w:ascii="Times New Roman" w:hAnsi="Times New Roman" w:cs="Times New Roman"/>
                <w:sz w:val="24"/>
                <w:szCs w:val="24"/>
              </w:rPr>
              <w:t>dr.sc.</w:t>
            </w:r>
            <w:r w:rsidRPr="00BE5472">
              <w:rPr>
                <w:rFonts w:ascii="Times New Roman" w:eastAsia="Times New Roman" w:hAnsi="Times New Roman" w:cs="Times New Roman"/>
                <w:sz w:val="24"/>
                <w:szCs w:val="24"/>
              </w:rPr>
              <w:t xml:space="preserve"> </w:t>
            </w:r>
          </w:p>
          <w:p w14:paraId="3307DD2C" w14:textId="63380F65" w:rsidR="00F908AB" w:rsidRPr="00BE5472" w:rsidRDefault="40A6C124" w:rsidP="00484651">
            <w:pPr>
              <w:jc w:val="center"/>
              <w:rPr>
                <w:rFonts w:ascii="Times New Roman" w:hAnsi="Times New Roman" w:cs="Times New Roman"/>
              </w:rPr>
            </w:pPr>
            <w:r w:rsidRPr="00BE5472">
              <w:rPr>
                <w:rFonts w:ascii="Times New Roman" w:eastAsia="Times New Roman" w:hAnsi="Times New Roman" w:cs="Times New Roman"/>
                <w:i/>
                <w:iCs/>
                <w:sz w:val="24"/>
                <w:szCs w:val="24"/>
              </w:rPr>
              <w:t>School of Advanced Social Studies</w:t>
            </w:r>
            <w:r w:rsidRPr="00BE5472">
              <w:rPr>
                <w:rFonts w:ascii="Times New Roman" w:eastAsia="Times New Roman" w:hAnsi="Times New Roman" w:cs="Times New Roman"/>
                <w:sz w:val="24"/>
                <w:szCs w:val="24"/>
              </w:rPr>
              <w:t xml:space="preserve"> (SASS)</w:t>
            </w:r>
          </w:p>
        </w:tc>
        <w:tc>
          <w:tcPr>
            <w:tcW w:w="2228" w:type="dxa"/>
            <w:vAlign w:val="center"/>
          </w:tcPr>
          <w:p w14:paraId="4FBCBC8C" w14:textId="2FB9BFE9" w:rsidR="00F908AB" w:rsidRPr="00BE5472" w:rsidRDefault="59FFDFF2" w:rsidP="00484651">
            <w:pPr>
              <w:jc w:val="center"/>
              <w:rPr>
                <w:rFonts w:ascii="Times New Roman" w:hAnsi="Times New Roman" w:cs="Times New Roman"/>
              </w:rPr>
            </w:pPr>
            <w:r w:rsidRPr="00BE5472">
              <w:rPr>
                <w:rFonts w:ascii="Times New Roman" w:hAnsi="Times New Roman" w:cs="Times New Roman"/>
                <w:sz w:val="24"/>
                <w:szCs w:val="24"/>
              </w:rPr>
              <w:t>Direktor strateških projekata i analitike</w:t>
            </w:r>
          </w:p>
        </w:tc>
        <w:tc>
          <w:tcPr>
            <w:tcW w:w="3769" w:type="dxa"/>
            <w:vAlign w:val="center"/>
          </w:tcPr>
          <w:p w14:paraId="0647EFB5" w14:textId="43BF5F20"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2024 – danas</w:t>
            </w:r>
            <w:r w:rsidRPr="00BE5472">
              <w:rPr>
                <w:rFonts w:ascii="Times New Roman" w:eastAsiaTheme="minorEastAsia" w:hAnsi="Times New Roman" w:cs="Times New Roman"/>
                <w:sz w:val="24"/>
                <w:szCs w:val="24"/>
              </w:rPr>
              <w:t xml:space="preserve"> – </w:t>
            </w:r>
            <w:r w:rsidR="3A1DE113" w:rsidRPr="00BE5472">
              <w:rPr>
                <w:rFonts w:ascii="Times New Roman" w:eastAsiaTheme="minorEastAsia" w:hAnsi="Times New Roman" w:cs="Times New Roman"/>
                <w:i/>
                <w:iCs/>
                <w:sz w:val="24"/>
                <w:szCs w:val="24"/>
              </w:rPr>
              <w:t>Valamar Riviera</w:t>
            </w:r>
            <w:r w:rsidR="3A1DE113" w:rsidRPr="00BE5472">
              <w:rPr>
                <w:rFonts w:ascii="Times New Roman" w:eastAsiaTheme="minorEastAsia" w:hAnsi="Times New Roman" w:cs="Times New Roman"/>
                <w:sz w:val="24"/>
                <w:szCs w:val="24"/>
              </w:rPr>
              <w:t xml:space="preserve"> d.d., </w:t>
            </w:r>
            <w:r w:rsidRPr="00BE5472">
              <w:rPr>
                <w:rFonts w:ascii="Times New Roman" w:eastAsiaTheme="minorEastAsia" w:hAnsi="Times New Roman" w:cs="Times New Roman"/>
                <w:sz w:val="24"/>
                <w:szCs w:val="24"/>
              </w:rPr>
              <w:t>Direktor strateških projekata i analitike / voditelj korporativnog PMO-a</w:t>
            </w:r>
          </w:p>
          <w:p w14:paraId="6C597F99" w14:textId="28D8FF75"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2022 – 2024</w:t>
            </w:r>
            <w:r w:rsidRPr="00BE5472">
              <w:rPr>
                <w:rFonts w:ascii="Times New Roman" w:eastAsiaTheme="minorEastAsia" w:hAnsi="Times New Roman" w:cs="Times New Roman"/>
                <w:sz w:val="24"/>
                <w:szCs w:val="24"/>
              </w:rPr>
              <w:t xml:space="preserve"> – </w:t>
            </w:r>
            <w:r w:rsidR="0C14650D" w:rsidRPr="00BE5472">
              <w:rPr>
                <w:rFonts w:ascii="Times New Roman" w:eastAsiaTheme="minorEastAsia" w:hAnsi="Times New Roman" w:cs="Times New Roman"/>
                <w:i/>
                <w:iCs/>
                <w:sz w:val="24"/>
                <w:szCs w:val="24"/>
              </w:rPr>
              <w:t>Valamar Riviera</w:t>
            </w:r>
            <w:r w:rsidR="0C14650D" w:rsidRPr="00BE5472">
              <w:rPr>
                <w:rFonts w:ascii="Times New Roman" w:eastAsiaTheme="minorEastAsia" w:hAnsi="Times New Roman" w:cs="Times New Roman"/>
                <w:sz w:val="24"/>
                <w:szCs w:val="24"/>
              </w:rPr>
              <w:t xml:space="preserve"> d.d. </w:t>
            </w:r>
            <w:r w:rsidRPr="00BE5472">
              <w:rPr>
                <w:rFonts w:ascii="Times New Roman" w:eastAsiaTheme="minorEastAsia" w:hAnsi="Times New Roman" w:cs="Times New Roman"/>
                <w:sz w:val="24"/>
                <w:szCs w:val="24"/>
              </w:rPr>
              <w:t>Direktor strateških projekata i analitike</w:t>
            </w:r>
          </w:p>
          <w:p w14:paraId="194E0789" w14:textId="5567D175"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 xml:space="preserve">2021 – 2022 </w:t>
            </w:r>
            <w:r w:rsidRPr="00BE5472">
              <w:rPr>
                <w:rFonts w:ascii="Times New Roman" w:eastAsiaTheme="minorEastAsia" w:hAnsi="Times New Roman" w:cs="Times New Roman"/>
                <w:sz w:val="24"/>
                <w:szCs w:val="24"/>
              </w:rPr>
              <w:t xml:space="preserve">– </w:t>
            </w:r>
            <w:r w:rsidR="606B8FA6" w:rsidRPr="00BE5472">
              <w:rPr>
                <w:rFonts w:ascii="Times New Roman" w:eastAsiaTheme="minorEastAsia" w:hAnsi="Times New Roman" w:cs="Times New Roman"/>
                <w:sz w:val="24"/>
                <w:szCs w:val="24"/>
              </w:rPr>
              <w:t xml:space="preserve">Valamar Riviera d.d. </w:t>
            </w:r>
            <w:r w:rsidRPr="00BE5472">
              <w:rPr>
                <w:rFonts w:ascii="Times New Roman" w:eastAsiaTheme="minorEastAsia" w:hAnsi="Times New Roman" w:cs="Times New Roman"/>
                <w:sz w:val="24"/>
                <w:szCs w:val="24"/>
              </w:rPr>
              <w:t>Menadžer strateških projekata i analitike</w:t>
            </w:r>
          </w:p>
          <w:p w14:paraId="2CF1446A" w14:textId="4FCB25DA"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2020 – 2021</w:t>
            </w:r>
            <w:r w:rsidRPr="00BE5472">
              <w:rPr>
                <w:rFonts w:ascii="Times New Roman" w:eastAsiaTheme="minorEastAsia" w:hAnsi="Times New Roman" w:cs="Times New Roman"/>
                <w:sz w:val="24"/>
                <w:szCs w:val="24"/>
              </w:rPr>
              <w:t xml:space="preserve"> – </w:t>
            </w:r>
            <w:r w:rsidR="4FAC248F" w:rsidRPr="00BE5472">
              <w:rPr>
                <w:rFonts w:ascii="Times New Roman" w:eastAsiaTheme="minorEastAsia" w:hAnsi="Times New Roman" w:cs="Times New Roman"/>
                <w:sz w:val="24"/>
                <w:szCs w:val="24"/>
              </w:rPr>
              <w:t xml:space="preserve">Valamar Riviera d.d. </w:t>
            </w:r>
            <w:r w:rsidRPr="00BE5472">
              <w:rPr>
                <w:rFonts w:ascii="Times New Roman" w:eastAsiaTheme="minorEastAsia" w:hAnsi="Times New Roman" w:cs="Times New Roman"/>
                <w:sz w:val="24"/>
                <w:szCs w:val="24"/>
              </w:rPr>
              <w:t>Pomoćnik direktora destinacija (Rab, Hvar, Makarska)</w:t>
            </w:r>
          </w:p>
          <w:p w14:paraId="3BD65643" w14:textId="04772C2A"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2017 – 2020</w:t>
            </w:r>
            <w:r w:rsidRPr="00BE5472">
              <w:rPr>
                <w:rFonts w:ascii="Times New Roman" w:eastAsiaTheme="minorEastAsia" w:hAnsi="Times New Roman" w:cs="Times New Roman"/>
                <w:sz w:val="24"/>
                <w:szCs w:val="24"/>
              </w:rPr>
              <w:t xml:space="preserve"> – </w:t>
            </w:r>
            <w:r w:rsidR="476CB66E" w:rsidRPr="00BE5472">
              <w:rPr>
                <w:rFonts w:ascii="Times New Roman" w:eastAsiaTheme="minorEastAsia" w:hAnsi="Times New Roman" w:cs="Times New Roman"/>
                <w:i/>
                <w:iCs/>
                <w:sz w:val="24"/>
                <w:szCs w:val="24"/>
              </w:rPr>
              <w:t>Valamar Riviera</w:t>
            </w:r>
            <w:r w:rsidR="476CB66E" w:rsidRPr="00BE5472">
              <w:rPr>
                <w:rFonts w:ascii="Times New Roman" w:eastAsiaTheme="minorEastAsia" w:hAnsi="Times New Roman" w:cs="Times New Roman"/>
                <w:sz w:val="24"/>
                <w:szCs w:val="24"/>
              </w:rPr>
              <w:t xml:space="preserve"> d.d., </w:t>
            </w:r>
            <w:r w:rsidRPr="00BE5472">
              <w:rPr>
                <w:rFonts w:ascii="Times New Roman" w:eastAsiaTheme="minorEastAsia" w:hAnsi="Times New Roman" w:cs="Times New Roman"/>
                <w:sz w:val="24"/>
                <w:szCs w:val="24"/>
              </w:rPr>
              <w:t>Upravljanje projektima – regija Dubrovnik</w:t>
            </w:r>
            <w:r w:rsidR="007F2F3E" w:rsidRPr="00BE5472">
              <w:rPr>
                <w:rFonts w:ascii="Times New Roman" w:eastAsiaTheme="minorEastAsia" w:hAnsi="Times New Roman" w:cs="Times New Roman"/>
                <w:sz w:val="24"/>
                <w:szCs w:val="24"/>
              </w:rPr>
              <w:t xml:space="preserve"> </w:t>
            </w:r>
            <w:r w:rsidR="007F2F3E" w:rsidRPr="00BE5472">
              <w:rPr>
                <w:rFonts w:ascii="Times New Roman" w:hAnsi="Times New Roman" w:cs="Times New Roman"/>
                <w:kern w:val="2"/>
                <w:sz w:val="24"/>
                <w:szCs w:val="24"/>
                <w14:ligatures w14:val="standardContextual"/>
              </w:rPr>
              <w:t xml:space="preserve">– </w:t>
            </w:r>
            <w:r w:rsidRPr="00BE5472">
              <w:rPr>
                <w:rFonts w:ascii="Times New Roman" w:eastAsiaTheme="minorEastAsia" w:hAnsi="Times New Roman" w:cs="Times New Roman"/>
                <w:sz w:val="24"/>
                <w:szCs w:val="24"/>
              </w:rPr>
              <w:t>Dalmacija</w:t>
            </w:r>
          </w:p>
          <w:p w14:paraId="21B3F25F" w14:textId="4C320D6E"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2019 – 2020</w:t>
            </w:r>
            <w:r w:rsidRPr="00BE5472">
              <w:rPr>
                <w:rFonts w:ascii="Times New Roman" w:eastAsiaTheme="minorEastAsia" w:hAnsi="Times New Roman" w:cs="Times New Roman"/>
                <w:sz w:val="24"/>
                <w:szCs w:val="24"/>
              </w:rPr>
              <w:t xml:space="preserve"> – </w:t>
            </w:r>
            <w:r w:rsidR="1E557BE2" w:rsidRPr="00BE5472">
              <w:rPr>
                <w:rFonts w:ascii="Times New Roman" w:eastAsiaTheme="minorEastAsia" w:hAnsi="Times New Roman" w:cs="Times New Roman"/>
                <w:i/>
                <w:iCs/>
                <w:sz w:val="24"/>
                <w:szCs w:val="24"/>
              </w:rPr>
              <w:t>Valamar Collection Dubrovnik President</w:t>
            </w:r>
            <w:r w:rsidR="1E557BE2"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sz w:val="24"/>
                <w:szCs w:val="24"/>
              </w:rPr>
              <w:t>Pomoćnik direktora</w:t>
            </w:r>
            <w:r w:rsidR="64E4EF5C" w:rsidRPr="00BE5472">
              <w:rPr>
                <w:rFonts w:ascii="Times New Roman" w:eastAsiaTheme="minorEastAsia" w:hAnsi="Times New Roman" w:cs="Times New Roman"/>
                <w:sz w:val="24"/>
                <w:szCs w:val="24"/>
              </w:rPr>
              <w:t xml:space="preserve"> hotela</w:t>
            </w:r>
          </w:p>
          <w:p w14:paraId="53D039FC" w14:textId="54606B4C" w:rsidR="00F908AB" w:rsidRPr="00BE5472" w:rsidRDefault="1EAD7F9F" w:rsidP="00484651">
            <w:pPr>
              <w:spacing w:before="240" w:after="240"/>
              <w:jc w:val="both"/>
              <w:rPr>
                <w:rFonts w:ascii="Times New Roman" w:eastAsiaTheme="minorEastAsia" w:hAnsi="Times New Roman" w:cs="Times New Roman"/>
                <w:sz w:val="24"/>
                <w:szCs w:val="24"/>
              </w:rPr>
            </w:pPr>
            <w:r w:rsidRPr="00BE5472">
              <w:rPr>
                <w:rFonts w:ascii="Times New Roman" w:eastAsiaTheme="minorEastAsia" w:hAnsi="Times New Roman" w:cs="Times New Roman"/>
                <w:i/>
                <w:iCs/>
                <w:sz w:val="24"/>
                <w:szCs w:val="24"/>
              </w:rPr>
              <w:t xml:space="preserve">2017 – 2017 </w:t>
            </w:r>
            <w:r w:rsidR="196586FC" w:rsidRPr="00BE5472">
              <w:rPr>
                <w:rFonts w:ascii="Times New Roman" w:eastAsiaTheme="minorEastAsia" w:hAnsi="Times New Roman" w:cs="Times New Roman"/>
                <w:i/>
                <w:iCs/>
                <w:sz w:val="24"/>
                <w:szCs w:val="24"/>
              </w:rPr>
              <w:t>Valamar Dubrovnik President</w:t>
            </w:r>
            <w:r w:rsidR="196586FC"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sz w:val="24"/>
                <w:szCs w:val="24"/>
              </w:rPr>
              <w:t>Voditelj servisnih projekata (V razina)</w:t>
            </w:r>
          </w:p>
          <w:p w14:paraId="169A1F5A" w14:textId="7C514421" w:rsidR="00F908AB" w:rsidRPr="00BE5472" w:rsidRDefault="00F908AB" w:rsidP="00484651">
            <w:pPr>
              <w:jc w:val="center"/>
              <w:rPr>
                <w:rFonts w:ascii="Times New Roman" w:hAnsi="Times New Roman" w:cs="Times New Roman"/>
                <w:sz w:val="24"/>
                <w:szCs w:val="24"/>
              </w:rPr>
            </w:pPr>
          </w:p>
        </w:tc>
      </w:tr>
      <w:tr w:rsidR="00F908AB" w:rsidRPr="00BE5472" w14:paraId="186D9F3F" w14:textId="77777777" w:rsidTr="3CEEF855">
        <w:tc>
          <w:tcPr>
            <w:tcW w:w="1440" w:type="dxa"/>
            <w:vAlign w:val="center"/>
          </w:tcPr>
          <w:p w14:paraId="0295EE64" w14:textId="03FD67F7" w:rsidR="00F908AB" w:rsidRPr="00BE5472" w:rsidRDefault="70F67456" w:rsidP="00484651">
            <w:pPr>
              <w:jc w:val="center"/>
              <w:rPr>
                <w:rFonts w:ascii="Times New Roman" w:hAnsi="Times New Roman" w:cs="Times New Roman"/>
              </w:rPr>
            </w:pPr>
            <w:r w:rsidRPr="00BE5472">
              <w:rPr>
                <w:rFonts w:ascii="Times New Roman" w:hAnsi="Times New Roman" w:cs="Times New Roman"/>
                <w:sz w:val="24"/>
                <w:szCs w:val="24"/>
              </w:rPr>
              <w:t>Tamara Floričić</w:t>
            </w:r>
          </w:p>
        </w:tc>
        <w:tc>
          <w:tcPr>
            <w:tcW w:w="1695" w:type="dxa"/>
            <w:vAlign w:val="center"/>
          </w:tcPr>
          <w:p w14:paraId="763C26A7" w14:textId="77777777" w:rsidR="00F908AB" w:rsidRDefault="44B8315F" w:rsidP="00484651">
            <w:pPr>
              <w:jc w:val="center"/>
              <w:rPr>
                <w:rFonts w:ascii="Times New Roman" w:hAnsi="Times New Roman" w:cs="Times New Roman"/>
                <w:sz w:val="24"/>
                <w:szCs w:val="24"/>
              </w:rPr>
            </w:pPr>
            <w:r w:rsidRPr="00BE5472">
              <w:rPr>
                <w:rFonts w:ascii="Times New Roman" w:hAnsi="Times New Roman" w:cs="Times New Roman"/>
                <w:sz w:val="24"/>
                <w:szCs w:val="24"/>
              </w:rPr>
              <w:t>d</w:t>
            </w:r>
            <w:r w:rsidR="70F67456" w:rsidRPr="00BE5472">
              <w:rPr>
                <w:rFonts w:ascii="Times New Roman" w:hAnsi="Times New Roman" w:cs="Times New Roman"/>
                <w:sz w:val="24"/>
                <w:szCs w:val="24"/>
              </w:rPr>
              <w:t>r.sc.</w:t>
            </w:r>
          </w:p>
          <w:p w14:paraId="4CE71372" w14:textId="3B5BF11F" w:rsidR="00DE680E" w:rsidRPr="00BE5472" w:rsidRDefault="00DE680E" w:rsidP="00484651">
            <w:pPr>
              <w:jc w:val="center"/>
              <w:rPr>
                <w:rFonts w:ascii="Times New Roman" w:hAnsi="Times New Roman" w:cs="Times New Roman"/>
                <w:sz w:val="24"/>
                <w:szCs w:val="24"/>
              </w:rPr>
            </w:pPr>
            <w:r w:rsidRPr="00037B76">
              <w:rPr>
                <w:rFonts w:ascii="Times New Roman" w:hAnsi="Times New Roman" w:cs="Times New Roman"/>
                <w:sz w:val="24"/>
                <w:szCs w:val="24"/>
              </w:rPr>
              <w:t>Fakultetu za menadžment u turizmu i ugostiteljstvu u Opatiji (FTHM)</w:t>
            </w:r>
          </w:p>
        </w:tc>
        <w:tc>
          <w:tcPr>
            <w:tcW w:w="2228" w:type="dxa"/>
            <w:vAlign w:val="center"/>
          </w:tcPr>
          <w:p w14:paraId="57E1E132" w14:textId="1B1D6E7D" w:rsidR="00F908AB" w:rsidRPr="00BE5472" w:rsidRDefault="00113E93" w:rsidP="00484651">
            <w:pPr>
              <w:jc w:val="center"/>
              <w:rPr>
                <w:rFonts w:ascii="Times New Roman" w:eastAsia="Times New Roman" w:hAnsi="Times New Roman" w:cs="Times New Roman"/>
                <w:sz w:val="24"/>
                <w:szCs w:val="24"/>
              </w:rPr>
            </w:pPr>
            <w:r w:rsidRPr="00BE5472">
              <w:rPr>
                <w:rFonts w:ascii="Times New Roman" w:hAnsi="Times New Roman" w:cs="Times New Roman"/>
                <w:sz w:val="24"/>
                <w:szCs w:val="24"/>
              </w:rPr>
              <w:t xml:space="preserve">Izvanredna profesorica </w:t>
            </w:r>
            <w:r w:rsidRPr="00BE5472">
              <w:rPr>
                <w:rFonts w:ascii="Times New Roman" w:eastAsia="Times New Roman" w:hAnsi="Times New Roman" w:cs="Times New Roman"/>
                <w:color w:val="212529"/>
                <w:sz w:val="24"/>
                <w:szCs w:val="24"/>
              </w:rPr>
              <w:t>na Sveučilištu Jurja Dobrile u Puli, Hrvatska, Fakultet ekonomije i turizma „Dr. Mijo Mirković“</w:t>
            </w:r>
          </w:p>
        </w:tc>
        <w:tc>
          <w:tcPr>
            <w:tcW w:w="3769" w:type="dxa"/>
            <w:vAlign w:val="center"/>
          </w:tcPr>
          <w:p w14:paraId="7E5E498B" w14:textId="3047F85F" w:rsidR="00F908AB" w:rsidRPr="00BE5472" w:rsidRDefault="00113E93" w:rsidP="00484651">
            <w:pPr>
              <w:shd w:val="clear" w:color="auto" w:fill="FFFFFF" w:themeFill="background1"/>
              <w:spacing w:after="240"/>
              <w:jc w:val="both"/>
              <w:rPr>
                <w:rFonts w:ascii="Times New Roman" w:hAnsi="Times New Roman" w:cs="Times New Roman"/>
              </w:rPr>
            </w:pPr>
            <w:r w:rsidRPr="00BE5472">
              <w:rPr>
                <w:rFonts w:ascii="Times New Roman" w:eastAsiaTheme="minorEastAsia" w:hAnsi="Times New Roman" w:cs="Times New Roman"/>
                <w:i/>
                <w:iCs/>
                <w:sz w:val="24"/>
                <w:szCs w:val="24"/>
              </w:rPr>
              <w:t>2017 - aktualno</w:t>
            </w:r>
            <w:r w:rsidRPr="00BE5472">
              <w:rPr>
                <w:rFonts w:ascii="Times New Roman" w:eastAsiaTheme="minorEastAsia" w:hAnsi="Times New Roman" w:cs="Times New Roman"/>
                <w:sz w:val="24"/>
                <w:szCs w:val="24"/>
              </w:rPr>
              <w:t xml:space="preserve"> Sveučilište Jurja Dobrile u Puli</w:t>
            </w:r>
            <w:r w:rsidR="2BC5D456"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sz w:val="24"/>
                <w:szCs w:val="24"/>
              </w:rPr>
              <w:t xml:space="preserve"> Fakultet ekonomije i turizma </w:t>
            </w:r>
            <w:r w:rsidR="007F2F3E" w:rsidRPr="00BE5472">
              <w:rPr>
                <w:rFonts w:ascii="Times New Roman" w:eastAsiaTheme="minorEastAsia" w:hAnsi="Times New Roman" w:cs="Times New Roman"/>
                <w:sz w:val="24"/>
                <w:szCs w:val="24"/>
              </w:rPr>
              <w:t>„</w:t>
            </w:r>
            <w:r w:rsidRPr="00BE5472">
              <w:rPr>
                <w:rFonts w:ascii="Times New Roman" w:eastAsiaTheme="minorEastAsia" w:hAnsi="Times New Roman" w:cs="Times New Roman"/>
                <w:sz w:val="24"/>
                <w:szCs w:val="24"/>
              </w:rPr>
              <w:t>Dr. Mijo Mirković</w:t>
            </w:r>
            <w:r w:rsidR="007F2F3E" w:rsidRPr="00BE5472">
              <w:rPr>
                <w:rFonts w:ascii="Times New Roman" w:eastAsiaTheme="minorEastAsia" w:hAnsi="Times New Roman" w:cs="Times New Roman"/>
                <w:sz w:val="24"/>
                <w:szCs w:val="24"/>
              </w:rPr>
              <w:t>“</w:t>
            </w:r>
          </w:p>
          <w:p w14:paraId="7077351B" w14:textId="1006712A" w:rsidR="00F908AB" w:rsidRPr="00BE5472" w:rsidRDefault="3678BB74" w:rsidP="00484651">
            <w:pPr>
              <w:shd w:val="clear" w:color="auto" w:fill="FFFFFF" w:themeFill="background1"/>
              <w:spacing w:after="240"/>
              <w:jc w:val="both"/>
              <w:rPr>
                <w:rFonts w:ascii="Times New Roman" w:eastAsia="Times New Roman" w:hAnsi="Times New Roman" w:cs="Times New Roman"/>
                <w:sz w:val="24"/>
                <w:szCs w:val="24"/>
              </w:rPr>
            </w:pPr>
            <w:r w:rsidRPr="00BE5472">
              <w:rPr>
                <w:rFonts w:ascii="Times New Roman" w:eastAsiaTheme="minorEastAsia" w:hAnsi="Times New Roman" w:cs="Times New Roman"/>
                <w:i/>
                <w:iCs/>
                <w:sz w:val="24"/>
                <w:szCs w:val="24"/>
              </w:rPr>
              <w:t>2010</w:t>
            </w:r>
            <w:r w:rsidR="79CAEA9E" w:rsidRPr="00BE5472">
              <w:rPr>
                <w:rFonts w:ascii="Times New Roman" w:eastAsiaTheme="minorEastAsia" w:hAnsi="Times New Roman" w:cs="Times New Roman"/>
                <w:i/>
                <w:iCs/>
                <w:sz w:val="24"/>
                <w:szCs w:val="24"/>
              </w:rPr>
              <w:t xml:space="preserve"> </w:t>
            </w:r>
            <w:r w:rsidRPr="00BE5472">
              <w:rPr>
                <w:rFonts w:ascii="Times New Roman" w:eastAsiaTheme="minorEastAsia" w:hAnsi="Times New Roman" w:cs="Times New Roman"/>
                <w:i/>
                <w:iCs/>
                <w:sz w:val="24"/>
                <w:szCs w:val="24"/>
              </w:rPr>
              <w:t>-</w:t>
            </w:r>
            <w:r w:rsidR="79CAEA9E" w:rsidRPr="00BE5472">
              <w:rPr>
                <w:rFonts w:ascii="Times New Roman" w:eastAsiaTheme="minorEastAsia" w:hAnsi="Times New Roman" w:cs="Times New Roman"/>
                <w:i/>
                <w:iCs/>
                <w:sz w:val="24"/>
                <w:szCs w:val="24"/>
              </w:rPr>
              <w:t xml:space="preserve"> </w:t>
            </w:r>
            <w:r w:rsidRPr="00BE5472">
              <w:rPr>
                <w:rFonts w:ascii="Times New Roman" w:eastAsiaTheme="minorEastAsia" w:hAnsi="Times New Roman" w:cs="Times New Roman"/>
                <w:i/>
                <w:iCs/>
                <w:sz w:val="24"/>
                <w:szCs w:val="24"/>
              </w:rPr>
              <w:t xml:space="preserve">2017 </w:t>
            </w:r>
            <w:r w:rsidRPr="00BE5472">
              <w:rPr>
                <w:rFonts w:ascii="Times New Roman" w:eastAsiaTheme="minorEastAsia" w:hAnsi="Times New Roman" w:cs="Times New Roman"/>
                <w:sz w:val="24"/>
                <w:szCs w:val="24"/>
              </w:rPr>
              <w:t xml:space="preserve">Sveučilište Jurja Dobrile u Puli - Fakultet ekonomije i turizma </w:t>
            </w:r>
            <w:r w:rsidR="00AD2A3A" w:rsidRPr="00BE5472">
              <w:rPr>
                <w:rFonts w:ascii="Times New Roman" w:eastAsiaTheme="minorEastAsia" w:hAnsi="Times New Roman" w:cs="Times New Roman"/>
                <w:sz w:val="24"/>
                <w:szCs w:val="24"/>
              </w:rPr>
              <w:t>„</w:t>
            </w:r>
            <w:r w:rsidRPr="00BE5472">
              <w:rPr>
                <w:rFonts w:ascii="Times New Roman" w:eastAsiaTheme="minorEastAsia" w:hAnsi="Times New Roman" w:cs="Times New Roman"/>
                <w:sz w:val="24"/>
                <w:szCs w:val="24"/>
              </w:rPr>
              <w:t>Dr. Mijo Mirković</w:t>
            </w:r>
            <w:r w:rsidR="00AD2A3A" w:rsidRPr="00BE5472">
              <w:rPr>
                <w:rFonts w:ascii="Times New Roman" w:eastAsiaTheme="minorEastAsia" w:hAnsi="Times New Roman" w:cs="Times New Roman"/>
                <w:sz w:val="24"/>
                <w:szCs w:val="24"/>
              </w:rPr>
              <w:t>“</w:t>
            </w:r>
            <w:r w:rsidRPr="00BE5472">
              <w:rPr>
                <w:rFonts w:ascii="Times New Roman" w:eastAsiaTheme="minorEastAsia" w:hAnsi="Times New Roman" w:cs="Times New Roman"/>
                <w:sz w:val="24"/>
                <w:szCs w:val="24"/>
              </w:rPr>
              <w:t xml:space="preserve"> - vanjska suradnja</w:t>
            </w:r>
          </w:p>
          <w:p w14:paraId="0F891169" w14:textId="3F06B3CA" w:rsidR="00F908AB" w:rsidRPr="00BE5472" w:rsidRDefault="3678BB74" w:rsidP="00484651">
            <w:pPr>
              <w:shd w:val="clear" w:color="auto" w:fill="FFFFFF" w:themeFill="background1"/>
              <w:spacing w:after="240"/>
              <w:jc w:val="both"/>
              <w:rPr>
                <w:rFonts w:ascii="Times New Roman" w:eastAsia="Times New Roman" w:hAnsi="Times New Roman" w:cs="Times New Roman"/>
                <w:sz w:val="24"/>
                <w:szCs w:val="24"/>
              </w:rPr>
            </w:pPr>
            <w:r w:rsidRPr="00BE5472">
              <w:rPr>
                <w:rFonts w:ascii="Times New Roman" w:eastAsia="Times New Roman" w:hAnsi="Times New Roman" w:cs="Times New Roman"/>
                <w:i/>
                <w:iCs/>
                <w:color w:val="212529"/>
                <w:sz w:val="24"/>
                <w:szCs w:val="24"/>
              </w:rPr>
              <w:t>2</w:t>
            </w:r>
            <w:r w:rsidRPr="00BE5472">
              <w:rPr>
                <w:rFonts w:ascii="Times New Roman" w:eastAsiaTheme="minorEastAsia" w:hAnsi="Times New Roman" w:cs="Times New Roman"/>
                <w:i/>
                <w:iCs/>
                <w:sz w:val="24"/>
                <w:szCs w:val="24"/>
              </w:rPr>
              <w:t>000 - 2017</w:t>
            </w:r>
            <w:r w:rsidRPr="00BE5472">
              <w:rPr>
                <w:rFonts w:ascii="Times New Roman" w:eastAsiaTheme="minorEastAsia" w:hAnsi="Times New Roman" w:cs="Times New Roman"/>
                <w:sz w:val="24"/>
                <w:szCs w:val="24"/>
              </w:rPr>
              <w:t xml:space="preserve">  </w:t>
            </w:r>
            <w:r w:rsidRPr="00BE5472">
              <w:rPr>
                <w:rFonts w:ascii="Times New Roman" w:eastAsiaTheme="minorEastAsia" w:hAnsi="Times New Roman" w:cs="Times New Roman"/>
                <w:i/>
                <w:iCs/>
                <w:sz w:val="24"/>
                <w:szCs w:val="24"/>
              </w:rPr>
              <w:t>Arenaturist</w:t>
            </w:r>
            <w:r w:rsidRPr="00BE5472">
              <w:rPr>
                <w:rFonts w:ascii="Times New Roman" w:eastAsiaTheme="minorEastAsia" w:hAnsi="Times New Roman" w:cs="Times New Roman"/>
                <w:sz w:val="24"/>
                <w:szCs w:val="24"/>
              </w:rPr>
              <w:t xml:space="preserve"> d.d., Sektor marketinga i prodaje</w:t>
            </w:r>
          </w:p>
        </w:tc>
      </w:tr>
      <w:tr w:rsidR="00F908AB" w:rsidRPr="00BE5472" w14:paraId="32EABDE0" w14:textId="77777777" w:rsidTr="3CEEF855">
        <w:tc>
          <w:tcPr>
            <w:tcW w:w="1440" w:type="dxa"/>
            <w:vAlign w:val="center"/>
          </w:tcPr>
          <w:p w14:paraId="4082ECE8" w14:textId="30DAC88D" w:rsidR="00F908AB" w:rsidRPr="00BE5472" w:rsidRDefault="4582044D" w:rsidP="00484651">
            <w:pPr>
              <w:jc w:val="center"/>
              <w:rPr>
                <w:rFonts w:ascii="Times New Roman" w:hAnsi="Times New Roman" w:cs="Times New Roman"/>
              </w:rPr>
            </w:pPr>
            <w:r w:rsidRPr="00BE5472">
              <w:rPr>
                <w:rFonts w:ascii="Times New Roman" w:hAnsi="Times New Roman" w:cs="Times New Roman"/>
                <w:sz w:val="24"/>
                <w:szCs w:val="24"/>
              </w:rPr>
              <w:lastRenderedPageBreak/>
              <w:t>Monika Zec</w:t>
            </w:r>
          </w:p>
        </w:tc>
        <w:tc>
          <w:tcPr>
            <w:tcW w:w="1695" w:type="dxa"/>
            <w:vAlign w:val="center"/>
          </w:tcPr>
          <w:p w14:paraId="19527FE4" w14:textId="20372209" w:rsidR="00F908AB" w:rsidRPr="00BE5472" w:rsidRDefault="00F908AB" w:rsidP="00484651">
            <w:pPr>
              <w:jc w:val="center"/>
              <w:rPr>
                <w:rFonts w:ascii="Times New Roman" w:eastAsia="Times New Roman" w:hAnsi="Times New Roman" w:cs="Times New Roman"/>
                <w:sz w:val="24"/>
                <w:szCs w:val="24"/>
                <w:lang w:val="en-US"/>
              </w:rPr>
            </w:pPr>
          </w:p>
          <w:p w14:paraId="519E2402" w14:textId="1ED0DECB" w:rsidR="00F908AB" w:rsidRPr="00BE5472" w:rsidRDefault="00F908AB" w:rsidP="00484651">
            <w:pPr>
              <w:jc w:val="center"/>
              <w:rPr>
                <w:rFonts w:ascii="Times New Roman" w:eastAsia="Times New Roman" w:hAnsi="Times New Roman" w:cs="Times New Roman"/>
                <w:sz w:val="24"/>
                <w:szCs w:val="24"/>
                <w:lang w:val="en-US"/>
              </w:rPr>
            </w:pPr>
          </w:p>
          <w:p w14:paraId="79C762E2" w14:textId="47FC0855" w:rsidR="00F908AB" w:rsidRPr="00BE5472" w:rsidRDefault="2E1EEE1E" w:rsidP="00484651">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M</w:t>
            </w:r>
            <w:r w:rsidR="6CF43B05" w:rsidRPr="00BE5472">
              <w:rPr>
                <w:rFonts w:ascii="Times New Roman" w:eastAsia="Times New Roman" w:hAnsi="Times New Roman" w:cs="Times New Roman"/>
                <w:sz w:val="24"/>
                <w:szCs w:val="24"/>
                <w:lang w:val="en-US"/>
              </w:rPr>
              <w:t>agistar poslovne administracije (MBA)</w:t>
            </w:r>
            <w:r w:rsidR="5010B38D" w:rsidRPr="00BE5472">
              <w:rPr>
                <w:rFonts w:ascii="Times New Roman" w:eastAsia="Times New Roman" w:hAnsi="Times New Roman" w:cs="Times New Roman"/>
                <w:sz w:val="24"/>
                <w:szCs w:val="24"/>
                <w:lang w:val="en-US"/>
              </w:rPr>
              <w:t xml:space="preserve">, </w:t>
            </w:r>
            <w:r w:rsidR="5010B38D" w:rsidRPr="00BE5472">
              <w:rPr>
                <w:rFonts w:ascii="Times New Roman" w:eastAsia="Times New Roman" w:hAnsi="Times New Roman" w:cs="Times New Roman"/>
                <w:i/>
                <w:iCs/>
                <w:sz w:val="24"/>
                <w:szCs w:val="24"/>
                <w:lang w:val="en-US"/>
              </w:rPr>
              <w:t>The London School of Economics and Political Science</w:t>
            </w:r>
            <w:r w:rsidR="5010B38D" w:rsidRPr="00BE5472">
              <w:rPr>
                <w:rFonts w:ascii="Times New Roman" w:eastAsia="Times New Roman" w:hAnsi="Times New Roman" w:cs="Times New Roman"/>
                <w:sz w:val="24"/>
                <w:szCs w:val="24"/>
                <w:lang w:val="en-US"/>
              </w:rPr>
              <w:t xml:space="preserve"> (LSE)</w:t>
            </w:r>
          </w:p>
        </w:tc>
        <w:tc>
          <w:tcPr>
            <w:tcW w:w="2228" w:type="dxa"/>
            <w:vAlign w:val="center"/>
          </w:tcPr>
          <w:p w14:paraId="712979CD" w14:textId="6DCA372A" w:rsidR="00F908AB" w:rsidRPr="00BE5472" w:rsidRDefault="1C333EE5" w:rsidP="00484651">
            <w:pPr>
              <w:jc w:val="center"/>
              <w:rPr>
                <w:rFonts w:ascii="Times New Roman" w:hAnsi="Times New Roman" w:cs="Times New Roman"/>
              </w:rPr>
            </w:pPr>
            <w:r w:rsidRPr="00BE5472">
              <w:rPr>
                <w:rFonts w:ascii="Times New Roman" w:hAnsi="Times New Roman" w:cs="Times New Roman"/>
                <w:sz w:val="24"/>
                <w:szCs w:val="24"/>
              </w:rPr>
              <w:t>Direktorica poslovnog razvoja</w:t>
            </w:r>
          </w:p>
        </w:tc>
        <w:tc>
          <w:tcPr>
            <w:tcW w:w="3769" w:type="dxa"/>
            <w:vAlign w:val="center"/>
          </w:tcPr>
          <w:p w14:paraId="2E56C005" w14:textId="23393DE4" w:rsidR="00F908AB" w:rsidRPr="00BE5472" w:rsidRDefault="3E79CA37" w:rsidP="00484651">
            <w:pPr>
              <w:spacing w:before="240" w:after="240"/>
              <w:jc w:val="both"/>
              <w:rPr>
                <w:rFonts w:ascii="Times New Roman" w:eastAsia="Times New Roman" w:hAnsi="Times New Roman" w:cs="Times New Roman"/>
                <w:sz w:val="24"/>
                <w:szCs w:val="24"/>
              </w:rPr>
            </w:pPr>
            <w:r w:rsidRPr="00BE5472">
              <w:rPr>
                <w:rFonts w:ascii="Times New Roman" w:eastAsia="Times New Roman" w:hAnsi="Times New Roman" w:cs="Times New Roman"/>
                <w:i/>
                <w:iCs/>
                <w:sz w:val="24"/>
                <w:szCs w:val="24"/>
              </w:rPr>
              <w:t>2022 – danas</w:t>
            </w:r>
            <w:r w:rsidRPr="00BE5472">
              <w:rPr>
                <w:rFonts w:ascii="Times New Roman" w:eastAsia="Times New Roman" w:hAnsi="Times New Roman" w:cs="Times New Roman"/>
                <w:sz w:val="24"/>
                <w:szCs w:val="24"/>
              </w:rPr>
              <w:t xml:space="preserve"> </w:t>
            </w:r>
            <w:r w:rsidR="0DAE7BC6" w:rsidRPr="00BE5472">
              <w:rPr>
                <w:rFonts w:ascii="Times New Roman" w:eastAsia="Times New Roman" w:hAnsi="Times New Roman" w:cs="Times New Roman"/>
                <w:sz w:val="24"/>
                <w:szCs w:val="24"/>
              </w:rPr>
              <w:t xml:space="preserve">Valamar Riviera d.d., </w:t>
            </w:r>
            <w:r w:rsidRPr="00BE5472">
              <w:rPr>
                <w:rFonts w:ascii="Times New Roman" w:eastAsia="Times New Roman" w:hAnsi="Times New Roman" w:cs="Times New Roman"/>
                <w:sz w:val="24"/>
                <w:szCs w:val="24"/>
              </w:rPr>
              <w:t>Direktorica poslovnog razvoja,</w:t>
            </w:r>
          </w:p>
          <w:p w14:paraId="2BBA6E09" w14:textId="279565D2" w:rsidR="00F908AB" w:rsidRPr="00BE5472" w:rsidRDefault="3E79CA37" w:rsidP="00484651">
            <w:pPr>
              <w:spacing w:before="240" w:after="240"/>
              <w:jc w:val="both"/>
              <w:rPr>
                <w:rFonts w:ascii="Times New Roman" w:eastAsia="Times New Roman" w:hAnsi="Times New Roman" w:cs="Times New Roman"/>
                <w:sz w:val="24"/>
                <w:szCs w:val="24"/>
              </w:rPr>
            </w:pPr>
            <w:r w:rsidRPr="00BE5472">
              <w:rPr>
                <w:rFonts w:ascii="Times New Roman" w:eastAsia="Times New Roman" w:hAnsi="Times New Roman" w:cs="Times New Roman"/>
                <w:i/>
                <w:iCs/>
                <w:sz w:val="24"/>
                <w:szCs w:val="24"/>
              </w:rPr>
              <w:t>2020 – 2022</w:t>
            </w:r>
            <w:r w:rsidRPr="00BE5472">
              <w:rPr>
                <w:rFonts w:ascii="Times New Roman" w:eastAsia="Times New Roman" w:hAnsi="Times New Roman" w:cs="Times New Roman"/>
                <w:sz w:val="24"/>
                <w:szCs w:val="24"/>
              </w:rPr>
              <w:t xml:space="preserve"> </w:t>
            </w:r>
            <w:r w:rsidR="08CA7353" w:rsidRPr="00BE5472">
              <w:rPr>
                <w:rFonts w:ascii="Times New Roman" w:eastAsia="Times New Roman" w:hAnsi="Times New Roman" w:cs="Times New Roman"/>
                <w:i/>
                <w:iCs/>
                <w:sz w:val="24"/>
                <w:szCs w:val="24"/>
              </w:rPr>
              <w:t>InterCapital</w:t>
            </w:r>
            <w:r w:rsidRPr="00BE5472">
              <w:rPr>
                <w:rFonts w:ascii="Times New Roman" w:eastAsia="Times New Roman" w:hAnsi="Times New Roman" w:cs="Times New Roman"/>
                <w:sz w:val="24"/>
                <w:szCs w:val="24"/>
              </w:rPr>
              <w:t xml:space="preserve"> Voditelj investicijskog bankarstva</w:t>
            </w:r>
          </w:p>
          <w:p w14:paraId="5ADC392B" w14:textId="609A6D02" w:rsidR="00F908AB" w:rsidRPr="00DD6CC8" w:rsidRDefault="3E79CA37" w:rsidP="00484651">
            <w:pPr>
              <w:spacing w:before="240" w:after="240"/>
              <w:jc w:val="both"/>
              <w:rPr>
                <w:rFonts w:ascii="Times New Roman" w:eastAsia="Times New Roman" w:hAnsi="Times New Roman" w:cs="Times New Roman"/>
                <w:sz w:val="24"/>
                <w:szCs w:val="24"/>
                <w:lang w:val="it-IT"/>
              </w:rPr>
            </w:pPr>
            <w:r w:rsidRPr="00DD6CC8">
              <w:rPr>
                <w:rFonts w:ascii="Times New Roman" w:eastAsia="Times New Roman" w:hAnsi="Times New Roman" w:cs="Times New Roman"/>
                <w:i/>
                <w:iCs/>
                <w:sz w:val="24"/>
                <w:szCs w:val="24"/>
                <w:lang w:val="it-IT"/>
              </w:rPr>
              <w:t>2018 – 2020</w:t>
            </w:r>
            <w:r w:rsidRPr="00DD6CC8">
              <w:rPr>
                <w:rFonts w:ascii="Times New Roman" w:eastAsia="Times New Roman" w:hAnsi="Times New Roman" w:cs="Times New Roman"/>
                <w:sz w:val="24"/>
                <w:szCs w:val="24"/>
                <w:lang w:val="it-IT"/>
              </w:rPr>
              <w:t xml:space="preserve"> </w:t>
            </w:r>
            <w:r w:rsidR="56915557" w:rsidRPr="00DD6CC8">
              <w:rPr>
                <w:rFonts w:ascii="Times New Roman" w:eastAsia="Times New Roman" w:hAnsi="Times New Roman" w:cs="Times New Roman"/>
                <w:sz w:val="24"/>
                <w:szCs w:val="24"/>
                <w:lang w:val="it-IT"/>
              </w:rPr>
              <w:t xml:space="preserve"> </w:t>
            </w:r>
            <w:r w:rsidR="56915557" w:rsidRPr="00DD6CC8">
              <w:rPr>
                <w:rFonts w:ascii="Times New Roman" w:eastAsia="Times New Roman" w:hAnsi="Times New Roman" w:cs="Times New Roman"/>
                <w:i/>
                <w:iCs/>
                <w:sz w:val="24"/>
                <w:szCs w:val="24"/>
                <w:lang w:val="it-IT"/>
              </w:rPr>
              <w:t>InterCapital</w:t>
            </w:r>
            <w:r w:rsidRPr="00DD6CC8">
              <w:rPr>
                <w:rFonts w:ascii="Times New Roman" w:eastAsia="Times New Roman" w:hAnsi="Times New Roman" w:cs="Times New Roman"/>
                <w:sz w:val="24"/>
                <w:szCs w:val="24"/>
                <w:lang w:val="it-IT"/>
              </w:rPr>
              <w:t xml:space="preserve"> Voditelj korporativnog pokrić</w:t>
            </w:r>
            <w:r w:rsidR="5B8D6198" w:rsidRPr="00DD6CC8">
              <w:rPr>
                <w:rFonts w:ascii="Times New Roman" w:eastAsia="Times New Roman" w:hAnsi="Times New Roman" w:cs="Times New Roman"/>
                <w:sz w:val="24"/>
                <w:szCs w:val="24"/>
                <w:lang w:val="it-IT"/>
              </w:rPr>
              <w:t>a</w:t>
            </w:r>
          </w:p>
          <w:p w14:paraId="1C955B84" w14:textId="7E33E207" w:rsidR="00F908AB" w:rsidRPr="00DD6CC8" w:rsidRDefault="3E79CA37" w:rsidP="00484651">
            <w:pPr>
              <w:spacing w:before="240" w:after="240"/>
              <w:jc w:val="both"/>
              <w:rPr>
                <w:rFonts w:ascii="Times New Roman" w:eastAsia="Times New Roman" w:hAnsi="Times New Roman" w:cs="Times New Roman"/>
                <w:sz w:val="24"/>
                <w:szCs w:val="24"/>
                <w:lang w:val="it-IT"/>
              </w:rPr>
            </w:pPr>
            <w:r w:rsidRPr="00DD6CC8">
              <w:rPr>
                <w:rFonts w:ascii="Times New Roman" w:eastAsia="Times New Roman" w:hAnsi="Times New Roman" w:cs="Times New Roman"/>
                <w:i/>
                <w:iCs/>
                <w:sz w:val="24"/>
                <w:szCs w:val="24"/>
                <w:lang w:val="it-IT"/>
              </w:rPr>
              <w:t>2016 – 2018</w:t>
            </w:r>
            <w:r w:rsidR="623A9F67" w:rsidRPr="00DD6CC8">
              <w:rPr>
                <w:rFonts w:ascii="Times New Roman" w:eastAsia="Times New Roman" w:hAnsi="Times New Roman" w:cs="Times New Roman"/>
                <w:sz w:val="24"/>
                <w:szCs w:val="24"/>
                <w:lang w:val="it-IT"/>
              </w:rPr>
              <w:t xml:space="preserve"> </w:t>
            </w:r>
            <w:r w:rsidR="623A9F67" w:rsidRPr="00DD6CC8">
              <w:rPr>
                <w:rFonts w:ascii="Times New Roman" w:eastAsia="Times New Roman" w:hAnsi="Times New Roman" w:cs="Times New Roman"/>
                <w:i/>
                <w:iCs/>
                <w:sz w:val="24"/>
                <w:szCs w:val="24"/>
                <w:lang w:val="it-IT"/>
              </w:rPr>
              <w:t>InterCapital</w:t>
            </w:r>
            <w:r w:rsidR="623A9F67" w:rsidRPr="00DD6CC8">
              <w:rPr>
                <w:rFonts w:ascii="Times New Roman" w:eastAsia="Times New Roman" w:hAnsi="Times New Roman" w:cs="Times New Roman"/>
                <w:sz w:val="24"/>
                <w:szCs w:val="24"/>
                <w:lang w:val="it-IT"/>
              </w:rPr>
              <w:t>,</w:t>
            </w:r>
            <w:r w:rsidRPr="00DD6CC8">
              <w:rPr>
                <w:rFonts w:ascii="Times New Roman" w:eastAsia="Times New Roman" w:hAnsi="Times New Roman" w:cs="Times New Roman"/>
                <w:sz w:val="24"/>
                <w:szCs w:val="24"/>
                <w:lang w:val="it-IT"/>
              </w:rPr>
              <w:t xml:space="preserve"> Suradnik (</w:t>
            </w:r>
            <w:r w:rsidRPr="00DD6CC8">
              <w:rPr>
                <w:rFonts w:ascii="Times New Roman" w:eastAsia="Times New Roman" w:hAnsi="Times New Roman" w:cs="Times New Roman"/>
                <w:i/>
                <w:iCs/>
                <w:sz w:val="24"/>
                <w:szCs w:val="24"/>
                <w:lang w:val="it-IT"/>
              </w:rPr>
              <w:t>Associate</w:t>
            </w:r>
            <w:r w:rsidRPr="00DD6CC8">
              <w:rPr>
                <w:rFonts w:ascii="Times New Roman" w:eastAsia="Times New Roman" w:hAnsi="Times New Roman" w:cs="Times New Roman"/>
                <w:sz w:val="24"/>
                <w:szCs w:val="24"/>
                <w:lang w:val="it-IT"/>
              </w:rPr>
              <w:t>)</w:t>
            </w:r>
          </w:p>
          <w:p w14:paraId="5F32977F" w14:textId="38A0290E" w:rsidR="00F908AB" w:rsidRPr="00BE5472" w:rsidRDefault="49B759D1" w:rsidP="00484651">
            <w:pPr>
              <w:jc w:val="both"/>
              <w:rPr>
                <w:rFonts w:ascii="Times New Roman" w:eastAsia="Times New Roman" w:hAnsi="Times New Roman" w:cs="Times New Roman"/>
                <w:sz w:val="24"/>
                <w:szCs w:val="24"/>
                <w:lang w:val="en-US"/>
              </w:rPr>
            </w:pPr>
            <w:r w:rsidRPr="00BE5472">
              <w:rPr>
                <w:rFonts w:ascii="Times New Roman" w:hAnsi="Times New Roman" w:cs="Times New Roman"/>
                <w:i/>
                <w:iCs/>
                <w:sz w:val="24"/>
                <w:szCs w:val="24"/>
                <w:lang w:val="en-US"/>
              </w:rPr>
              <w:t>2011 – 2015</w:t>
            </w:r>
            <w:r w:rsidR="3E2EC1DE" w:rsidRPr="00BE5472">
              <w:rPr>
                <w:rFonts w:ascii="Times New Roman" w:hAnsi="Times New Roman" w:cs="Times New Roman"/>
                <w:i/>
                <w:iCs/>
                <w:sz w:val="24"/>
                <w:szCs w:val="24"/>
                <w:lang w:val="en-US"/>
              </w:rPr>
              <w:t xml:space="preserve"> </w:t>
            </w:r>
            <w:r w:rsidR="3C091187" w:rsidRPr="00BE5472">
              <w:rPr>
                <w:rFonts w:ascii="Times New Roman" w:eastAsia="Times New Roman" w:hAnsi="Times New Roman" w:cs="Times New Roman"/>
                <w:i/>
                <w:iCs/>
                <w:sz w:val="24"/>
                <w:szCs w:val="24"/>
                <w:lang w:val="en-US"/>
              </w:rPr>
              <w:t>InterCapital</w:t>
            </w:r>
            <w:r w:rsidR="3C091187" w:rsidRPr="00BE5472">
              <w:rPr>
                <w:rFonts w:ascii="Times New Roman" w:eastAsia="Times New Roman" w:hAnsi="Times New Roman" w:cs="Times New Roman"/>
                <w:sz w:val="24"/>
                <w:szCs w:val="24"/>
                <w:lang w:val="en-US"/>
              </w:rPr>
              <w:t xml:space="preserve"> </w:t>
            </w:r>
            <w:r w:rsidRPr="00BE5472">
              <w:rPr>
                <w:rFonts w:ascii="Times New Roman" w:hAnsi="Times New Roman" w:cs="Times New Roman"/>
                <w:sz w:val="24"/>
                <w:szCs w:val="24"/>
                <w:lang w:val="en-US"/>
              </w:rPr>
              <w:t xml:space="preserve"> Analitičar</w:t>
            </w:r>
          </w:p>
        </w:tc>
      </w:tr>
      <w:tr w:rsidR="00F908AB" w:rsidRPr="00BE5472" w14:paraId="22720D38" w14:textId="77777777" w:rsidTr="3CEEF855">
        <w:trPr>
          <w:trHeight w:val="3015"/>
        </w:trPr>
        <w:tc>
          <w:tcPr>
            <w:tcW w:w="1440" w:type="dxa"/>
            <w:vAlign w:val="center"/>
          </w:tcPr>
          <w:p w14:paraId="728312F0" w14:textId="7AF278E5" w:rsidR="00F908AB" w:rsidRPr="00BE5472" w:rsidRDefault="4582044D" w:rsidP="00484651">
            <w:pPr>
              <w:jc w:val="center"/>
              <w:rPr>
                <w:rFonts w:ascii="Times New Roman" w:hAnsi="Times New Roman" w:cs="Times New Roman"/>
              </w:rPr>
            </w:pPr>
            <w:r w:rsidRPr="00BE5472">
              <w:rPr>
                <w:rFonts w:ascii="Times New Roman" w:hAnsi="Times New Roman" w:cs="Times New Roman"/>
                <w:sz w:val="24"/>
                <w:szCs w:val="24"/>
              </w:rPr>
              <w:t>Sebastian Palma</w:t>
            </w:r>
          </w:p>
        </w:tc>
        <w:tc>
          <w:tcPr>
            <w:tcW w:w="1695" w:type="dxa"/>
            <w:vAlign w:val="center"/>
          </w:tcPr>
          <w:p w14:paraId="297A75DA" w14:textId="6249EF7A" w:rsidR="00F908AB" w:rsidRPr="00BE5472" w:rsidRDefault="5250350E" w:rsidP="00484651">
            <w:pPr>
              <w:jc w:val="center"/>
              <w:rPr>
                <w:rFonts w:ascii="Times New Roman" w:hAnsi="Times New Roman" w:cs="Times New Roman"/>
              </w:rPr>
            </w:pPr>
            <w:r w:rsidRPr="00BE5472">
              <w:rPr>
                <w:rFonts w:ascii="Times New Roman" w:eastAsia="Times New Roman" w:hAnsi="Times New Roman" w:cs="Times New Roman"/>
                <w:sz w:val="24"/>
                <w:szCs w:val="24"/>
                <w:lang w:val="en-US"/>
              </w:rPr>
              <w:t>M</w:t>
            </w:r>
            <w:r w:rsidR="3E0A242D" w:rsidRPr="00BE5472">
              <w:rPr>
                <w:rFonts w:ascii="Times New Roman" w:eastAsia="Times New Roman" w:hAnsi="Times New Roman" w:cs="Times New Roman"/>
                <w:sz w:val="24"/>
                <w:szCs w:val="24"/>
                <w:lang w:val="en-US"/>
              </w:rPr>
              <w:t xml:space="preserve">agistar menadžmenta i korporativnih financija (SDA </w:t>
            </w:r>
            <w:r w:rsidR="3E0A242D" w:rsidRPr="00BE5472">
              <w:rPr>
                <w:rFonts w:ascii="Times New Roman" w:eastAsia="Times New Roman" w:hAnsi="Times New Roman" w:cs="Times New Roman"/>
                <w:i/>
                <w:iCs/>
                <w:sz w:val="24"/>
                <w:szCs w:val="24"/>
                <w:lang w:val="en-US"/>
              </w:rPr>
              <w:t>Bocconi School of Management</w:t>
            </w:r>
            <w:r w:rsidR="3E0A242D" w:rsidRPr="00BE5472">
              <w:rPr>
                <w:rFonts w:ascii="Times New Roman" w:eastAsia="Times New Roman" w:hAnsi="Times New Roman" w:cs="Times New Roman"/>
                <w:sz w:val="24"/>
                <w:szCs w:val="24"/>
                <w:lang w:val="en-US"/>
              </w:rPr>
              <w:t>)</w:t>
            </w:r>
          </w:p>
        </w:tc>
        <w:tc>
          <w:tcPr>
            <w:tcW w:w="2228" w:type="dxa"/>
            <w:vAlign w:val="center"/>
          </w:tcPr>
          <w:p w14:paraId="1C503AA8" w14:textId="5DC76EB6" w:rsidR="00F908AB" w:rsidRPr="00BE5472" w:rsidRDefault="7C0CA2BF" w:rsidP="00484651">
            <w:pPr>
              <w:jc w:val="center"/>
              <w:rPr>
                <w:rFonts w:ascii="Times New Roman" w:hAnsi="Times New Roman" w:cs="Times New Roman"/>
              </w:rPr>
            </w:pPr>
            <w:r w:rsidRPr="00BE5472">
              <w:rPr>
                <w:rFonts w:ascii="Times New Roman" w:hAnsi="Times New Roman" w:cs="Times New Roman"/>
                <w:sz w:val="24"/>
                <w:szCs w:val="24"/>
              </w:rPr>
              <w:t>Izvršni potpredsjednik za strateško planiranje i kontroling</w:t>
            </w:r>
            <w:r w:rsidR="0616D4A7" w:rsidRPr="00BE5472">
              <w:rPr>
                <w:rFonts w:ascii="Times New Roman" w:hAnsi="Times New Roman" w:cs="Times New Roman"/>
                <w:sz w:val="24"/>
                <w:szCs w:val="24"/>
              </w:rPr>
              <w:t xml:space="preserve"> </w:t>
            </w:r>
            <w:r w:rsidR="0616D4A7" w:rsidRPr="00BE5472">
              <w:rPr>
                <w:rFonts w:ascii="Times New Roman" w:hAnsi="Times New Roman" w:cs="Times New Roman"/>
                <w:i/>
                <w:iCs/>
                <w:sz w:val="24"/>
                <w:szCs w:val="24"/>
              </w:rPr>
              <w:t>Valamar Riviera</w:t>
            </w:r>
            <w:r w:rsidR="0616D4A7" w:rsidRPr="00BE5472">
              <w:rPr>
                <w:rFonts w:ascii="Times New Roman" w:hAnsi="Times New Roman" w:cs="Times New Roman"/>
                <w:sz w:val="24"/>
                <w:szCs w:val="24"/>
              </w:rPr>
              <w:t xml:space="preserve"> d.d.</w:t>
            </w:r>
          </w:p>
          <w:p w14:paraId="7008C973" w14:textId="73D05371" w:rsidR="00F908AB" w:rsidRPr="00BE5472" w:rsidRDefault="00F908AB" w:rsidP="00484651">
            <w:pPr>
              <w:jc w:val="center"/>
              <w:rPr>
                <w:rFonts w:ascii="Times New Roman" w:hAnsi="Times New Roman" w:cs="Times New Roman"/>
                <w:sz w:val="24"/>
                <w:szCs w:val="24"/>
              </w:rPr>
            </w:pPr>
          </w:p>
          <w:p w14:paraId="5A07FEFD" w14:textId="00B8C90E" w:rsidR="00F908AB" w:rsidRPr="00BE5472" w:rsidRDefault="0616D4A7" w:rsidP="00484651">
            <w:pPr>
              <w:jc w:val="center"/>
              <w:rPr>
                <w:rFonts w:ascii="Times New Roman" w:hAnsi="Times New Roman" w:cs="Times New Roman"/>
              </w:rPr>
            </w:pPr>
            <w:r w:rsidRPr="00BE5472">
              <w:rPr>
                <w:rFonts w:ascii="Times New Roman" w:hAnsi="Times New Roman" w:cs="Times New Roman"/>
                <w:sz w:val="24"/>
                <w:szCs w:val="24"/>
              </w:rPr>
              <w:t xml:space="preserve">Član Uprave </w:t>
            </w:r>
            <w:r w:rsidRPr="00BE5472">
              <w:rPr>
                <w:rFonts w:ascii="Times New Roman" w:hAnsi="Times New Roman" w:cs="Times New Roman"/>
                <w:i/>
                <w:iCs/>
                <w:sz w:val="24"/>
                <w:szCs w:val="24"/>
              </w:rPr>
              <w:t>Imperial Riviera</w:t>
            </w:r>
            <w:r w:rsidRPr="00BE5472">
              <w:rPr>
                <w:rFonts w:ascii="Times New Roman" w:hAnsi="Times New Roman" w:cs="Times New Roman"/>
                <w:sz w:val="24"/>
                <w:szCs w:val="24"/>
              </w:rPr>
              <w:t xml:space="preserve"> d.d.</w:t>
            </w:r>
          </w:p>
        </w:tc>
        <w:tc>
          <w:tcPr>
            <w:tcW w:w="3769" w:type="dxa"/>
            <w:vAlign w:val="center"/>
          </w:tcPr>
          <w:p w14:paraId="478CFFF7" w14:textId="52485793" w:rsidR="00F908AB" w:rsidRPr="00BE5472" w:rsidRDefault="7C0CA2BF"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2020 – aktualno</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Imperial</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Riviera</w:t>
            </w:r>
            <w:r w:rsidRPr="00BE5472">
              <w:rPr>
                <w:rFonts w:ascii="Times New Roman" w:eastAsia="Times New Roman" w:hAnsi="Times New Roman" w:cs="Times New Roman"/>
                <w:sz w:val="24"/>
                <w:szCs w:val="24"/>
              </w:rPr>
              <w:t xml:space="preserve"> d.d. Član Uprave</w:t>
            </w:r>
            <w:r w:rsidR="34A80493" w:rsidRPr="00BE5472">
              <w:rPr>
                <w:rFonts w:ascii="Times New Roman" w:eastAsia="Times New Roman" w:hAnsi="Times New Roman" w:cs="Times New Roman"/>
                <w:sz w:val="24"/>
                <w:szCs w:val="24"/>
              </w:rPr>
              <w:t>,</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Valamar Riviera</w:t>
            </w:r>
            <w:r w:rsidRPr="00BE5472">
              <w:rPr>
                <w:rFonts w:ascii="Times New Roman" w:eastAsia="Times New Roman" w:hAnsi="Times New Roman" w:cs="Times New Roman"/>
                <w:sz w:val="24"/>
                <w:szCs w:val="24"/>
              </w:rPr>
              <w:t xml:space="preserve"> d.d. Savjetnik Uprave za strateški razvoj</w:t>
            </w:r>
          </w:p>
          <w:p w14:paraId="4C9D5E78" w14:textId="5E4DCEC5" w:rsidR="00F908AB" w:rsidRPr="00BE5472" w:rsidRDefault="00F908AB" w:rsidP="00484651">
            <w:pPr>
              <w:jc w:val="both"/>
              <w:rPr>
                <w:rFonts w:ascii="Times New Roman" w:eastAsia="Times New Roman" w:hAnsi="Times New Roman" w:cs="Times New Roman"/>
                <w:sz w:val="24"/>
                <w:szCs w:val="24"/>
              </w:rPr>
            </w:pPr>
          </w:p>
          <w:p w14:paraId="258DDB4D" w14:textId="0F41C458" w:rsidR="00F908AB" w:rsidRPr="00BE5472" w:rsidRDefault="7C0CA2BF"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2015 – 2020</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Valamar Riviera</w:t>
            </w:r>
            <w:r w:rsidRPr="00BE5472">
              <w:rPr>
                <w:rFonts w:ascii="Times New Roman" w:eastAsia="Times New Roman" w:hAnsi="Times New Roman" w:cs="Times New Roman"/>
                <w:sz w:val="24"/>
                <w:szCs w:val="24"/>
              </w:rPr>
              <w:t xml:space="preserve"> d.d., Direktor Sektora strateškog planiranja i kontroling</w:t>
            </w:r>
          </w:p>
          <w:p w14:paraId="77B73ACC" w14:textId="6FDF06C3" w:rsidR="00F908AB" w:rsidRPr="00BE5472" w:rsidRDefault="00F908AB" w:rsidP="00484651">
            <w:pPr>
              <w:jc w:val="both"/>
              <w:rPr>
                <w:rFonts w:ascii="Times New Roman" w:eastAsia="Times New Roman" w:hAnsi="Times New Roman" w:cs="Times New Roman"/>
                <w:sz w:val="24"/>
                <w:szCs w:val="24"/>
              </w:rPr>
            </w:pPr>
          </w:p>
          <w:p w14:paraId="7AC49367" w14:textId="4E1936BD" w:rsidR="00F908AB" w:rsidRPr="00BE5472" w:rsidRDefault="09416DA7"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2012 – 2015</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Istraturist</w:t>
            </w:r>
            <w:r w:rsidRPr="00BE5472">
              <w:rPr>
                <w:rFonts w:ascii="Times New Roman" w:eastAsia="Times New Roman" w:hAnsi="Times New Roman" w:cs="Times New Roman"/>
                <w:sz w:val="24"/>
                <w:szCs w:val="24"/>
              </w:rPr>
              <w:t xml:space="preserve"> d.d., Umag, Direktor fina</w:t>
            </w:r>
            <w:r w:rsidR="45B9F95F" w:rsidRPr="00BE5472">
              <w:rPr>
                <w:rFonts w:ascii="Times New Roman" w:eastAsia="Times New Roman" w:hAnsi="Times New Roman" w:cs="Times New Roman"/>
                <w:sz w:val="24"/>
                <w:szCs w:val="24"/>
              </w:rPr>
              <w:t>n</w:t>
            </w:r>
            <w:r w:rsidRPr="00BE5472">
              <w:rPr>
                <w:rFonts w:ascii="Times New Roman" w:eastAsia="Times New Roman" w:hAnsi="Times New Roman" w:cs="Times New Roman"/>
                <w:sz w:val="24"/>
                <w:szCs w:val="24"/>
              </w:rPr>
              <w:t>cija, računovodstva i kontrolinga</w:t>
            </w:r>
          </w:p>
          <w:p w14:paraId="198C2065" w14:textId="1384A2EE" w:rsidR="00F908AB" w:rsidRPr="00BE5472" w:rsidRDefault="00F908AB" w:rsidP="00484651">
            <w:pPr>
              <w:jc w:val="both"/>
              <w:rPr>
                <w:rFonts w:ascii="Times New Roman" w:eastAsia="Times New Roman" w:hAnsi="Times New Roman" w:cs="Times New Roman"/>
                <w:sz w:val="24"/>
                <w:szCs w:val="24"/>
              </w:rPr>
            </w:pPr>
          </w:p>
          <w:p w14:paraId="20BF948D" w14:textId="3168F50F" w:rsidR="00F908AB" w:rsidRPr="00BE5472" w:rsidRDefault="09416DA7" w:rsidP="00484651">
            <w:pPr>
              <w:jc w:val="both"/>
              <w:rPr>
                <w:rFonts w:ascii="Times New Roman" w:hAnsi="Times New Roman" w:cs="Times New Roman"/>
              </w:rPr>
            </w:pPr>
            <w:r w:rsidRPr="00BE5472">
              <w:rPr>
                <w:rFonts w:ascii="Times New Roman" w:eastAsia="Times New Roman" w:hAnsi="Times New Roman" w:cs="Times New Roman"/>
                <w:i/>
                <w:iCs/>
                <w:sz w:val="24"/>
                <w:szCs w:val="24"/>
              </w:rPr>
              <w:t>2009 – 2012</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i/>
                <w:iCs/>
                <w:sz w:val="24"/>
                <w:szCs w:val="24"/>
              </w:rPr>
              <w:t>Valamar hoteli i ljetovališta</w:t>
            </w:r>
            <w:r w:rsidRPr="00BE5472">
              <w:rPr>
                <w:rFonts w:ascii="Times New Roman" w:eastAsia="Times New Roman" w:hAnsi="Times New Roman" w:cs="Times New Roman"/>
                <w:sz w:val="24"/>
                <w:szCs w:val="24"/>
              </w:rPr>
              <w:t>, Zagreb,</w:t>
            </w:r>
            <w:r w:rsidR="23BDEEC0"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sz w:val="24"/>
                <w:szCs w:val="24"/>
              </w:rPr>
              <w:t>Voditelj investicijskih i razvojnih projekata</w:t>
            </w:r>
          </w:p>
          <w:p w14:paraId="515EA516" w14:textId="2C8FAF1D" w:rsidR="00F908AB" w:rsidRPr="00BE5472" w:rsidRDefault="00F908AB" w:rsidP="00484651">
            <w:pPr>
              <w:jc w:val="both"/>
              <w:rPr>
                <w:rFonts w:ascii="Times New Roman" w:eastAsia="Times New Roman" w:hAnsi="Times New Roman" w:cs="Times New Roman"/>
                <w:sz w:val="24"/>
                <w:szCs w:val="24"/>
              </w:rPr>
            </w:pPr>
          </w:p>
          <w:p w14:paraId="63D0CF15" w14:textId="0CE8966F" w:rsidR="00F908AB" w:rsidRPr="00BE5472" w:rsidRDefault="09416DA7" w:rsidP="00484651">
            <w:pPr>
              <w:jc w:val="both"/>
              <w:rPr>
                <w:rFonts w:ascii="Times New Roman" w:hAnsi="Times New Roman" w:cs="Times New Roman"/>
              </w:rPr>
            </w:pPr>
            <w:r w:rsidRPr="00BE5472">
              <w:rPr>
                <w:rFonts w:ascii="Times New Roman" w:eastAsia="Times New Roman" w:hAnsi="Times New Roman" w:cs="Times New Roman"/>
                <w:i/>
                <w:iCs/>
                <w:sz w:val="24"/>
                <w:szCs w:val="24"/>
                <w:lang w:val="en-US"/>
              </w:rPr>
              <w:t>Ljeto 2009</w:t>
            </w:r>
            <w:r w:rsidRPr="00BE5472">
              <w:rPr>
                <w:rFonts w:ascii="Times New Roman" w:eastAsia="Times New Roman" w:hAnsi="Times New Roman" w:cs="Times New Roman"/>
                <w:sz w:val="24"/>
                <w:szCs w:val="24"/>
                <w:lang w:val="en-US"/>
              </w:rPr>
              <w:t xml:space="preserve"> </w:t>
            </w:r>
            <w:r w:rsidRPr="00BE5472">
              <w:rPr>
                <w:rFonts w:ascii="Times New Roman" w:eastAsia="Times New Roman" w:hAnsi="Times New Roman" w:cs="Times New Roman"/>
                <w:i/>
                <w:iCs/>
                <w:sz w:val="24"/>
                <w:szCs w:val="24"/>
                <w:lang w:val="en-US"/>
              </w:rPr>
              <w:t>BS Private Equity</w:t>
            </w:r>
            <w:r w:rsidRPr="00BE5472">
              <w:rPr>
                <w:rFonts w:ascii="Times New Roman" w:eastAsia="Times New Roman" w:hAnsi="Times New Roman" w:cs="Times New Roman"/>
                <w:sz w:val="24"/>
                <w:szCs w:val="24"/>
                <w:lang w:val="en-US"/>
              </w:rPr>
              <w:t xml:space="preserve">, Milano, </w:t>
            </w:r>
            <w:r w:rsidRPr="00BE5472">
              <w:rPr>
                <w:rFonts w:ascii="Times New Roman" w:eastAsia="Times New Roman" w:hAnsi="Times New Roman" w:cs="Times New Roman"/>
                <w:i/>
                <w:iCs/>
                <w:sz w:val="24"/>
                <w:szCs w:val="24"/>
                <w:lang w:val="en-US"/>
              </w:rPr>
              <w:t>Investment manager</w:t>
            </w:r>
          </w:p>
          <w:p w14:paraId="2D5A9734" w14:textId="16992FC6" w:rsidR="00F908AB" w:rsidRPr="00BE5472" w:rsidRDefault="00F908AB" w:rsidP="00484651">
            <w:pPr>
              <w:jc w:val="both"/>
              <w:rPr>
                <w:rFonts w:ascii="Times New Roman" w:eastAsia="Times New Roman" w:hAnsi="Times New Roman" w:cs="Times New Roman"/>
                <w:sz w:val="24"/>
                <w:szCs w:val="24"/>
                <w:lang w:val="en-US"/>
              </w:rPr>
            </w:pPr>
          </w:p>
          <w:p w14:paraId="0F433193" w14:textId="01D6A70A" w:rsidR="00F908AB" w:rsidRPr="00BE5472" w:rsidRDefault="09416DA7" w:rsidP="00484651">
            <w:pPr>
              <w:jc w:val="both"/>
              <w:rPr>
                <w:rFonts w:ascii="Times New Roman" w:hAnsi="Times New Roman" w:cs="Times New Roman"/>
              </w:rPr>
            </w:pPr>
            <w:r w:rsidRPr="00BE5472">
              <w:rPr>
                <w:rFonts w:ascii="Times New Roman" w:eastAsia="Times New Roman" w:hAnsi="Times New Roman" w:cs="Times New Roman"/>
                <w:i/>
                <w:iCs/>
                <w:sz w:val="24"/>
                <w:szCs w:val="24"/>
                <w:lang w:val="en-US"/>
              </w:rPr>
              <w:t>2003 – 2008</w:t>
            </w:r>
            <w:r w:rsidRPr="00BE5472">
              <w:rPr>
                <w:rFonts w:ascii="Times New Roman" w:eastAsia="Times New Roman" w:hAnsi="Times New Roman" w:cs="Times New Roman"/>
                <w:sz w:val="24"/>
                <w:szCs w:val="24"/>
                <w:lang w:val="en-US"/>
              </w:rPr>
              <w:t xml:space="preserve"> - </w:t>
            </w:r>
            <w:r w:rsidRPr="00BE5472">
              <w:rPr>
                <w:rFonts w:ascii="Times New Roman" w:eastAsia="Times New Roman" w:hAnsi="Times New Roman" w:cs="Times New Roman"/>
                <w:i/>
                <w:iCs/>
                <w:sz w:val="24"/>
                <w:szCs w:val="24"/>
                <w:lang w:val="en-US"/>
              </w:rPr>
              <w:t xml:space="preserve">Riviera </w:t>
            </w:r>
            <w:r w:rsidR="009110E3" w:rsidRPr="00BE5472">
              <w:rPr>
                <w:rFonts w:ascii="Times New Roman" w:eastAsia="Times New Roman" w:hAnsi="Times New Roman" w:cs="Times New Roman"/>
                <w:i/>
                <w:iCs/>
                <w:sz w:val="24"/>
                <w:szCs w:val="24"/>
                <w:lang w:val="en-US"/>
              </w:rPr>
              <w:t>Poreč</w:t>
            </w:r>
            <w:r w:rsidRPr="00BE5472">
              <w:rPr>
                <w:rFonts w:ascii="Times New Roman" w:eastAsia="Times New Roman" w:hAnsi="Times New Roman" w:cs="Times New Roman"/>
                <w:sz w:val="24"/>
                <w:szCs w:val="24"/>
                <w:lang w:val="en-US"/>
              </w:rPr>
              <w:t xml:space="preserve"> d.d., </w:t>
            </w:r>
            <w:r w:rsidRPr="00BE5472">
              <w:rPr>
                <w:rFonts w:ascii="Times New Roman" w:eastAsia="Times New Roman" w:hAnsi="Times New Roman" w:cs="Times New Roman"/>
                <w:i/>
                <w:iCs/>
                <w:sz w:val="24"/>
                <w:szCs w:val="24"/>
                <w:lang w:val="en-US"/>
              </w:rPr>
              <w:t>Valamar Grupa</w:t>
            </w:r>
            <w:r w:rsidRPr="00BE5472">
              <w:rPr>
                <w:rFonts w:ascii="Times New Roman" w:eastAsia="Times New Roman" w:hAnsi="Times New Roman" w:cs="Times New Roman"/>
                <w:sz w:val="24"/>
                <w:szCs w:val="24"/>
                <w:lang w:val="en-US"/>
              </w:rPr>
              <w:t xml:space="preserve"> - Regionalni direktor hotela, Asistent destinacijskom menadžeru operacija za investicije, član lokalne Turističke zajednice</w:t>
            </w:r>
          </w:p>
          <w:p w14:paraId="05AB942D" w14:textId="47413427" w:rsidR="00F908AB" w:rsidRPr="00BE5472" w:rsidRDefault="00F908AB" w:rsidP="00484651">
            <w:pPr>
              <w:jc w:val="both"/>
              <w:rPr>
                <w:rFonts w:ascii="Times New Roman" w:eastAsia="Times New Roman" w:hAnsi="Times New Roman" w:cs="Times New Roman"/>
                <w:sz w:val="24"/>
                <w:szCs w:val="24"/>
                <w:lang w:val="en-US"/>
              </w:rPr>
            </w:pPr>
          </w:p>
          <w:p w14:paraId="1818FE52" w14:textId="3D50012D" w:rsidR="00F908AB" w:rsidRPr="00BE5472" w:rsidRDefault="09416DA7" w:rsidP="00484651">
            <w:pPr>
              <w:jc w:val="both"/>
              <w:rPr>
                <w:rFonts w:ascii="Times New Roman" w:hAnsi="Times New Roman" w:cs="Times New Roman"/>
              </w:rPr>
            </w:pPr>
            <w:r w:rsidRPr="00BE5472">
              <w:rPr>
                <w:rFonts w:ascii="Times New Roman" w:eastAsia="Times New Roman" w:hAnsi="Times New Roman" w:cs="Times New Roman"/>
                <w:i/>
                <w:iCs/>
                <w:sz w:val="24"/>
                <w:szCs w:val="24"/>
                <w:lang w:val="en-US"/>
              </w:rPr>
              <w:lastRenderedPageBreak/>
              <w:t>Ljeto 2002</w:t>
            </w:r>
            <w:r w:rsidRPr="00BE5472">
              <w:rPr>
                <w:rFonts w:ascii="Times New Roman" w:eastAsia="Times New Roman" w:hAnsi="Times New Roman" w:cs="Times New Roman"/>
                <w:sz w:val="24"/>
                <w:szCs w:val="24"/>
                <w:lang w:val="en-US"/>
              </w:rPr>
              <w:t xml:space="preserve"> - </w:t>
            </w:r>
            <w:r w:rsidRPr="00BE5472">
              <w:rPr>
                <w:rFonts w:ascii="Times New Roman" w:eastAsia="Times New Roman" w:hAnsi="Times New Roman" w:cs="Times New Roman"/>
                <w:i/>
                <w:iCs/>
                <w:sz w:val="24"/>
                <w:szCs w:val="24"/>
                <w:lang w:val="en-US"/>
              </w:rPr>
              <w:t>Laguna Novigrad</w:t>
            </w:r>
            <w:r w:rsidRPr="00BE5472">
              <w:rPr>
                <w:rFonts w:ascii="Times New Roman" w:eastAsia="Times New Roman" w:hAnsi="Times New Roman" w:cs="Times New Roman"/>
                <w:sz w:val="24"/>
                <w:szCs w:val="24"/>
                <w:lang w:val="en-US"/>
              </w:rPr>
              <w:t xml:space="preserve"> d.d. - Referent za prodaju i marketing</w:t>
            </w:r>
          </w:p>
          <w:p w14:paraId="7FCE2518" w14:textId="1946E40D" w:rsidR="00F908AB" w:rsidRPr="00BE5472" w:rsidRDefault="00F908AB" w:rsidP="00484651">
            <w:pPr>
              <w:jc w:val="both"/>
              <w:rPr>
                <w:rFonts w:ascii="Times New Roman" w:eastAsia="Times New Roman" w:hAnsi="Times New Roman" w:cs="Times New Roman"/>
                <w:sz w:val="24"/>
                <w:szCs w:val="24"/>
              </w:rPr>
            </w:pPr>
          </w:p>
        </w:tc>
      </w:tr>
    </w:tbl>
    <w:p w14:paraId="0C71EECB" w14:textId="44625C1E" w:rsidR="00F908AB" w:rsidRPr="00BE5472" w:rsidRDefault="00FF6DFE"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Izvor: obrada autora</w:t>
      </w:r>
    </w:p>
    <w:p w14:paraId="09E2A63C" w14:textId="14B17FCE"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Iako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metodologija uključuje korištenje numeričkih ljestvica i deskriptivnih statističkih pokazatelja, njezina primarna svrha nije statističko testiranje hipoteza, već strukturirano prikupljanje i usuglašavanje ekspertnih mišljenja. Stoga se u ovom istraživanju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metoda klasificira kao izviđajna (kvalitativna) metoda s kvantitativnim elementima.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w:t>
      </w:r>
      <w:r w:rsidR="00D54397">
        <w:rPr>
          <w:rFonts w:ascii="Times New Roman" w:hAnsi="Times New Roman" w:cs="Times New Roman"/>
          <w:sz w:val="24"/>
          <w:szCs w:val="24"/>
        </w:rPr>
        <w:t>postupak je proveden u dva ciklusa koji su opisani u nastavku.</w:t>
      </w:r>
    </w:p>
    <w:p w14:paraId="57100005" w14:textId="77777777" w:rsidR="00F908AB" w:rsidRPr="00BE5472" w:rsidRDefault="00F908AB" w:rsidP="00F908AB">
      <w:pPr>
        <w:spacing w:line="360" w:lineRule="auto"/>
        <w:jc w:val="both"/>
        <w:rPr>
          <w:rFonts w:ascii="Times New Roman" w:hAnsi="Times New Roman" w:cs="Times New Roman"/>
          <w:sz w:val="24"/>
          <w:szCs w:val="24"/>
        </w:rPr>
      </w:pPr>
    </w:p>
    <w:p w14:paraId="106C1929" w14:textId="6CE7028E" w:rsidR="005C51C1" w:rsidRPr="005C51C1" w:rsidRDefault="00F908AB" w:rsidP="005C51C1">
      <w:pPr>
        <w:spacing w:line="360" w:lineRule="auto"/>
        <w:jc w:val="both"/>
        <w:rPr>
          <w:rFonts w:ascii="Times New Roman" w:hAnsi="Times New Roman" w:cs="Times New Roman"/>
          <w:sz w:val="24"/>
          <w:szCs w:val="24"/>
        </w:rPr>
      </w:pPr>
      <w:r w:rsidRPr="00BE5472">
        <w:rPr>
          <w:rFonts w:ascii="Times New Roman" w:hAnsi="Times New Roman" w:cs="Times New Roman"/>
          <w:b/>
          <w:sz w:val="24"/>
          <w:szCs w:val="24"/>
        </w:rPr>
        <w:t>1) Prv</w:t>
      </w:r>
      <w:r w:rsidR="00922A9B" w:rsidRPr="00BE5472">
        <w:rPr>
          <w:rFonts w:ascii="Times New Roman" w:hAnsi="Times New Roman" w:cs="Times New Roman"/>
          <w:b/>
          <w:sz w:val="24"/>
          <w:szCs w:val="24"/>
        </w:rPr>
        <w:t>i ciklus</w:t>
      </w:r>
      <w:r w:rsidRPr="00BE5472">
        <w:rPr>
          <w:rFonts w:ascii="Times New Roman" w:hAnsi="Times New Roman" w:cs="Times New Roman"/>
          <w:b/>
          <w:sz w:val="24"/>
          <w:szCs w:val="24"/>
        </w:rPr>
        <w:t xml:space="preserve"> </w:t>
      </w:r>
      <w:r w:rsidRPr="00BE5472">
        <w:rPr>
          <w:rFonts w:ascii="Times New Roman" w:hAnsi="Times New Roman" w:cs="Times New Roman"/>
          <w:b/>
          <w:i/>
          <w:iCs/>
          <w:sz w:val="24"/>
          <w:szCs w:val="24"/>
        </w:rPr>
        <w:t>Delphi</w:t>
      </w:r>
      <w:r w:rsidRPr="00BE5472">
        <w:rPr>
          <w:rFonts w:ascii="Times New Roman" w:hAnsi="Times New Roman" w:cs="Times New Roman"/>
          <w:b/>
          <w:sz w:val="24"/>
          <w:szCs w:val="24"/>
        </w:rPr>
        <w:t xml:space="preserve"> postupka</w:t>
      </w:r>
    </w:p>
    <w:p w14:paraId="1660F24F" w14:textId="77777777" w:rsidR="005C51C1" w:rsidRPr="005C51C1" w:rsidRDefault="005C51C1" w:rsidP="005C51C1">
      <w:pPr>
        <w:spacing w:line="360" w:lineRule="auto"/>
        <w:jc w:val="both"/>
        <w:rPr>
          <w:rFonts w:ascii="Times New Roman" w:hAnsi="Times New Roman" w:cs="Times New Roman"/>
          <w:sz w:val="24"/>
          <w:szCs w:val="24"/>
        </w:rPr>
      </w:pPr>
      <w:r w:rsidRPr="005C51C1">
        <w:rPr>
          <w:rFonts w:ascii="Times New Roman" w:hAnsi="Times New Roman" w:cs="Times New Roman"/>
          <w:sz w:val="24"/>
          <w:szCs w:val="24"/>
        </w:rPr>
        <w:t xml:space="preserve">Stručnjaci su telefonski kontaktirani, nakon čega im je elektroničkom poštom distribuiran </w:t>
      </w:r>
      <w:r w:rsidRPr="00E560B4">
        <w:rPr>
          <w:rFonts w:ascii="Times New Roman" w:hAnsi="Times New Roman" w:cs="Times New Roman"/>
          <w:i/>
          <w:sz w:val="24"/>
          <w:szCs w:val="24"/>
        </w:rPr>
        <w:t>online</w:t>
      </w:r>
      <w:r w:rsidRPr="005C51C1">
        <w:rPr>
          <w:rFonts w:ascii="Times New Roman" w:hAnsi="Times New Roman" w:cs="Times New Roman"/>
          <w:sz w:val="24"/>
          <w:szCs w:val="24"/>
        </w:rPr>
        <w:t xml:space="preserve"> anketni upitnik. U prvom ciklusu panelistima je prezentiran inicijalni skup od 80 motiva i čimbenika, strukturiranih u četiri skupine: 14 motiva za pokretanje procesa spajanja i preuzimanja, 32 čimbenika relevantna za fazu prije preuzimanja, 25 čimbenika vezanih uz fazu integracije te devet čimbenika uspješnosti u postakvizicijskoj fazi.</w:t>
      </w:r>
    </w:p>
    <w:p w14:paraId="4B8F2504" w14:textId="77777777" w:rsidR="005C51C1" w:rsidRPr="005C51C1" w:rsidRDefault="005C51C1" w:rsidP="005C51C1">
      <w:pPr>
        <w:spacing w:line="360" w:lineRule="auto"/>
        <w:jc w:val="both"/>
        <w:rPr>
          <w:rFonts w:ascii="Times New Roman" w:hAnsi="Times New Roman" w:cs="Times New Roman"/>
          <w:sz w:val="24"/>
          <w:szCs w:val="24"/>
        </w:rPr>
      </w:pPr>
      <w:r w:rsidRPr="005C51C1">
        <w:rPr>
          <w:rFonts w:ascii="Times New Roman" w:hAnsi="Times New Roman" w:cs="Times New Roman"/>
          <w:sz w:val="24"/>
          <w:szCs w:val="24"/>
        </w:rPr>
        <w:t>Od stručnjaka se tražilo da na Likertovoj ljestvici od 1 do 5 ocijene važnost svakog pojedinog motiva i čimbenika. Također im je omogućeno predlaganje dodatnih motiva, čimbenika ili pokazatelja uspješnosti koji nisu bili obuhvaćeni inicijalnim skupom.</w:t>
      </w:r>
    </w:p>
    <w:p w14:paraId="0DCA0001" w14:textId="77777777" w:rsidR="005C51C1" w:rsidRPr="005C51C1" w:rsidRDefault="005C51C1" w:rsidP="005C51C1">
      <w:pPr>
        <w:spacing w:line="360" w:lineRule="auto"/>
        <w:jc w:val="both"/>
        <w:rPr>
          <w:rFonts w:ascii="Times New Roman" w:hAnsi="Times New Roman" w:cs="Times New Roman"/>
          <w:sz w:val="24"/>
          <w:szCs w:val="24"/>
        </w:rPr>
      </w:pPr>
      <w:r w:rsidRPr="005C51C1">
        <w:rPr>
          <w:rFonts w:ascii="Times New Roman" w:hAnsi="Times New Roman" w:cs="Times New Roman"/>
          <w:sz w:val="24"/>
          <w:szCs w:val="24"/>
        </w:rPr>
        <w:t>Nakon završetka prvog ciklusa za svaki su motiv i čimbenik izračunati aritmetička sredina, medijan, mod i standardna devijacija. Suglasnost stručnjaka analizirana je primjenom linearno ponderiranog indeksa suglasnosti za svaki pojedini motiv i čimbenik te ukupnog indeksa suglasnosti (UIS), izračunatog kao aritmetička sredina pojedinačnih indeksa.</w:t>
      </w:r>
    </w:p>
    <w:p w14:paraId="4B5ED346" w14:textId="4C90DFD0" w:rsidR="005C51C1" w:rsidRPr="005C51C1" w:rsidRDefault="005C51C1" w:rsidP="005C51C1">
      <w:pPr>
        <w:spacing w:line="360" w:lineRule="auto"/>
        <w:jc w:val="both"/>
        <w:rPr>
          <w:rFonts w:ascii="Times New Roman" w:hAnsi="Times New Roman" w:cs="Times New Roman"/>
          <w:sz w:val="24"/>
          <w:szCs w:val="24"/>
        </w:rPr>
      </w:pPr>
      <w:r w:rsidRPr="005C51C1">
        <w:rPr>
          <w:rFonts w:ascii="Times New Roman" w:hAnsi="Times New Roman" w:cs="Times New Roman"/>
          <w:sz w:val="24"/>
          <w:szCs w:val="24"/>
        </w:rPr>
        <w:t xml:space="preserve">Za uključivanje motiva i čimbenika u drugi ciklus primijenjena su dva kriterija: linearno ponderirani indeks suglasnosti najmanje jednak ukupnom indeksu suglasnosti utvrđenom u prvom ciklusu te aritmetička sredina ocjena ≥ 3,5. Primjenom oba kriterija nastojalo se osigurati da u drugi ciklus budu uključeni samo motivi i čimbenici za koje je utvrđena </w:t>
      </w:r>
      <w:r w:rsidRPr="005C51C1">
        <w:rPr>
          <w:rFonts w:ascii="Times New Roman" w:hAnsi="Times New Roman" w:cs="Times New Roman"/>
          <w:sz w:val="24"/>
          <w:szCs w:val="24"/>
        </w:rPr>
        <w:lastRenderedPageBreak/>
        <w:t>odgovarajuća razina suglasnosti među stručnjacima i koji su istodobno procijenjeni kao relevantni za proces spajanja i preuzimanja. Unaprijed definirani kriteriji selekcije pridonijeli su metodološkoj dosljednosti i transparentnosti postupka te smanjenju subjektivnosti pri odabiru čimbenika za daljnju evaluaciju.</w:t>
      </w:r>
    </w:p>
    <w:p w14:paraId="34EF45DD" w14:textId="4E0C5D29" w:rsidR="00F908AB" w:rsidRPr="00BE5472" w:rsidRDefault="00F908AB" w:rsidP="00F908AB">
      <w:pPr>
        <w:spacing w:line="360" w:lineRule="auto"/>
        <w:jc w:val="both"/>
        <w:rPr>
          <w:rFonts w:ascii="Times New Roman" w:hAnsi="Times New Roman" w:cs="Times New Roman"/>
          <w:b/>
          <w:sz w:val="24"/>
          <w:szCs w:val="24"/>
        </w:rPr>
      </w:pPr>
      <w:r w:rsidRPr="00BE5472">
        <w:rPr>
          <w:rFonts w:ascii="Times New Roman" w:hAnsi="Times New Roman" w:cs="Times New Roman"/>
          <w:b/>
          <w:sz w:val="24"/>
          <w:szCs w:val="24"/>
        </w:rPr>
        <w:t>2) Drug</w:t>
      </w:r>
      <w:r w:rsidR="00B548B3" w:rsidRPr="00BE5472">
        <w:rPr>
          <w:rFonts w:ascii="Times New Roman" w:hAnsi="Times New Roman" w:cs="Times New Roman"/>
          <w:b/>
          <w:sz w:val="24"/>
          <w:szCs w:val="24"/>
        </w:rPr>
        <w:t>i ciklus</w:t>
      </w:r>
      <w:r w:rsidRPr="00BE5472">
        <w:rPr>
          <w:rFonts w:ascii="Times New Roman" w:hAnsi="Times New Roman" w:cs="Times New Roman"/>
          <w:b/>
          <w:sz w:val="24"/>
          <w:szCs w:val="24"/>
        </w:rPr>
        <w:t xml:space="preserve"> </w:t>
      </w:r>
      <w:r w:rsidRPr="00BE5472">
        <w:rPr>
          <w:rFonts w:ascii="Times New Roman" w:hAnsi="Times New Roman" w:cs="Times New Roman"/>
          <w:b/>
          <w:i/>
          <w:iCs/>
          <w:sz w:val="24"/>
          <w:szCs w:val="24"/>
        </w:rPr>
        <w:t>Delphi</w:t>
      </w:r>
      <w:r w:rsidRPr="00BE5472">
        <w:rPr>
          <w:rFonts w:ascii="Times New Roman" w:hAnsi="Times New Roman" w:cs="Times New Roman"/>
          <w:b/>
          <w:sz w:val="24"/>
          <w:szCs w:val="24"/>
        </w:rPr>
        <w:t xml:space="preserve"> postupka </w:t>
      </w:r>
    </w:p>
    <w:p w14:paraId="221A2897" w14:textId="77777777" w:rsidR="00E560B4" w:rsidRPr="00E560B4" w:rsidRDefault="00E560B4" w:rsidP="00E560B4">
      <w:pPr>
        <w:spacing w:line="360" w:lineRule="auto"/>
        <w:jc w:val="both"/>
        <w:rPr>
          <w:rFonts w:ascii="Times New Roman" w:hAnsi="Times New Roman" w:cs="Times New Roman"/>
          <w:sz w:val="24"/>
          <w:szCs w:val="24"/>
        </w:rPr>
      </w:pPr>
      <w:r w:rsidRPr="00E560B4">
        <w:rPr>
          <w:rFonts w:ascii="Times New Roman" w:hAnsi="Times New Roman" w:cs="Times New Roman"/>
          <w:sz w:val="24"/>
          <w:szCs w:val="24"/>
        </w:rPr>
        <w:t>Na temelju kriterija selekcije primijenjenih nakon prvog ciklusa, inicijalni skup varijabli sužen je te je u drugi ciklus Delphi postupka uključeno ukupno 58 motiva i čimbenika.</w:t>
      </w:r>
    </w:p>
    <w:p w14:paraId="27EDA736" w14:textId="77777777" w:rsidR="00E560B4" w:rsidRPr="00E560B4" w:rsidRDefault="00E560B4" w:rsidP="00E560B4">
      <w:pPr>
        <w:spacing w:line="360" w:lineRule="auto"/>
        <w:jc w:val="both"/>
        <w:rPr>
          <w:rFonts w:ascii="Times New Roman" w:hAnsi="Times New Roman" w:cs="Times New Roman"/>
          <w:sz w:val="24"/>
          <w:szCs w:val="24"/>
        </w:rPr>
      </w:pPr>
      <w:r w:rsidRPr="00E560B4">
        <w:rPr>
          <w:rFonts w:ascii="Times New Roman" w:hAnsi="Times New Roman" w:cs="Times New Roman"/>
          <w:sz w:val="24"/>
          <w:szCs w:val="24"/>
        </w:rPr>
        <w:t>Drugi ciklus Delphi postupka proveden je u lipnju 2024. godine. Stručnjacima je distribuiran revidirani online anketni upitnik koji je sadržavao motive i čimbenike uvrštene u drugi ciklus, uz sažetke rezultata prvog ciklusa koji su uključivali frekvencije dodijeljenih ocjena, aritmetičke sredine, medijane, modove i standardne devijacije za svaku varijablu. Time je stručnjacima omogućeno da vlastite procjene sagledaju u kontekstu grupnih rezultata te ih, u skladu s načelima Delphi metode, potvrde ili korigiraju.</w:t>
      </w:r>
    </w:p>
    <w:p w14:paraId="709A51C2" w14:textId="77777777" w:rsidR="00E560B4" w:rsidRPr="00E560B4" w:rsidRDefault="00E560B4" w:rsidP="00E560B4">
      <w:pPr>
        <w:spacing w:line="360" w:lineRule="auto"/>
        <w:jc w:val="both"/>
        <w:rPr>
          <w:rFonts w:ascii="Times New Roman" w:hAnsi="Times New Roman" w:cs="Times New Roman"/>
          <w:sz w:val="24"/>
          <w:szCs w:val="24"/>
        </w:rPr>
      </w:pPr>
      <w:r w:rsidRPr="00E560B4">
        <w:rPr>
          <w:rFonts w:ascii="Times New Roman" w:hAnsi="Times New Roman" w:cs="Times New Roman"/>
          <w:sz w:val="24"/>
          <w:szCs w:val="24"/>
        </w:rPr>
        <w:t>Nakon završetka drugog ciklusa za svaki su motiv i čimbenik izračunati aritmetička sredina, medijan, mod i standardna devijacija te linearno ponderirani indeks suglasnosti. Dodatno je izračunat ukupni indeks suglasnosti (UIS) kao pokazatelj opće razine slaganja unutar ekspertnog panela.</w:t>
      </w:r>
    </w:p>
    <w:p w14:paraId="1E13642C" w14:textId="79691D8D" w:rsidR="00E560B4" w:rsidRDefault="00E560B4" w:rsidP="00E560B4">
      <w:pPr>
        <w:spacing w:line="360" w:lineRule="auto"/>
        <w:jc w:val="both"/>
        <w:rPr>
          <w:rFonts w:ascii="Times New Roman" w:hAnsi="Times New Roman" w:cs="Times New Roman"/>
          <w:sz w:val="24"/>
          <w:szCs w:val="24"/>
        </w:rPr>
      </w:pPr>
      <w:r w:rsidRPr="00E560B4">
        <w:rPr>
          <w:rFonts w:ascii="Times New Roman" w:hAnsi="Times New Roman" w:cs="Times New Roman"/>
          <w:sz w:val="24"/>
          <w:szCs w:val="24"/>
        </w:rPr>
        <w:t>Za konačnu selekciju motiva i čimbenika primijenjena su dva kriterija: linearno ponderirani indeks suglasnosti najmanje jednak ukupnom indeksu suglasnosti utvrđenom u drugom ciklusu te aritmetička sredina ocjena ≥ 4. Primjenom navedenih kriterija formiran je konačni skup motiva i čimbenika koji je poslužio kao temelj za provedbu polustrukturiranih intervjua s menadžerima hotelskih poduzeća.</w:t>
      </w:r>
    </w:p>
    <w:p w14:paraId="7A77D237" w14:textId="18DCE591" w:rsidR="00DB1EDC" w:rsidRDefault="00DB1EDC" w:rsidP="00F908AB">
      <w:pPr>
        <w:spacing w:line="360" w:lineRule="auto"/>
        <w:jc w:val="both"/>
        <w:rPr>
          <w:rFonts w:ascii="Times New Roman" w:hAnsi="Times New Roman" w:cs="Times New Roman"/>
          <w:sz w:val="24"/>
          <w:szCs w:val="24"/>
        </w:rPr>
      </w:pPr>
      <w:r w:rsidRPr="00DB1EDC">
        <w:rPr>
          <w:rFonts w:ascii="Times New Roman" w:hAnsi="Times New Roman" w:cs="Times New Roman"/>
          <w:sz w:val="24"/>
          <w:szCs w:val="24"/>
        </w:rPr>
        <w:t>Na temelju konačnog skupa motiva i čimbenika oblikovan je polustrukturirani istraživački instrument koji je potom primijenjen na uzorku ključnih menadžera hotelskih poduzeća koji su izravno sudjelovali u procesima spajanja i preuzimanja. Instrument je sadržavao zatvorena pitanja temeljena na Likertovoj ljestvici te pitanja otvorenog tipa, čime je omogućeno dodatno produbljivanje uvida u specifičnosti pojedinih procesa. Cjeloviti instrument prikazan je u Prilogu 3.</w:t>
      </w:r>
    </w:p>
    <w:p w14:paraId="6D66A4C6" w14:textId="0F13ABB6" w:rsidR="00F908AB" w:rsidRPr="00BE5472" w:rsidRDefault="00DB1EDC" w:rsidP="00F908AB">
      <w:pPr>
        <w:spacing w:line="360" w:lineRule="auto"/>
        <w:jc w:val="both"/>
        <w:rPr>
          <w:rFonts w:ascii="Times New Roman" w:hAnsi="Times New Roman" w:cs="Times New Roman"/>
          <w:sz w:val="24"/>
          <w:szCs w:val="24"/>
        </w:rPr>
      </w:pPr>
      <w:r w:rsidRPr="00DB1EDC">
        <w:rPr>
          <w:rFonts w:ascii="Times New Roman" w:hAnsi="Times New Roman" w:cs="Times New Roman"/>
          <w:sz w:val="24"/>
          <w:szCs w:val="24"/>
        </w:rPr>
        <w:t xml:space="preserve">Sažeti prikaz provedbe Delphi postupka, uključujući broj motiva i čimbenika u pojedinim ciklusima te primijenjene kriterije selekcije, prikazan je u </w:t>
      </w:r>
      <w:r w:rsidR="00127A4E">
        <w:rPr>
          <w:rFonts w:ascii="Times New Roman" w:hAnsi="Times New Roman" w:cs="Times New Roman"/>
          <w:sz w:val="24"/>
          <w:szCs w:val="24"/>
        </w:rPr>
        <w:t>Tablici</w:t>
      </w:r>
      <w:r w:rsidRPr="00DB1EDC">
        <w:rPr>
          <w:rFonts w:ascii="Times New Roman" w:hAnsi="Times New Roman" w:cs="Times New Roman"/>
          <w:sz w:val="24"/>
          <w:szCs w:val="24"/>
        </w:rPr>
        <w:t xml:space="preserve"> 24.</w:t>
      </w:r>
    </w:p>
    <w:p w14:paraId="15CC1FD7" w14:textId="4FD340B3" w:rsidR="00F908AB" w:rsidRPr="00E1098E" w:rsidRDefault="00E1098E" w:rsidP="00E1098E">
      <w:pPr>
        <w:pStyle w:val="Caption"/>
        <w:rPr>
          <w:rFonts w:ascii="Times New Roman" w:hAnsi="Times New Roman" w:cs="Times New Roman"/>
          <w:sz w:val="24"/>
          <w:szCs w:val="24"/>
        </w:rPr>
      </w:pPr>
      <w:bookmarkStart w:id="154" w:name="_Toc241865218"/>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24</w:t>
      </w:r>
      <w:r w:rsidRPr="00E1098E">
        <w:rPr>
          <w:rFonts w:ascii="Times New Roman" w:hAnsi="Times New Roman" w:cs="Times New Roman"/>
          <w:sz w:val="24"/>
          <w:szCs w:val="24"/>
        </w:rPr>
        <w:fldChar w:fldCharType="end"/>
      </w:r>
      <w:r w:rsidR="00F908AB" w:rsidRPr="00E1098E">
        <w:rPr>
          <w:rFonts w:ascii="Times New Roman" w:hAnsi="Times New Roman" w:cs="Times New Roman"/>
          <w:sz w:val="24"/>
          <w:szCs w:val="24"/>
        </w:rPr>
        <w:t xml:space="preserve">: Sažeti prikaz </w:t>
      </w:r>
      <w:r w:rsidR="00F908AB" w:rsidRPr="00E1098E">
        <w:rPr>
          <w:rFonts w:ascii="Times New Roman" w:hAnsi="Times New Roman" w:cs="Times New Roman"/>
          <w:i w:val="0"/>
          <w:iCs w:val="0"/>
          <w:sz w:val="24"/>
          <w:szCs w:val="24"/>
        </w:rPr>
        <w:t>Delphi</w:t>
      </w:r>
      <w:r w:rsidR="00F908AB" w:rsidRPr="00E1098E">
        <w:rPr>
          <w:rFonts w:ascii="Times New Roman" w:hAnsi="Times New Roman" w:cs="Times New Roman"/>
          <w:sz w:val="24"/>
          <w:szCs w:val="24"/>
        </w:rPr>
        <w:t xml:space="preserve"> postupka i redukcije varijabli</w:t>
      </w:r>
      <w:bookmarkEnd w:id="154"/>
    </w:p>
    <w:tbl>
      <w:tblPr>
        <w:tblStyle w:val="TableGrid"/>
        <w:tblW w:w="0" w:type="auto"/>
        <w:tblLook w:val="04A0" w:firstRow="1" w:lastRow="0" w:firstColumn="1" w:lastColumn="0" w:noHBand="0" w:noVBand="1"/>
      </w:tblPr>
      <w:tblGrid>
        <w:gridCol w:w="1945"/>
        <w:gridCol w:w="2150"/>
        <w:gridCol w:w="3051"/>
        <w:gridCol w:w="1873"/>
      </w:tblGrid>
      <w:tr w:rsidR="00F908AB" w:rsidRPr="00BE5472" w14:paraId="5F7DA7CE" w14:textId="77777777" w:rsidTr="00E777B2">
        <w:tc>
          <w:tcPr>
            <w:tcW w:w="0" w:type="auto"/>
            <w:hideMark/>
          </w:tcPr>
          <w:p w14:paraId="52EE41C3" w14:textId="77777777" w:rsidR="00F908AB" w:rsidRPr="00BE5472" w:rsidRDefault="00F908AB" w:rsidP="003C2F5B">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 xml:space="preserve">Faza </w:t>
            </w:r>
            <w:r w:rsidRPr="00BE5472">
              <w:rPr>
                <w:rFonts w:ascii="Times New Roman" w:eastAsia="Times New Roman" w:hAnsi="Times New Roman" w:cs="Times New Roman"/>
                <w:b/>
                <w:bCs/>
                <w:i/>
                <w:iCs/>
                <w:sz w:val="24"/>
                <w:szCs w:val="24"/>
                <w:lang w:val="en-US"/>
              </w:rPr>
              <w:t>Delphi</w:t>
            </w:r>
            <w:r w:rsidRPr="00BE5472">
              <w:rPr>
                <w:rFonts w:ascii="Times New Roman" w:eastAsia="Times New Roman" w:hAnsi="Times New Roman" w:cs="Times New Roman"/>
                <w:b/>
                <w:bCs/>
                <w:sz w:val="24"/>
                <w:szCs w:val="24"/>
                <w:lang w:val="en-US"/>
              </w:rPr>
              <w:t xml:space="preserve"> postupka</w:t>
            </w:r>
          </w:p>
        </w:tc>
        <w:tc>
          <w:tcPr>
            <w:tcW w:w="0" w:type="auto"/>
            <w:hideMark/>
          </w:tcPr>
          <w:p w14:paraId="195DBAB2" w14:textId="77777777" w:rsidR="00F908AB" w:rsidRPr="00BE5472" w:rsidRDefault="00F908AB" w:rsidP="003C2F5B">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Broj motiva i čimbenika</w:t>
            </w:r>
          </w:p>
        </w:tc>
        <w:tc>
          <w:tcPr>
            <w:tcW w:w="0" w:type="auto"/>
            <w:vAlign w:val="center"/>
            <w:hideMark/>
          </w:tcPr>
          <w:p w14:paraId="3BD004DF" w14:textId="77777777" w:rsidR="00F908AB" w:rsidRPr="00BE5472" w:rsidRDefault="00F908AB" w:rsidP="00E777B2">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Struktura varijabli</w:t>
            </w:r>
          </w:p>
        </w:tc>
        <w:tc>
          <w:tcPr>
            <w:tcW w:w="0" w:type="auto"/>
            <w:vAlign w:val="center"/>
            <w:hideMark/>
          </w:tcPr>
          <w:p w14:paraId="3657C06B" w14:textId="77777777" w:rsidR="00F908AB" w:rsidRPr="00BE5472" w:rsidRDefault="00F908AB" w:rsidP="00E777B2">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Kriteriji</w:t>
            </w:r>
          </w:p>
        </w:tc>
      </w:tr>
      <w:tr w:rsidR="00F908AB" w:rsidRPr="00BE5472" w14:paraId="7F4D6F06" w14:textId="77777777" w:rsidTr="00E777B2">
        <w:tc>
          <w:tcPr>
            <w:tcW w:w="0" w:type="auto"/>
            <w:vAlign w:val="center"/>
            <w:hideMark/>
          </w:tcPr>
          <w:p w14:paraId="729B68FE" w14:textId="7696AA3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 xml:space="preserve">1. </w:t>
            </w:r>
            <w:r w:rsidR="00BF4D72" w:rsidRPr="00BE5472">
              <w:rPr>
                <w:rFonts w:ascii="Times New Roman" w:eastAsia="Times New Roman" w:hAnsi="Times New Roman" w:cs="Times New Roman"/>
                <w:sz w:val="24"/>
                <w:szCs w:val="24"/>
                <w:lang w:val="en-US"/>
              </w:rPr>
              <w:t>ciklus</w:t>
            </w:r>
          </w:p>
        </w:tc>
        <w:tc>
          <w:tcPr>
            <w:tcW w:w="0" w:type="auto"/>
            <w:vAlign w:val="center"/>
            <w:hideMark/>
          </w:tcPr>
          <w:p w14:paraId="4F17CC56"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80</w:t>
            </w:r>
          </w:p>
        </w:tc>
        <w:tc>
          <w:tcPr>
            <w:tcW w:w="0" w:type="auto"/>
            <w:vAlign w:val="center"/>
            <w:hideMark/>
          </w:tcPr>
          <w:p w14:paraId="5F06E704"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14 motiva, 32 prije, 25 integracija, 9 post</w:t>
            </w:r>
          </w:p>
        </w:tc>
        <w:tc>
          <w:tcPr>
            <w:tcW w:w="0" w:type="auto"/>
            <w:vAlign w:val="center"/>
            <w:hideMark/>
          </w:tcPr>
          <w:p w14:paraId="26D9743F" w14:textId="77777777" w:rsidR="00F908AB" w:rsidRPr="00BE5472" w:rsidRDefault="00F908AB" w:rsidP="00E777B2">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M, Md, Mo, SD, LPIS</w:t>
            </w:r>
          </w:p>
        </w:tc>
      </w:tr>
      <w:tr w:rsidR="00F908AB" w:rsidRPr="00BE5472" w14:paraId="39FF7AF9" w14:textId="77777777" w:rsidTr="00E777B2">
        <w:tc>
          <w:tcPr>
            <w:tcW w:w="0" w:type="auto"/>
            <w:vAlign w:val="center"/>
            <w:hideMark/>
          </w:tcPr>
          <w:p w14:paraId="58A926B9" w14:textId="20838FA4"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 xml:space="preserve">Selekcija za 2. </w:t>
            </w:r>
            <w:r w:rsidR="00BF4D72" w:rsidRPr="00BE5472">
              <w:rPr>
                <w:rFonts w:ascii="Times New Roman" w:eastAsia="Times New Roman" w:hAnsi="Times New Roman" w:cs="Times New Roman"/>
                <w:sz w:val="24"/>
                <w:szCs w:val="24"/>
                <w:lang w:val="en-US"/>
              </w:rPr>
              <w:t>ciklus</w:t>
            </w:r>
          </w:p>
        </w:tc>
        <w:tc>
          <w:tcPr>
            <w:tcW w:w="0" w:type="auto"/>
            <w:vAlign w:val="center"/>
            <w:hideMark/>
          </w:tcPr>
          <w:p w14:paraId="6C3F769F"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58</w:t>
            </w:r>
          </w:p>
        </w:tc>
        <w:tc>
          <w:tcPr>
            <w:tcW w:w="0" w:type="auto"/>
            <w:vAlign w:val="center"/>
            <w:hideMark/>
          </w:tcPr>
          <w:p w14:paraId="59B6B5C9"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7 motiva, 23 prije, 19 integracija, 9 post</w:t>
            </w:r>
          </w:p>
        </w:tc>
        <w:tc>
          <w:tcPr>
            <w:tcW w:w="0" w:type="auto"/>
            <w:vAlign w:val="center"/>
            <w:hideMark/>
          </w:tcPr>
          <w:p w14:paraId="5168BBF5"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LPIS ≥ 0,68; M ≥ 3,5</w:t>
            </w:r>
          </w:p>
        </w:tc>
      </w:tr>
      <w:tr w:rsidR="00F908AB" w:rsidRPr="00BE5472" w14:paraId="0BA0F30F" w14:textId="77777777" w:rsidTr="00E777B2">
        <w:tc>
          <w:tcPr>
            <w:tcW w:w="0" w:type="auto"/>
            <w:vAlign w:val="center"/>
            <w:hideMark/>
          </w:tcPr>
          <w:p w14:paraId="191D7B8D"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Finalna selekcija</w:t>
            </w:r>
          </w:p>
        </w:tc>
        <w:tc>
          <w:tcPr>
            <w:tcW w:w="0" w:type="auto"/>
            <w:vAlign w:val="center"/>
            <w:hideMark/>
          </w:tcPr>
          <w:p w14:paraId="1B198294"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26</w:t>
            </w:r>
          </w:p>
        </w:tc>
        <w:tc>
          <w:tcPr>
            <w:tcW w:w="0" w:type="auto"/>
            <w:vAlign w:val="center"/>
            <w:hideMark/>
          </w:tcPr>
          <w:p w14:paraId="3CB31DA4" w14:textId="77777777"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 motiva, 11 prije, 8 integracija, 4 post</w:t>
            </w:r>
          </w:p>
        </w:tc>
        <w:tc>
          <w:tcPr>
            <w:tcW w:w="0" w:type="auto"/>
            <w:vAlign w:val="center"/>
            <w:hideMark/>
          </w:tcPr>
          <w:p w14:paraId="3E84E70F" w14:textId="0C58F7AC" w:rsidR="00F908AB" w:rsidRPr="00BE5472" w:rsidRDefault="00F908AB" w:rsidP="00E777B2">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 xml:space="preserve">LPIS </w:t>
            </w:r>
            <w:r w:rsidR="00E560B4" w:rsidRPr="00E560B4">
              <w:rPr>
                <w:rFonts w:ascii="Times New Roman" w:eastAsia="Times New Roman" w:hAnsi="Times New Roman" w:cs="Times New Roman"/>
                <w:sz w:val="24"/>
                <w:szCs w:val="24"/>
                <w:lang w:val="en-US"/>
              </w:rPr>
              <w:t xml:space="preserve">≥ </w:t>
            </w:r>
            <w:r w:rsidRPr="00BE5472">
              <w:rPr>
                <w:rFonts w:ascii="Times New Roman" w:eastAsia="Times New Roman" w:hAnsi="Times New Roman" w:cs="Times New Roman"/>
                <w:sz w:val="24"/>
                <w:szCs w:val="24"/>
                <w:lang w:val="en-US"/>
              </w:rPr>
              <w:t xml:space="preserve">0,75; M  </w:t>
            </w:r>
            <w:r w:rsidR="00E560B4" w:rsidRPr="00E560B4">
              <w:rPr>
                <w:rFonts w:ascii="Times New Roman" w:eastAsia="Times New Roman" w:hAnsi="Times New Roman" w:cs="Times New Roman"/>
                <w:sz w:val="24"/>
                <w:szCs w:val="24"/>
                <w:lang w:val="en-US"/>
              </w:rPr>
              <w:t xml:space="preserve">≥ </w:t>
            </w:r>
            <w:r w:rsidRPr="00BE5472">
              <w:rPr>
                <w:rFonts w:ascii="Times New Roman" w:eastAsia="Times New Roman" w:hAnsi="Times New Roman" w:cs="Times New Roman"/>
                <w:sz w:val="24"/>
                <w:szCs w:val="24"/>
                <w:lang w:val="en-US"/>
              </w:rPr>
              <w:t>4</w:t>
            </w:r>
          </w:p>
        </w:tc>
      </w:tr>
    </w:tbl>
    <w:p w14:paraId="38993A4D" w14:textId="77777777"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 </w:t>
      </w:r>
    </w:p>
    <w:p w14:paraId="2F0FF485" w14:textId="4C80F5CB" w:rsidR="00DB1EDC" w:rsidRDefault="00DB1EDC" w:rsidP="00F908AB">
      <w:pPr>
        <w:spacing w:line="360" w:lineRule="auto"/>
        <w:jc w:val="both"/>
        <w:rPr>
          <w:rFonts w:ascii="Times New Roman" w:hAnsi="Times New Roman" w:cs="Times New Roman"/>
          <w:sz w:val="24"/>
          <w:szCs w:val="24"/>
        </w:rPr>
      </w:pPr>
      <w:r w:rsidRPr="00DB1EDC">
        <w:rPr>
          <w:rFonts w:ascii="Times New Roman" w:hAnsi="Times New Roman" w:cs="Times New Roman"/>
          <w:sz w:val="24"/>
          <w:szCs w:val="24"/>
        </w:rPr>
        <w:t>Izviđajno istraživanje temeljilo se na kvalitativnom istraživačkom pristupu, odabranom radi dubljeg razumijevanja složenih organizacijskih procesa i iskustava sudionika. Istraživanje je imalo eksplorativni i deskriptivni karakter te je bilo usmjereno na analizu percepcija i iskustava sudionika, kao i na identificiranje ključnih tema, obrazaca i izazova povezanih s procesima spajanja i preuzimanja u hrvatskom hotelijerstvu.</w:t>
      </w:r>
    </w:p>
    <w:p w14:paraId="6009F4E9" w14:textId="77777777" w:rsidR="00DB1EDC" w:rsidRPr="00DB1EDC" w:rsidRDefault="00DB1EDC" w:rsidP="00DB1EDC">
      <w:pPr>
        <w:spacing w:line="360" w:lineRule="auto"/>
        <w:jc w:val="both"/>
        <w:rPr>
          <w:rFonts w:ascii="Times New Roman" w:hAnsi="Times New Roman" w:cs="Times New Roman"/>
          <w:bCs/>
          <w:sz w:val="24"/>
          <w:szCs w:val="24"/>
        </w:rPr>
      </w:pPr>
      <w:r w:rsidRPr="00DB1EDC">
        <w:rPr>
          <w:rFonts w:ascii="Times New Roman" w:hAnsi="Times New Roman" w:cs="Times New Roman"/>
          <w:bCs/>
          <w:sz w:val="24"/>
          <w:szCs w:val="24"/>
        </w:rPr>
        <w:t>Osobni polustrukturirani intervjui provedeni su s odabranim predstavnicima poduzeća preuzimatelja. Na taj je način omogućeno produbljivanje i kontekstualiziranje nalaza Delphi postupka kroz iskustva sudionika koji su izravno sudjelovali u stvarnim procesima spajanja i preuzimanja.</w:t>
      </w:r>
    </w:p>
    <w:p w14:paraId="1D3A344A" w14:textId="61749879" w:rsidR="00DB1EDC" w:rsidRDefault="00DB1EDC" w:rsidP="00DB1EDC">
      <w:pPr>
        <w:spacing w:line="360" w:lineRule="auto"/>
        <w:jc w:val="both"/>
        <w:rPr>
          <w:rFonts w:ascii="Times New Roman" w:hAnsi="Times New Roman" w:cs="Times New Roman"/>
          <w:bCs/>
          <w:sz w:val="24"/>
          <w:szCs w:val="24"/>
        </w:rPr>
      </w:pPr>
      <w:r w:rsidRPr="00DB1EDC">
        <w:rPr>
          <w:rFonts w:ascii="Times New Roman" w:hAnsi="Times New Roman" w:cs="Times New Roman"/>
          <w:bCs/>
          <w:sz w:val="24"/>
          <w:szCs w:val="24"/>
        </w:rPr>
        <w:t>U istraživanju je sudjelovalo ukupno 12 ispitanika koji su aktivno sudjelovali u konkretnim procesima spajanja i preuzimanja u svojim poduzećima. Primijenjen je namjerni (*purposive*) uzorak, odnosno uzorak poznavatelja, pri čemu su odabrani ispitanici s relevantnim iskustvom i znanjem o predmetu istraživanja.</w:t>
      </w:r>
    </w:p>
    <w:p w14:paraId="2189B0CD" w14:textId="77777777" w:rsidR="00DB1EDC" w:rsidRPr="00DB1EDC" w:rsidRDefault="00DB1EDC" w:rsidP="00DB1EDC">
      <w:pPr>
        <w:spacing w:line="360" w:lineRule="auto"/>
        <w:jc w:val="both"/>
        <w:rPr>
          <w:rFonts w:ascii="Times New Roman" w:hAnsi="Times New Roman" w:cs="Times New Roman"/>
          <w:bCs/>
          <w:sz w:val="24"/>
          <w:szCs w:val="24"/>
        </w:rPr>
      </w:pPr>
      <w:r w:rsidRPr="00DB1EDC">
        <w:rPr>
          <w:rFonts w:ascii="Times New Roman" w:hAnsi="Times New Roman" w:cs="Times New Roman"/>
          <w:bCs/>
          <w:sz w:val="24"/>
          <w:szCs w:val="24"/>
        </w:rPr>
        <w:t>Polustrukturirani anketni upitnik izrađen je na temelju rezultata drugog ciklusa Delphi postupka te je sadržavao pitanja zatvorenog tipa, temeljena na Likertovoj ljestvici, i pitanja otvorenog tipa. Pitanja su bila unaprijed definirana i tematski usmjerena na motive i ključne čimbenike uspjeha procesa spajanja i preuzimanja, dok su pitanja otvorenog tipa ispitanicima omogućila slobodno izražavanje vlastitih iskustava, percepcija i procjena analiziranih procesa.</w:t>
      </w:r>
    </w:p>
    <w:p w14:paraId="3BCF7DD1" w14:textId="77777777" w:rsidR="00DB1EDC" w:rsidRPr="00DB1EDC" w:rsidRDefault="00DB1EDC" w:rsidP="00DB1EDC">
      <w:pPr>
        <w:spacing w:line="360" w:lineRule="auto"/>
        <w:jc w:val="both"/>
        <w:rPr>
          <w:rFonts w:ascii="Times New Roman" w:hAnsi="Times New Roman" w:cs="Times New Roman"/>
          <w:bCs/>
          <w:sz w:val="24"/>
          <w:szCs w:val="24"/>
        </w:rPr>
      </w:pPr>
      <w:r w:rsidRPr="00DB1EDC">
        <w:rPr>
          <w:rFonts w:ascii="Times New Roman" w:hAnsi="Times New Roman" w:cs="Times New Roman"/>
          <w:bCs/>
          <w:sz w:val="24"/>
          <w:szCs w:val="24"/>
        </w:rPr>
        <w:t>Cjeloviti anketni upitnik korišten u istraživanju prikazan je u Prilogu 4.</w:t>
      </w:r>
    </w:p>
    <w:p w14:paraId="0BF4B82B" w14:textId="28DCCC2A" w:rsidR="00DB1EDC" w:rsidRDefault="00DB1EDC" w:rsidP="00DB1EDC">
      <w:pPr>
        <w:spacing w:line="360" w:lineRule="auto"/>
        <w:jc w:val="both"/>
        <w:rPr>
          <w:rFonts w:ascii="Times New Roman" w:hAnsi="Times New Roman" w:cs="Times New Roman"/>
          <w:bCs/>
          <w:sz w:val="24"/>
          <w:szCs w:val="24"/>
        </w:rPr>
      </w:pPr>
      <w:r w:rsidRPr="00DB1EDC">
        <w:rPr>
          <w:rFonts w:ascii="Times New Roman" w:hAnsi="Times New Roman" w:cs="Times New Roman"/>
          <w:bCs/>
          <w:sz w:val="24"/>
          <w:szCs w:val="24"/>
        </w:rPr>
        <w:t xml:space="preserve">U </w:t>
      </w:r>
      <w:r w:rsidR="00127A4E">
        <w:rPr>
          <w:rFonts w:ascii="Times New Roman" w:hAnsi="Times New Roman" w:cs="Times New Roman"/>
          <w:bCs/>
          <w:sz w:val="24"/>
          <w:szCs w:val="24"/>
        </w:rPr>
        <w:t>Tablici</w:t>
      </w:r>
      <w:r w:rsidRPr="00DB1EDC">
        <w:rPr>
          <w:rFonts w:ascii="Times New Roman" w:hAnsi="Times New Roman" w:cs="Times New Roman"/>
          <w:bCs/>
          <w:sz w:val="24"/>
          <w:szCs w:val="24"/>
        </w:rPr>
        <w:t xml:space="preserve"> 25 prikazana su poduzeća obuhvaćena izviđajnim istraživanjem te funkcije ispitanika koji su sudjelovali u istraživanju.</w:t>
      </w:r>
    </w:p>
    <w:p w14:paraId="39912DEA" w14:textId="7829D52D" w:rsidR="003D46C7" w:rsidRDefault="003D46C7" w:rsidP="00DB1EDC">
      <w:pPr>
        <w:spacing w:line="360" w:lineRule="auto"/>
        <w:jc w:val="both"/>
        <w:rPr>
          <w:rFonts w:ascii="Times New Roman" w:hAnsi="Times New Roman" w:cs="Times New Roman"/>
          <w:bCs/>
          <w:sz w:val="24"/>
          <w:szCs w:val="24"/>
        </w:rPr>
      </w:pPr>
    </w:p>
    <w:p w14:paraId="77E424A4" w14:textId="77777777" w:rsidR="003D46C7" w:rsidRDefault="003D46C7" w:rsidP="00DB1EDC">
      <w:pPr>
        <w:spacing w:line="360" w:lineRule="auto"/>
        <w:jc w:val="both"/>
        <w:rPr>
          <w:rFonts w:ascii="Times New Roman" w:hAnsi="Times New Roman" w:cs="Times New Roman"/>
          <w:bCs/>
          <w:sz w:val="24"/>
          <w:szCs w:val="24"/>
        </w:rPr>
      </w:pPr>
    </w:p>
    <w:p w14:paraId="2A307177" w14:textId="0CE5BCE6" w:rsidR="00F908AB" w:rsidRPr="00E1098E" w:rsidRDefault="00E1098E" w:rsidP="00E1098E">
      <w:pPr>
        <w:pStyle w:val="Caption"/>
        <w:rPr>
          <w:rFonts w:ascii="Times New Roman" w:hAnsi="Times New Roman" w:cs="Times New Roman"/>
          <w:bCs/>
          <w:sz w:val="24"/>
          <w:szCs w:val="24"/>
        </w:rPr>
      </w:pPr>
      <w:bookmarkStart w:id="155" w:name="_Toc241865219"/>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25</w:t>
      </w:r>
      <w:r w:rsidRPr="00E1098E">
        <w:rPr>
          <w:rFonts w:ascii="Times New Roman" w:hAnsi="Times New Roman" w:cs="Times New Roman"/>
          <w:sz w:val="24"/>
          <w:szCs w:val="24"/>
        </w:rPr>
        <w:fldChar w:fldCharType="end"/>
      </w:r>
      <w:r w:rsidR="00F908AB" w:rsidRPr="00E1098E">
        <w:rPr>
          <w:rFonts w:ascii="Times New Roman" w:hAnsi="Times New Roman" w:cs="Times New Roman"/>
          <w:bCs/>
          <w:sz w:val="24"/>
          <w:szCs w:val="24"/>
        </w:rPr>
        <w:t xml:space="preserve">: </w:t>
      </w:r>
      <w:r w:rsidR="00DF718D" w:rsidRPr="00E1098E">
        <w:rPr>
          <w:rFonts w:ascii="Times New Roman" w:hAnsi="Times New Roman" w:cs="Times New Roman"/>
          <w:bCs/>
          <w:sz w:val="24"/>
          <w:szCs w:val="24"/>
        </w:rPr>
        <w:t>Prikaz poduzeća</w:t>
      </w:r>
      <w:r w:rsidR="00C34C51" w:rsidRPr="00E1098E">
        <w:rPr>
          <w:rFonts w:ascii="Times New Roman" w:hAnsi="Times New Roman" w:cs="Times New Roman"/>
          <w:bCs/>
          <w:sz w:val="24"/>
          <w:szCs w:val="24"/>
        </w:rPr>
        <w:t xml:space="preserve"> i uloga ispitanika u kojem je provedeno izviđajno istraživanje</w:t>
      </w:r>
      <w:bookmarkEnd w:id="155"/>
    </w:p>
    <w:tbl>
      <w:tblPr>
        <w:tblStyle w:val="TableGrid"/>
        <w:tblW w:w="0" w:type="auto"/>
        <w:tblLook w:val="04A0" w:firstRow="1" w:lastRow="0" w:firstColumn="1" w:lastColumn="0" w:noHBand="0" w:noVBand="1"/>
      </w:tblPr>
      <w:tblGrid>
        <w:gridCol w:w="2405"/>
        <w:gridCol w:w="1843"/>
        <w:gridCol w:w="4771"/>
      </w:tblGrid>
      <w:tr w:rsidR="00F908AB" w:rsidRPr="00BE5472" w14:paraId="7E6BD030" w14:textId="77777777" w:rsidTr="007C5CF1">
        <w:tc>
          <w:tcPr>
            <w:tcW w:w="2405" w:type="dxa"/>
            <w:vAlign w:val="center"/>
          </w:tcPr>
          <w:p w14:paraId="1F7DA777" w14:textId="77777777" w:rsidR="00F908AB" w:rsidRPr="00BE5472" w:rsidRDefault="00F908AB" w:rsidP="00385A41">
            <w:pPr>
              <w:spacing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PODUZEĆE</w:t>
            </w:r>
          </w:p>
        </w:tc>
        <w:tc>
          <w:tcPr>
            <w:tcW w:w="1843" w:type="dxa"/>
            <w:vAlign w:val="center"/>
          </w:tcPr>
          <w:p w14:paraId="328E53C7" w14:textId="36642B44" w:rsidR="00F908AB" w:rsidRPr="00BE5472" w:rsidRDefault="00F908AB" w:rsidP="00385A41">
            <w:pPr>
              <w:spacing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BROJ ISPITANIKA</w:t>
            </w:r>
          </w:p>
        </w:tc>
        <w:tc>
          <w:tcPr>
            <w:tcW w:w="4771" w:type="dxa"/>
            <w:vAlign w:val="center"/>
          </w:tcPr>
          <w:p w14:paraId="1930C114" w14:textId="77777777" w:rsidR="00F908AB" w:rsidRPr="00BE5472" w:rsidRDefault="00F908AB" w:rsidP="00385A41">
            <w:pPr>
              <w:spacing w:line="360" w:lineRule="auto"/>
              <w:jc w:val="center"/>
              <w:rPr>
                <w:rFonts w:ascii="Times New Roman" w:hAnsi="Times New Roman" w:cs="Times New Roman"/>
                <w:b/>
                <w:bCs/>
                <w:sz w:val="24"/>
                <w:szCs w:val="24"/>
              </w:rPr>
            </w:pPr>
            <w:r w:rsidRPr="00BE5472">
              <w:rPr>
                <w:rFonts w:ascii="Times New Roman" w:hAnsi="Times New Roman" w:cs="Times New Roman"/>
                <w:b/>
                <w:bCs/>
                <w:sz w:val="24"/>
                <w:szCs w:val="24"/>
              </w:rPr>
              <w:t>FUNKCIJE ISPITANIKA TIJEKOM PROCESA PROVOĐENJA SPAJANJA I PREUZIMANJA</w:t>
            </w:r>
          </w:p>
        </w:tc>
      </w:tr>
      <w:tr w:rsidR="00F908AB" w:rsidRPr="00BE5472" w14:paraId="31E40682" w14:textId="77777777" w:rsidTr="007C5CF1">
        <w:tc>
          <w:tcPr>
            <w:tcW w:w="2405" w:type="dxa"/>
            <w:vAlign w:val="center"/>
          </w:tcPr>
          <w:p w14:paraId="091EBCEC" w14:textId="77777777" w:rsidR="00F908AB" w:rsidRPr="00BE5472" w:rsidRDefault="00F908AB" w:rsidP="00385A41">
            <w:pPr>
              <w:spacing w:line="360" w:lineRule="auto"/>
              <w:jc w:val="center"/>
              <w:rPr>
                <w:rFonts w:ascii="Times New Roman" w:hAnsi="Times New Roman" w:cs="Times New Roman"/>
                <w:bCs/>
                <w:i/>
                <w:iCs/>
                <w:sz w:val="24"/>
                <w:szCs w:val="24"/>
              </w:rPr>
            </w:pPr>
            <w:r w:rsidRPr="00BE5472">
              <w:rPr>
                <w:rFonts w:ascii="Times New Roman" w:hAnsi="Times New Roman" w:cs="Times New Roman"/>
                <w:bCs/>
                <w:i/>
                <w:iCs/>
                <w:sz w:val="24"/>
                <w:szCs w:val="24"/>
              </w:rPr>
              <w:t>Valamar Riviera</w:t>
            </w:r>
          </w:p>
        </w:tc>
        <w:tc>
          <w:tcPr>
            <w:tcW w:w="1843" w:type="dxa"/>
            <w:vAlign w:val="center"/>
          </w:tcPr>
          <w:p w14:paraId="7B426A65" w14:textId="3B92DABF" w:rsidR="00F908AB" w:rsidRPr="00BE5472" w:rsidRDefault="00D26E9A"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sz w:val="24"/>
                <w:szCs w:val="24"/>
              </w:rPr>
              <w:t>6</w:t>
            </w:r>
          </w:p>
        </w:tc>
        <w:tc>
          <w:tcPr>
            <w:tcW w:w="4771" w:type="dxa"/>
          </w:tcPr>
          <w:p w14:paraId="3DF89B87" w14:textId="45AD0B8B"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1 – </w:t>
            </w:r>
            <w:r w:rsidR="0005291C" w:rsidRPr="00BE5472">
              <w:rPr>
                <w:rFonts w:ascii="Times New Roman" w:hAnsi="Times New Roman" w:cs="Times New Roman"/>
                <w:bCs/>
                <w:sz w:val="24"/>
                <w:szCs w:val="24"/>
              </w:rPr>
              <w:t>Predsjednik Uprave</w:t>
            </w:r>
          </w:p>
          <w:p w14:paraId="0573672F" w14:textId="33682658"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2 – </w:t>
            </w:r>
            <w:r w:rsidR="009B616D" w:rsidRPr="00BE5472">
              <w:rPr>
                <w:rFonts w:ascii="Times New Roman" w:hAnsi="Times New Roman" w:cs="Times New Roman"/>
                <w:bCs/>
                <w:sz w:val="24"/>
                <w:szCs w:val="24"/>
              </w:rPr>
              <w:t>Član Uprave</w:t>
            </w:r>
          </w:p>
          <w:p w14:paraId="3D98FBF6" w14:textId="061AC2E5"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Ispitanik</w:t>
            </w:r>
            <w:r w:rsidR="007C5CF1" w:rsidRPr="00BE5472">
              <w:rPr>
                <w:rFonts w:ascii="Times New Roman" w:hAnsi="Times New Roman" w:cs="Times New Roman"/>
                <w:bCs/>
                <w:sz w:val="24"/>
                <w:szCs w:val="24"/>
              </w:rPr>
              <w:t xml:space="preserve"> </w:t>
            </w:r>
            <w:r w:rsidRPr="00BE5472">
              <w:rPr>
                <w:rFonts w:ascii="Times New Roman" w:hAnsi="Times New Roman" w:cs="Times New Roman"/>
                <w:bCs/>
                <w:sz w:val="24"/>
                <w:szCs w:val="24"/>
              </w:rPr>
              <w:t xml:space="preserve">3 </w:t>
            </w:r>
            <w:r w:rsidR="001F0FB6"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w:t>
            </w:r>
            <w:r w:rsidR="00116C86" w:rsidRPr="00BE5472">
              <w:rPr>
                <w:rFonts w:ascii="Times New Roman" w:hAnsi="Times New Roman" w:cs="Times New Roman"/>
                <w:bCs/>
                <w:sz w:val="24"/>
                <w:szCs w:val="24"/>
              </w:rPr>
              <w:t xml:space="preserve">Direktor Sektora strateškog planiranja i kontrolinga / </w:t>
            </w:r>
            <w:r w:rsidR="001F0FB6" w:rsidRPr="00BE5472">
              <w:rPr>
                <w:rFonts w:ascii="Times New Roman" w:hAnsi="Times New Roman" w:cs="Times New Roman"/>
                <w:bCs/>
                <w:sz w:val="24"/>
                <w:szCs w:val="24"/>
              </w:rPr>
              <w:t>Potpredsjednik za strateški kontroling</w:t>
            </w:r>
          </w:p>
          <w:p w14:paraId="49D95A09" w14:textId="6CCD5655" w:rsidR="008A6634" w:rsidRPr="00BE5472" w:rsidRDefault="008A6634"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Ispitanik 4 – Potpreds</w:t>
            </w:r>
            <w:r w:rsidR="00AC3711" w:rsidRPr="00BE5472">
              <w:rPr>
                <w:rFonts w:ascii="Times New Roman" w:hAnsi="Times New Roman" w:cs="Times New Roman"/>
                <w:bCs/>
                <w:sz w:val="24"/>
                <w:szCs w:val="24"/>
              </w:rPr>
              <w:t>jednik za operacije</w:t>
            </w:r>
            <w:r w:rsidR="00CF12A5" w:rsidRPr="00BE5472">
              <w:rPr>
                <w:rFonts w:ascii="Times New Roman" w:hAnsi="Times New Roman" w:cs="Times New Roman"/>
                <w:bCs/>
                <w:sz w:val="24"/>
                <w:szCs w:val="24"/>
              </w:rPr>
              <w:t xml:space="preserve"> / Viši pot</w:t>
            </w:r>
            <w:r w:rsidR="00F42442" w:rsidRPr="00BE5472">
              <w:rPr>
                <w:rFonts w:ascii="Times New Roman" w:hAnsi="Times New Roman" w:cs="Times New Roman"/>
                <w:bCs/>
                <w:sz w:val="24"/>
                <w:szCs w:val="24"/>
              </w:rPr>
              <w:t>predsjednik za operacije</w:t>
            </w:r>
          </w:p>
          <w:p w14:paraId="6913A9E3" w14:textId="77777777" w:rsidR="00AC3711" w:rsidRPr="00BE5472" w:rsidRDefault="00AC3711"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5 </w:t>
            </w:r>
            <w:r w:rsidR="00FC4487"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w:t>
            </w:r>
            <w:r w:rsidR="00FC4487" w:rsidRPr="00BE5472">
              <w:rPr>
                <w:rFonts w:ascii="Times New Roman" w:hAnsi="Times New Roman" w:cs="Times New Roman"/>
                <w:bCs/>
                <w:sz w:val="24"/>
                <w:szCs w:val="24"/>
              </w:rPr>
              <w:t>Član Uprave</w:t>
            </w:r>
          </w:p>
          <w:p w14:paraId="374A2115" w14:textId="7A3234F3" w:rsidR="00FC4487" w:rsidRPr="00BE5472" w:rsidRDefault="00FC4487"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6 - </w:t>
            </w:r>
            <w:r w:rsidR="00734BB0" w:rsidRPr="00BE5472">
              <w:rPr>
                <w:rFonts w:ascii="Times New Roman" w:hAnsi="Times New Roman" w:cs="Times New Roman"/>
                <w:bCs/>
                <w:sz w:val="24"/>
                <w:szCs w:val="24"/>
              </w:rPr>
              <w:t>Član Uprave</w:t>
            </w:r>
          </w:p>
        </w:tc>
      </w:tr>
      <w:tr w:rsidR="00F908AB" w:rsidRPr="00BE5472" w14:paraId="7F6CC4A8" w14:textId="77777777" w:rsidTr="007C5CF1">
        <w:tc>
          <w:tcPr>
            <w:tcW w:w="2405" w:type="dxa"/>
            <w:vAlign w:val="center"/>
          </w:tcPr>
          <w:p w14:paraId="13DA87F0" w14:textId="77777777" w:rsidR="00F908AB" w:rsidRPr="00BE5472" w:rsidRDefault="00F908AB"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i/>
                <w:iCs/>
                <w:sz w:val="24"/>
                <w:szCs w:val="24"/>
              </w:rPr>
              <w:t>Adris</w:t>
            </w:r>
            <w:r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Maistra</w:t>
            </w:r>
            <w:r w:rsidRPr="00BE5472">
              <w:rPr>
                <w:rFonts w:ascii="Times New Roman" w:hAnsi="Times New Roman" w:cs="Times New Roman"/>
                <w:bCs/>
                <w:sz w:val="24"/>
                <w:szCs w:val="24"/>
              </w:rPr>
              <w:t>)</w:t>
            </w:r>
          </w:p>
        </w:tc>
        <w:tc>
          <w:tcPr>
            <w:tcW w:w="1843" w:type="dxa"/>
            <w:vAlign w:val="center"/>
          </w:tcPr>
          <w:p w14:paraId="419DCC71" w14:textId="75594466" w:rsidR="00F908AB" w:rsidRPr="00BE5472" w:rsidRDefault="00D26E9A"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sz w:val="24"/>
                <w:szCs w:val="24"/>
              </w:rPr>
              <w:t>1</w:t>
            </w:r>
          </w:p>
        </w:tc>
        <w:tc>
          <w:tcPr>
            <w:tcW w:w="4771" w:type="dxa"/>
          </w:tcPr>
          <w:p w14:paraId="71EBD58F" w14:textId="28559DA2"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1 – </w:t>
            </w:r>
            <w:r w:rsidR="00AE762E" w:rsidRPr="00BE5472">
              <w:rPr>
                <w:rFonts w:ascii="Times New Roman" w:hAnsi="Times New Roman" w:cs="Times New Roman"/>
                <w:bCs/>
                <w:sz w:val="24"/>
                <w:szCs w:val="24"/>
              </w:rPr>
              <w:t>Predsjednik Uprave</w:t>
            </w:r>
          </w:p>
        </w:tc>
      </w:tr>
      <w:tr w:rsidR="00F908AB" w:rsidRPr="00BE5472" w14:paraId="38B3F7B5" w14:textId="77777777" w:rsidTr="007C5CF1">
        <w:tc>
          <w:tcPr>
            <w:tcW w:w="2405" w:type="dxa"/>
            <w:vAlign w:val="center"/>
          </w:tcPr>
          <w:p w14:paraId="0AC16F06" w14:textId="7842FB8B" w:rsidR="00F908AB" w:rsidRPr="00BE5472" w:rsidRDefault="00F908AB" w:rsidP="00385A41">
            <w:pPr>
              <w:spacing w:line="360" w:lineRule="auto"/>
              <w:jc w:val="center"/>
              <w:rPr>
                <w:rFonts w:ascii="Times New Roman" w:hAnsi="Times New Roman" w:cs="Times New Roman"/>
                <w:bCs/>
                <w:i/>
                <w:iCs/>
                <w:sz w:val="24"/>
                <w:szCs w:val="24"/>
              </w:rPr>
            </w:pPr>
            <w:r w:rsidRPr="00BE5472">
              <w:rPr>
                <w:rFonts w:ascii="Times New Roman" w:hAnsi="Times New Roman" w:cs="Times New Roman"/>
                <w:bCs/>
                <w:i/>
                <w:iCs/>
                <w:sz w:val="24"/>
                <w:szCs w:val="24"/>
              </w:rPr>
              <w:t>Plava laguna</w:t>
            </w:r>
          </w:p>
        </w:tc>
        <w:tc>
          <w:tcPr>
            <w:tcW w:w="1843" w:type="dxa"/>
            <w:vAlign w:val="center"/>
          </w:tcPr>
          <w:p w14:paraId="39CCF4C0" w14:textId="6C35ED77" w:rsidR="00F908AB" w:rsidRPr="00BE5472" w:rsidRDefault="00D26E9A"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sz w:val="24"/>
                <w:szCs w:val="24"/>
              </w:rPr>
              <w:t>2</w:t>
            </w:r>
          </w:p>
        </w:tc>
        <w:tc>
          <w:tcPr>
            <w:tcW w:w="4771" w:type="dxa"/>
          </w:tcPr>
          <w:p w14:paraId="06D62CBD" w14:textId="08EA5650"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Ispitanik 1 –</w:t>
            </w:r>
            <w:r w:rsidR="00230104" w:rsidRPr="00BE5472">
              <w:rPr>
                <w:rFonts w:ascii="Times New Roman" w:hAnsi="Times New Roman" w:cs="Times New Roman"/>
                <w:bCs/>
                <w:sz w:val="24"/>
                <w:szCs w:val="24"/>
              </w:rPr>
              <w:t xml:space="preserve"> Predsjednik Uprave</w:t>
            </w:r>
            <w:r w:rsidRPr="00BE5472">
              <w:rPr>
                <w:rFonts w:ascii="Times New Roman" w:hAnsi="Times New Roman" w:cs="Times New Roman"/>
                <w:bCs/>
                <w:sz w:val="24"/>
                <w:szCs w:val="24"/>
              </w:rPr>
              <w:t xml:space="preserve"> </w:t>
            </w:r>
          </w:p>
          <w:p w14:paraId="62BAF0C7" w14:textId="5B73CFD1"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2 – </w:t>
            </w:r>
            <w:r w:rsidR="00505344" w:rsidRPr="00BE5472">
              <w:rPr>
                <w:rFonts w:ascii="Times New Roman" w:hAnsi="Times New Roman" w:cs="Times New Roman"/>
                <w:bCs/>
                <w:sz w:val="24"/>
                <w:szCs w:val="24"/>
              </w:rPr>
              <w:t>Projektni menadžer</w:t>
            </w:r>
          </w:p>
        </w:tc>
      </w:tr>
      <w:tr w:rsidR="00F908AB" w:rsidRPr="00BE5472" w14:paraId="3F09B09C" w14:textId="77777777" w:rsidTr="007C5CF1">
        <w:tc>
          <w:tcPr>
            <w:tcW w:w="2405" w:type="dxa"/>
            <w:vAlign w:val="center"/>
          </w:tcPr>
          <w:p w14:paraId="6B32A66E" w14:textId="677E7CDE" w:rsidR="00F908AB" w:rsidRPr="00BE5472" w:rsidRDefault="00F908AB"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i/>
                <w:iCs/>
                <w:sz w:val="24"/>
                <w:szCs w:val="24"/>
              </w:rPr>
              <w:t>Laguna</w:t>
            </w:r>
            <w:r w:rsidRPr="00BE5472">
              <w:rPr>
                <w:rFonts w:ascii="Times New Roman" w:hAnsi="Times New Roman" w:cs="Times New Roman"/>
                <w:bCs/>
                <w:sz w:val="24"/>
                <w:szCs w:val="24"/>
              </w:rPr>
              <w:t xml:space="preserve"> Novigrad</w:t>
            </w:r>
            <w:r w:rsidR="00424BEF" w:rsidRPr="00BE5472">
              <w:rPr>
                <w:rFonts w:ascii="Times New Roman" w:hAnsi="Times New Roman" w:cs="Times New Roman"/>
                <w:bCs/>
                <w:sz w:val="24"/>
                <w:szCs w:val="24"/>
              </w:rPr>
              <w:t xml:space="preserve"> </w:t>
            </w:r>
            <w:r w:rsidRPr="00BE5472">
              <w:rPr>
                <w:rFonts w:ascii="Times New Roman" w:hAnsi="Times New Roman" w:cs="Times New Roman"/>
                <w:bCs/>
                <w:sz w:val="24"/>
                <w:szCs w:val="24"/>
              </w:rPr>
              <w:t>/</w:t>
            </w:r>
            <w:r w:rsidR="00424BEF" w:rsidRPr="00BE5472">
              <w:rPr>
                <w:rFonts w:ascii="Times New Roman" w:hAnsi="Times New Roman" w:cs="Times New Roman"/>
                <w:bCs/>
                <w:sz w:val="24"/>
                <w:szCs w:val="24"/>
              </w:rPr>
              <w:t xml:space="preserve"> </w:t>
            </w:r>
            <w:r w:rsidRPr="00BE5472">
              <w:rPr>
                <w:rFonts w:ascii="Times New Roman" w:hAnsi="Times New Roman" w:cs="Times New Roman"/>
                <w:bCs/>
                <w:i/>
                <w:iCs/>
                <w:sz w:val="24"/>
                <w:szCs w:val="24"/>
              </w:rPr>
              <w:t>Amines</w:t>
            </w:r>
            <w:r w:rsidR="002F3B08" w:rsidRPr="00BE5472">
              <w:rPr>
                <w:rFonts w:ascii="Times New Roman" w:hAnsi="Times New Roman" w:cs="Times New Roman"/>
                <w:bCs/>
                <w:i/>
                <w:iCs/>
                <w:sz w:val="24"/>
                <w:szCs w:val="24"/>
              </w:rPr>
              <w:t>s</w:t>
            </w:r>
          </w:p>
        </w:tc>
        <w:tc>
          <w:tcPr>
            <w:tcW w:w="1843" w:type="dxa"/>
            <w:vAlign w:val="center"/>
          </w:tcPr>
          <w:p w14:paraId="1127B556" w14:textId="77777777" w:rsidR="00F908AB" w:rsidRPr="00BE5472" w:rsidRDefault="00F908AB" w:rsidP="00385A41">
            <w:pPr>
              <w:spacing w:line="360" w:lineRule="auto"/>
              <w:jc w:val="center"/>
              <w:rPr>
                <w:rFonts w:ascii="Times New Roman" w:hAnsi="Times New Roman" w:cs="Times New Roman"/>
                <w:bCs/>
                <w:sz w:val="24"/>
                <w:szCs w:val="24"/>
              </w:rPr>
            </w:pPr>
            <w:r w:rsidRPr="00BE5472">
              <w:rPr>
                <w:rFonts w:ascii="Times New Roman" w:hAnsi="Times New Roman" w:cs="Times New Roman"/>
                <w:bCs/>
                <w:sz w:val="24"/>
                <w:szCs w:val="24"/>
              </w:rPr>
              <w:t>3</w:t>
            </w:r>
          </w:p>
        </w:tc>
        <w:tc>
          <w:tcPr>
            <w:tcW w:w="4771" w:type="dxa"/>
          </w:tcPr>
          <w:p w14:paraId="3B6462F5" w14:textId="7648F3F0"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1 – </w:t>
            </w:r>
            <w:r w:rsidR="00CE318D" w:rsidRPr="00BE5472">
              <w:rPr>
                <w:rFonts w:ascii="Times New Roman" w:hAnsi="Times New Roman" w:cs="Times New Roman"/>
                <w:bCs/>
                <w:sz w:val="24"/>
                <w:szCs w:val="24"/>
              </w:rPr>
              <w:t xml:space="preserve">Predsjednik Uprave </w:t>
            </w:r>
          </w:p>
          <w:p w14:paraId="15352C1F" w14:textId="401A674E"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2 – </w:t>
            </w:r>
            <w:r w:rsidR="00394D46" w:rsidRPr="00BE5472">
              <w:rPr>
                <w:rFonts w:ascii="Times New Roman" w:hAnsi="Times New Roman" w:cs="Times New Roman"/>
                <w:bCs/>
                <w:sz w:val="24"/>
                <w:szCs w:val="24"/>
              </w:rPr>
              <w:t>Član Uprave</w:t>
            </w:r>
          </w:p>
          <w:p w14:paraId="33EA4FF1" w14:textId="6D03B39B" w:rsidR="00F908AB" w:rsidRPr="00BE5472" w:rsidRDefault="00F908AB" w:rsidP="003C2F5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Ispitanik 3 </w:t>
            </w:r>
            <w:r w:rsidR="00093EBE" w:rsidRPr="00BE5472">
              <w:rPr>
                <w:rFonts w:ascii="Times New Roman" w:hAnsi="Times New Roman" w:cs="Times New Roman"/>
                <w:bCs/>
                <w:sz w:val="24"/>
                <w:szCs w:val="24"/>
              </w:rPr>
              <w:t>–</w:t>
            </w:r>
            <w:r w:rsidRPr="00BE5472">
              <w:rPr>
                <w:rFonts w:ascii="Times New Roman" w:hAnsi="Times New Roman" w:cs="Times New Roman"/>
                <w:bCs/>
                <w:sz w:val="24"/>
                <w:szCs w:val="24"/>
              </w:rPr>
              <w:t xml:space="preserve"> </w:t>
            </w:r>
            <w:r w:rsidR="00394D46" w:rsidRPr="00BE5472">
              <w:rPr>
                <w:rFonts w:ascii="Times New Roman" w:hAnsi="Times New Roman" w:cs="Times New Roman"/>
                <w:bCs/>
                <w:sz w:val="24"/>
                <w:szCs w:val="24"/>
              </w:rPr>
              <w:t>Direktor prodaje i marketinga</w:t>
            </w:r>
          </w:p>
        </w:tc>
      </w:tr>
    </w:tbl>
    <w:p w14:paraId="71C92543" w14:textId="03E67237" w:rsidR="00F908AB" w:rsidRPr="00BE5472" w:rsidRDefault="00394D46" w:rsidP="00F908A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Izvor: obrada autora</w:t>
      </w:r>
    </w:p>
    <w:p w14:paraId="036E6543" w14:textId="3D6CC260" w:rsidR="000D6CDE" w:rsidRDefault="000D6CDE" w:rsidP="00F908AB">
      <w:pPr>
        <w:spacing w:line="360" w:lineRule="auto"/>
        <w:jc w:val="both"/>
        <w:rPr>
          <w:rFonts w:ascii="Times New Roman" w:hAnsi="Times New Roman" w:cs="Times New Roman"/>
          <w:sz w:val="24"/>
          <w:szCs w:val="24"/>
        </w:rPr>
      </w:pPr>
      <w:r w:rsidRPr="000D6CDE">
        <w:rPr>
          <w:rFonts w:ascii="Times New Roman" w:hAnsi="Times New Roman" w:cs="Times New Roman"/>
          <w:sz w:val="24"/>
          <w:szCs w:val="24"/>
        </w:rPr>
        <w:t>Intervjui su u prosjeku trajali od 30 do 40 minuta, unaprijed su najavljeni i provedeni u razdoblju od 1. srpnja 2025. do 10. siječnja 2026. Svi su intervjui snimani i transkribirani, pri čemu su audiosnimke predstavljale temeljni izvor podataka. Struktura i broj ispitanika po poduzećima određeni su primjenom namjernog uzorkovanja s ciljem obuhvaćanja ključnih aktera koji su izravno sudjelovali u upravljanju i donošenju odluka tijekom procesa spajanja i preuzimanja. Broj i struktura ispitanika razlikovali su se među poduzećima zbog specifičnosti njihovih organizacijskih struktura i interne raspodjele odgovornosti za provedbu M&amp;A strategija. Naglasak je stavljen na odabir ispitanika koji su obnašali ključne funkcije i neposredno sudjelovali u analiziranim procesima.</w:t>
      </w:r>
    </w:p>
    <w:p w14:paraId="50A5B062" w14:textId="3F999ED0"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Za analizu podataka primijenjena je tematska analiza uz induktivni pristup kodiranju. Iz navedenog proizlazi da su podaci kodirani induktivno. Kodovi nisu bili unaprijed definirani ni </w:t>
      </w:r>
      <w:r w:rsidRPr="00BE5472">
        <w:rPr>
          <w:rFonts w:ascii="Times New Roman" w:hAnsi="Times New Roman" w:cs="Times New Roman"/>
          <w:sz w:val="24"/>
          <w:szCs w:val="24"/>
        </w:rPr>
        <w:lastRenderedPageBreak/>
        <w:t xml:space="preserve">vezani uz pojedina pitanja, već su razvijeni na temelju značenja odgovora kroz cjelokupni skup podataka.  Analiza je provedena kroz sljedeće faze (prema Braun i Clarke 2006): </w:t>
      </w:r>
    </w:p>
    <w:p w14:paraId="7F6C79F6"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Upoznavanje s podacima: Višekratno čitanje svih odgovora ispitanika radi stjecanja cjelovitog uvida.</w:t>
      </w:r>
    </w:p>
    <w:p w14:paraId="7F8FD4D0"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Otvoreno (inicijalno) kodiranje:  Identifikacija smislenih segmenata teksta i dodjeljivanje inicijalnih kodova koji odražavaju značenje odgovora ispitanika.</w:t>
      </w:r>
    </w:p>
    <w:p w14:paraId="4BE438E8"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Grupiranje kodova u podteme: Slični i konceptualno povezani kodovi objedinjeni su u podteme.</w:t>
      </w:r>
    </w:p>
    <w:p w14:paraId="0D67F42D"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Formiranje glavnih tema: Podteme su dalje integrirane u šire tematske cjeline koje opisuju ključne aspekte procesa spajanja i preuzimanja u hrvatskom hotelijerstvu.</w:t>
      </w:r>
    </w:p>
    <w:p w14:paraId="680F184B"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Pregled i redefiniranje tema: Provjera koherentnosti tema u odnosu na cjelokupni skup podataka.</w:t>
      </w:r>
    </w:p>
    <w:p w14:paraId="2623ED0F" w14:textId="77777777" w:rsidR="00F908AB" w:rsidRPr="00BE5472" w:rsidRDefault="00F908AB" w:rsidP="00120B4F">
      <w:pPr>
        <w:pStyle w:val="ListParagraph"/>
        <w:numPr>
          <w:ilvl w:val="0"/>
          <w:numId w:val="99"/>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Interpretacija i narativno izvještavanje: Teme su interpretirane u kontekstu istraživačkih ciljeva i postojeće literature.</w:t>
      </w:r>
    </w:p>
    <w:p w14:paraId="4B4A1CEF" w14:textId="657D74D4"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fazi inicijalnog kodiranja, smisleni dijelovi teksta označeni su kodovima koji su odražavali sadržaj i značenje odgovora ispitanika. Kodovi nisu bili unaprijed definirani ni vezani uz pojedina pitanja u upitniku, već su razvijeni na razini cjelokupnog skupa podataka, čime je omogućeno prepoznavanje tema koje se pojavljuju kroz više pitanja i konteksta. U sljedećoj fazi, konceptualno srodni kodovi grupirani su u podteme, koje su zatim integrirane u šire tematske cjeline. Tijekom analize kontinuirano se provjeravala koherentnost i unutarnja konzistentnost razvijenih tema u odnosu na izvorne podatke.</w:t>
      </w:r>
    </w:p>
    <w:p w14:paraId="7544D769" w14:textId="1FE749B3"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Analiza se temelji na značenju i sadržaju odgovora, a ne na kvantifikaciji učestalosti</w:t>
      </w:r>
      <w:r w:rsidR="008D546D" w:rsidRPr="00BE5472">
        <w:rPr>
          <w:rFonts w:ascii="Times New Roman" w:hAnsi="Times New Roman" w:cs="Times New Roman"/>
          <w:sz w:val="24"/>
          <w:szCs w:val="24"/>
        </w:rPr>
        <w:t>,</w:t>
      </w:r>
      <w:r w:rsidRPr="00BE5472">
        <w:rPr>
          <w:rFonts w:ascii="Times New Roman" w:hAnsi="Times New Roman" w:cs="Times New Roman"/>
          <w:sz w:val="24"/>
          <w:szCs w:val="24"/>
        </w:rPr>
        <w:t xml:space="preserve"> što je u skladu s pristupom refleksivne tematske analize (Braun &amp; Clarke 2006; 2019). Kako bi se osigurala kredibilnost i pouzdanost nalaza, primijenjene su sljedeće mjere:</w:t>
      </w:r>
    </w:p>
    <w:p w14:paraId="6D08C822" w14:textId="77777777" w:rsidR="00F908AB" w:rsidRPr="00BE5472" w:rsidRDefault="00F908AB" w:rsidP="00120B4F">
      <w:pPr>
        <w:pStyle w:val="ListParagraph"/>
        <w:numPr>
          <w:ilvl w:val="0"/>
          <w:numId w:val="100"/>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sustavno dokumentiranje procesa kodiranja</w:t>
      </w:r>
    </w:p>
    <w:p w14:paraId="04F2BD43" w14:textId="77777777" w:rsidR="00F908AB" w:rsidRPr="00BE5472" w:rsidRDefault="00F908AB" w:rsidP="00120B4F">
      <w:pPr>
        <w:pStyle w:val="ListParagraph"/>
        <w:numPr>
          <w:ilvl w:val="0"/>
          <w:numId w:val="100"/>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jasno definirane faze analize</w:t>
      </w:r>
    </w:p>
    <w:p w14:paraId="6F535F05" w14:textId="1D4169FE" w:rsidR="00F908AB" w:rsidRPr="00BE5472" w:rsidRDefault="00F908AB" w:rsidP="00120B4F">
      <w:pPr>
        <w:pStyle w:val="ListParagraph"/>
        <w:numPr>
          <w:ilvl w:val="0"/>
          <w:numId w:val="100"/>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čuvanje izvornih podataka (</w:t>
      </w:r>
      <w:r w:rsidRPr="00BE5472">
        <w:rPr>
          <w:rFonts w:ascii="Times New Roman" w:hAnsi="Times New Roman" w:cs="Times New Roman"/>
          <w:i/>
          <w:iCs/>
          <w:sz w:val="24"/>
          <w:szCs w:val="24"/>
        </w:rPr>
        <w:t>Excel</w:t>
      </w:r>
      <w:r w:rsidRPr="00BE5472">
        <w:rPr>
          <w:rFonts w:ascii="Times New Roman" w:hAnsi="Times New Roman" w:cs="Times New Roman"/>
          <w:sz w:val="24"/>
          <w:szCs w:val="24"/>
        </w:rPr>
        <w:t xml:space="preserve"> odgovora)</w:t>
      </w:r>
    </w:p>
    <w:p w14:paraId="6C713F0C" w14:textId="77777777" w:rsidR="00F908AB" w:rsidRPr="00BE5472" w:rsidRDefault="00F908AB" w:rsidP="00120B4F">
      <w:pPr>
        <w:pStyle w:val="ListParagraph"/>
        <w:numPr>
          <w:ilvl w:val="0"/>
          <w:numId w:val="100"/>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transparentno povezivanje kodova, tema i citata ispitanika.</w:t>
      </w:r>
    </w:p>
    <w:p w14:paraId="4F8C8F7E" w14:textId="77777777" w:rsidR="00F908AB" w:rsidRPr="00BE5472" w:rsidRDefault="00F908AB" w:rsidP="00F908A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Naglasak je stavljen na analitičku transparentnost, a ne na statističku pouzdanost, što je u skladu s kvalitativnom paradigmom i odgovara kriterijima vjerodostojnosti u kvalitativnim istraživanjima (Creswell 2018).</w:t>
      </w:r>
    </w:p>
    <w:p w14:paraId="5E69B069" w14:textId="28FA795F" w:rsidR="00F908AB" w:rsidRPr="00BE5472" w:rsidRDefault="00F908AB" w:rsidP="000E514A">
      <w:pPr>
        <w:pStyle w:val="Heading2"/>
        <w:numPr>
          <w:ilvl w:val="1"/>
          <w:numId w:val="5"/>
        </w:numPr>
        <w:rPr>
          <w:rFonts w:ascii="Times New Roman" w:hAnsi="Times New Roman" w:cs="Times New Roman"/>
        </w:rPr>
      </w:pPr>
      <w:bookmarkStart w:id="156" w:name="_Toc241865156"/>
      <w:r w:rsidRPr="00BE5472">
        <w:rPr>
          <w:rFonts w:ascii="Times New Roman" w:hAnsi="Times New Roman" w:cs="Times New Roman"/>
        </w:rPr>
        <w:lastRenderedPageBreak/>
        <w:t>Operacionalizacija opisnih (kvantitativnih) istraživanja</w:t>
      </w:r>
      <w:bookmarkEnd w:id="156"/>
    </w:p>
    <w:p w14:paraId="361D9C1B" w14:textId="77777777" w:rsidR="000E514A" w:rsidRPr="00BE5472" w:rsidRDefault="000E514A" w:rsidP="000E514A">
      <w:pPr>
        <w:rPr>
          <w:rFonts w:ascii="Times New Roman" w:hAnsi="Times New Roman" w:cs="Times New Roman"/>
        </w:rPr>
      </w:pPr>
    </w:p>
    <w:p w14:paraId="17A18B9B" w14:textId="040B0A5D"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Kako bi se provjerilo jesu li ključni financijski i tržišni pokazatelji uspješnosti bolji u poduzećima preuzimatelja nakon završetka procesa preuzimanja u usporedbi s istim pokazateljima u razdoblju prije provedenog procesa (H3) te jesu li ti pokazatelji bolji kod poduzeća koja su se odlučila na procese spajanja i preuzimanja u odnosu na ona koja nisu (H4), analizirani su dostupni pokazatelji </w:t>
      </w:r>
      <w:r w:rsidR="002F3B08" w:rsidRPr="00BE5472">
        <w:rPr>
          <w:rFonts w:ascii="Times New Roman" w:hAnsi="Times New Roman" w:cs="Times New Roman"/>
          <w:kern w:val="2"/>
          <w:sz w:val="24"/>
          <w14:ligatures w14:val="standardContextual"/>
        </w:rPr>
        <w:t>osam</w:t>
      </w:r>
      <w:r w:rsidRPr="00BE5472">
        <w:rPr>
          <w:rFonts w:ascii="Times New Roman" w:hAnsi="Times New Roman" w:cs="Times New Roman"/>
          <w:kern w:val="2"/>
          <w:sz w:val="24"/>
          <w14:ligatures w14:val="standardContextual"/>
        </w:rPr>
        <w:t xml:space="preserve"> poduzeća u vremenskom periodu od 11 godina. Prikupljeni podaci odražavaju longitudinalno poslovanje poduzeća, a ovakvu strukture podataka nazivamo „ugnijež</w:t>
      </w:r>
      <w:r w:rsidR="009110E3" w:rsidRPr="00BE5472">
        <w:rPr>
          <w:rFonts w:ascii="Times New Roman" w:hAnsi="Times New Roman" w:cs="Times New Roman"/>
          <w:kern w:val="2"/>
          <w:sz w:val="24"/>
          <w14:ligatures w14:val="standardContextual"/>
        </w:rPr>
        <w:t>đ</w:t>
      </w:r>
      <w:r w:rsidRPr="00BE5472">
        <w:rPr>
          <w:rFonts w:ascii="Times New Roman" w:hAnsi="Times New Roman" w:cs="Times New Roman"/>
          <w:kern w:val="2"/>
          <w:sz w:val="24"/>
          <w14:ligatures w14:val="standardContextual"/>
        </w:rPr>
        <w:t xml:space="preserve">enom“ (eng. </w:t>
      </w:r>
      <w:r w:rsidRPr="00BE5472">
        <w:rPr>
          <w:rFonts w:ascii="Times New Roman" w:hAnsi="Times New Roman" w:cs="Times New Roman"/>
          <w:i/>
          <w:kern w:val="2"/>
          <w:sz w:val="24"/>
          <w14:ligatures w14:val="standardContextual"/>
        </w:rPr>
        <w:t>nested</w:t>
      </w:r>
      <w:r w:rsidRPr="00BE5472">
        <w:rPr>
          <w:rFonts w:ascii="Times New Roman" w:hAnsi="Times New Roman" w:cs="Times New Roman"/>
          <w:kern w:val="2"/>
          <w:sz w:val="24"/>
          <w14:ligatures w14:val="standardContextual"/>
        </w:rPr>
        <w:t>). Ugnijež</w:t>
      </w:r>
      <w:r w:rsidR="009110E3" w:rsidRPr="00BE5472">
        <w:rPr>
          <w:rFonts w:ascii="Times New Roman" w:hAnsi="Times New Roman" w:cs="Times New Roman"/>
          <w:kern w:val="2"/>
          <w:sz w:val="24"/>
          <w14:ligatures w14:val="standardContextual"/>
        </w:rPr>
        <w:t>đ</w:t>
      </w:r>
      <w:r w:rsidRPr="00BE5472">
        <w:rPr>
          <w:rFonts w:ascii="Times New Roman" w:hAnsi="Times New Roman" w:cs="Times New Roman"/>
          <w:kern w:val="2"/>
          <w:sz w:val="24"/>
          <w14:ligatures w14:val="standardContextual"/>
        </w:rPr>
        <w:t>eni podaci su oni u kojima postoji hijerarhijska organizacija strukture podataka. U ovom slučaju, financijski i tržišni pokazatelji za jednu promatranu godinu nalaze se na hijerarhijski nižoj razini te su ugnijež</w:t>
      </w:r>
      <w:r w:rsidR="009110E3" w:rsidRPr="00BE5472">
        <w:rPr>
          <w:rFonts w:ascii="Times New Roman" w:hAnsi="Times New Roman" w:cs="Times New Roman"/>
          <w:kern w:val="2"/>
          <w:sz w:val="24"/>
          <w14:ligatures w14:val="standardContextual"/>
        </w:rPr>
        <w:t>đ</w:t>
      </w:r>
      <w:r w:rsidRPr="00BE5472">
        <w:rPr>
          <w:rFonts w:ascii="Times New Roman" w:hAnsi="Times New Roman" w:cs="Times New Roman"/>
          <w:kern w:val="2"/>
          <w:sz w:val="24"/>
          <w14:ligatures w14:val="standardContextual"/>
        </w:rPr>
        <w:t>eni unutar poduzeća koje se u strukturi podataka nalazi na hijerarhijski višoj razini. Svaki podatak koji se nalazi na nižoj razini dijeli zajednički kontekst s drugim podacima koji proizlaze iz istog poduzeća, što može utjecati na sličnost podataka koji se nalaze unutar istog poduzeća, odnosno utjecati na razlike u podacima između poduzeća. Drugim riječima ne može se tvrditi da su podaci unutar istog poduzeća neovisni jedni od drugih.</w:t>
      </w:r>
    </w:p>
    <w:p w14:paraId="2B757C85" w14:textId="30875293"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Kako bi se pravilno adresirala opisana struktura podataka, u analizi podataka korištena je višerazinska linearna regresijska analiza (Gelman i Hill 2007). Višerazinska regresijska analiza  je statistički pristup usmjeren na analizu podataka koji imaju ugnijež</w:t>
      </w:r>
      <w:r w:rsidR="009110E3" w:rsidRPr="00BE5472">
        <w:rPr>
          <w:rFonts w:ascii="Times New Roman" w:hAnsi="Times New Roman" w:cs="Times New Roman"/>
          <w:kern w:val="2"/>
          <w:sz w:val="24"/>
          <w14:ligatures w14:val="standardContextual"/>
        </w:rPr>
        <w:t>đ</w:t>
      </w:r>
      <w:r w:rsidRPr="00BE5472">
        <w:rPr>
          <w:rFonts w:ascii="Times New Roman" w:hAnsi="Times New Roman" w:cs="Times New Roman"/>
          <w:kern w:val="2"/>
          <w:sz w:val="24"/>
          <w14:ligatures w14:val="standardContextual"/>
        </w:rPr>
        <w:t xml:space="preserve">enu strukturu. Uzimajući u obzir varijable koje se nalaze na različitim hijerarhijskim razinama, višerazinska regresijska analiza omogućuje donošenje preciznijih zaključaka u odnosu na statističke modele koji ne uključuju hijerarhijsku strukturu podataka prilikom modeliranja. Ovaj pristup je osobito prikladan za analizu longitudinalnih podataka, koji su prisutni u ovom slučaju. Prilikom procjene parametara kontrolirana je korelacija između ponovljenih mjerenja unutar istog poduzeća te je moguće prikazati longitudinalne trendove procjenjivanog pokazatelja. S obzirom </w:t>
      </w:r>
      <w:r w:rsidR="008D546D" w:rsidRPr="00BE5472">
        <w:rPr>
          <w:rFonts w:ascii="Times New Roman" w:hAnsi="Times New Roman" w:cs="Times New Roman"/>
          <w:kern w:val="2"/>
          <w:sz w:val="24"/>
          <w14:ligatures w14:val="standardContextual"/>
        </w:rPr>
        <w:t xml:space="preserve">na to </w:t>
      </w:r>
      <w:r w:rsidRPr="00BE5472">
        <w:rPr>
          <w:rFonts w:ascii="Times New Roman" w:hAnsi="Times New Roman" w:cs="Times New Roman"/>
          <w:kern w:val="2"/>
          <w:sz w:val="24"/>
          <w14:ligatures w14:val="standardContextual"/>
        </w:rPr>
        <w:t xml:space="preserve">da ovaj pristup omogućava modeliranje promjena unutar poduzeća te istovremeno testirati razlike između poduzeća, on je primjeren za odgovaranje na postavljene hipoteze. </w:t>
      </w:r>
    </w:p>
    <w:p w14:paraId="5536D188" w14:textId="409AB576"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Model višerazinske regresijske analize sastoji se od procjene fiksnih i nasumičnih učinaka. Fiksni učinci su konzistentna i nenasumična obilježja koja su prisutna unutar svih skupina podataka. Pomoću njih se procjenjuje povezanost između prediktora (nezavisnih varijabli) i ishoda (zavisnih varijabli) te su oni promatrani tijekom testiranja postavljenih hipoteza. Nasumični učinci služe kako bi se adresirao varijabilitet koji proizlazi iz hijerarhijske </w:t>
      </w:r>
      <w:r w:rsidRPr="00BE5472">
        <w:rPr>
          <w:rFonts w:ascii="Times New Roman" w:hAnsi="Times New Roman" w:cs="Times New Roman"/>
          <w:kern w:val="2"/>
          <w:sz w:val="24"/>
          <w14:ligatures w14:val="standardContextual"/>
        </w:rPr>
        <w:lastRenderedPageBreak/>
        <w:t xml:space="preserve">organizacije podataka. U ovom slučaju korišten je model s nasumičnim odsječcima regresijskog pravca, pri čemu je procjena učinka prediktora zadržana konstantnom za sva poduzeća. Prema tome, u opisanom modelu dopušteno je da odsječak regresijskog pravca varira za pojedina poduzeća uključena u analizi, dok je procjena nagiba regresijskog pravca bila jednaka za sva poduzeća. </w:t>
      </w:r>
    </w:p>
    <w:p w14:paraId="331138BB" w14:textId="0A3041D8"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U svim testiranim modelima, kao zavisne varijable su uključeni financijski (EBITDA, pokazatelji profitabilnosti (ROA, ROE, bruto i neto profitna marža), odabrani pokazatelji likvidnosti i financijske stabilnosti, odabrani pokazatelji zaduženosti), odnosno tržišni pokazatelji (tržišna vrijednost dionice, dobit po dionici, dividenda po dionici, tržišni udio mjeren udjelom ukupnih prihoda poduzeća/ukupni prihodi industrije, tržišna dodana vrijednost (MVA)) uspješnosti poduzeća. Za pokazatelje EBITDA, tržišna vrijednost dionice i MVA, prije provođenja analize, provedena je transformacija podataka</w:t>
      </w:r>
      <w:r w:rsidR="008D546D" w:rsidRPr="00BE5472">
        <w:rPr>
          <w:rFonts w:ascii="Times New Roman" w:hAnsi="Times New Roman" w:cs="Times New Roman"/>
          <w:kern w:val="2"/>
          <w:sz w:val="24"/>
          <w14:ligatures w14:val="standardContextual"/>
        </w:rPr>
        <w:t>,</w:t>
      </w:r>
      <w:r w:rsidRPr="00BE5472">
        <w:rPr>
          <w:rFonts w:ascii="Times New Roman" w:hAnsi="Times New Roman" w:cs="Times New Roman"/>
          <w:kern w:val="2"/>
          <w:sz w:val="24"/>
          <w14:ligatures w14:val="standardContextual"/>
        </w:rPr>
        <w:t xml:space="preserve"> s obzirom na velik raspon mogućih vrijednosti koje su zabilježene u ovim varijablama. Primjerice, najniža zabilježena EBITDA vrijednost iznosila je -70,980,803 kn, dok je najviša iznosila 5,041,054,756 kn. Kako bi se pojednostavnila interpretacija procijenjenih parametara u statističkim modelima primijenjena je logaritamska transformacija s predznakom (eng. </w:t>
      </w:r>
      <w:r w:rsidRPr="00BE5472">
        <w:rPr>
          <w:rFonts w:ascii="Times New Roman" w:hAnsi="Times New Roman" w:cs="Times New Roman"/>
          <w:i/>
          <w:kern w:val="2"/>
          <w:sz w:val="24"/>
          <w14:ligatures w14:val="standardContextual"/>
        </w:rPr>
        <w:t>sing log transformation</w:t>
      </w:r>
      <w:r w:rsidRPr="00BE5472">
        <w:rPr>
          <w:rFonts w:ascii="Times New Roman" w:hAnsi="Times New Roman" w:cs="Times New Roman"/>
          <w:kern w:val="2"/>
          <w:sz w:val="24"/>
          <w14:ligatures w14:val="standardContextual"/>
        </w:rPr>
        <w:t xml:space="preserve">). Logaritamske transformacije se tipično koriste za stabilizaciju varijance podataka te smanjivanje utjecaja ekstremnih vrijednosti na rezultate. Provodi se računanjem prirodnog logaritma apsolutne vrijednosti zavisne varijable, nakon čega se rezultatu pridruži predznak originalne vrijednosti. </w:t>
      </w:r>
    </w:p>
    <w:p w14:paraId="512A7D8B" w14:textId="2CEA10AB" w:rsidR="000D6CDE" w:rsidRDefault="000D6CDE" w:rsidP="00F908AB">
      <w:pPr>
        <w:spacing w:line="360" w:lineRule="auto"/>
        <w:jc w:val="both"/>
        <w:rPr>
          <w:rFonts w:ascii="Times New Roman" w:hAnsi="Times New Roman" w:cs="Times New Roman"/>
          <w:kern w:val="2"/>
          <w:sz w:val="24"/>
          <w14:ligatures w14:val="standardContextual"/>
        </w:rPr>
      </w:pPr>
      <w:r w:rsidRPr="000D6CDE">
        <w:rPr>
          <w:rFonts w:ascii="Times New Roman" w:hAnsi="Times New Roman" w:cs="Times New Roman"/>
          <w:kern w:val="2"/>
          <w:sz w:val="24"/>
          <w14:ligatures w14:val="standardContextual"/>
        </w:rPr>
        <w:t xml:space="preserve">Hipoteze H3 i H4 testirane su uključivanjem nekoliko nezavisnih varijabli u modele višerazinske regresijske analize. U modele je uključena godina promatranja radi procjene longitudinalnog trenda pokazatelja te dihotomna varijabla statusa poduzeća (prije ili nakon preuzimanja) za testiranje H3, odnosno tipa poduzeća (preuzimatelj ili nepreuzimatelj) za testiranje H4. Dodatno je testiran interakcijski učinak godine i statusa poduzeća (H3), odnosno godine i tipa poduzeća (H4). U slučaju statistički značajnog interakcijskog učinka provedena je analiza jednostavnih nagiba (engl. </w:t>
      </w:r>
      <w:r w:rsidRPr="009A5A2A">
        <w:rPr>
          <w:rFonts w:ascii="Times New Roman" w:hAnsi="Times New Roman" w:cs="Times New Roman"/>
          <w:i/>
          <w:kern w:val="2"/>
          <w:sz w:val="24"/>
          <w14:ligatures w14:val="standardContextual"/>
        </w:rPr>
        <w:t>simple slopes</w:t>
      </w:r>
      <w:r w:rsidRPr="000D6CDE">
        <w:rPr>
          <w:rFonts w:ascii="Times New Roman" w:hAnsi="Times New Roman" w:cs="Times New Roman"/>
          <w:kern w:val="2"/>
          <w:sz w:val="24"/>
          <w14:ligatures w14:val="standardContextual"/>
        </w:rPr>
        <w:t>) radi procjene vremenskih trendova na pojedinim razinama druge varijable. U svaki je model kao kontrolna varijabla uključena i početna vrijednost promatranog pokazatelja kako bi se kontrolirale početne razlike među poduzećima.</w:t>
      </w:r>
    </w:p>
    <w:p w14:paraId="1F87A949" w14:textId="43C3FF6B"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Pored regresijskih koeficijenata uz model su prikazani i koeficijenti marginalni i kondicionalni R</w:t>
      </w:r>
      <w:r w:rsidRPr="00BE5472">
        <w:rPr>
          <w:rFonts w:ascii="Times New Roman" w:hAnsi="Times New Roman" w:cs="Times New Roman"/>
          <w:kern w:val="2"/>
          <w:sz w:val="24"/>
          <w:vertAlign w:val="superscript"/>
          <w14:ligatures w14:val="standardContextual"/>
        </w:rPr>
        <w:t>2</w:t>
      </w:r>
      <w:r w:rsidRPr="00BE5472">
        <w:rPr>
          <w:rFonts w:ascii="Times New Roman" w:hAnsi="Times New Roman" w:cs="Times New Roman"/>
          <w:kern w:val="2"/>
          <w:sz w:val="24"/>
          <w14:ligatures w14:val="standardContextual"/>
        </w:rPr>
        <w:t xml:space="preserve"> te intraklasni koeficijent korelacije. Marginalni R</w:t>
      </w:r>
      <w:r w:rsidRPr="00BE5472">
        <w:rPr>
          <w:rFonts w:ascii="Times New Roman" w:hAnsi="Times New Roman" w:cs="Times New Roman"/>
          <w:kern w:val="2"/>
          <w:sz w:val="24"/>
          <w:vertAlign w:val="superscript"/>
          <w14:ligatures w14:val="standardContextual"/>
        </w:rPr>
        <w:t>2</w:t>
      </w:r>
      <w:r w:rsidRPr="00BE5472">
        <w:rPr>
          <w:rFonts w:ascii="Times New Roman" w:hAnsi="Times New Roman" w:cs="Times New Roman"/>
          <w:kern w:val="2"/>
          <w:sz w:val="24"/>
          <w14:ligatures w14:val="standardContextual"/>
        </w:rPr>
        <w:t xml:space="preserve"> pokazuje proporciju varijance zavisne varijable koja je objašnjena pomoću fiksnih učinaka modela, odnosno pomoću uvrštenih </w:t>
      </w:r>
      <w:r w:rsidRPr="00BE5472">
        <w:rPr>
          <w:rFonts w:ascii="Times New Roman" w:hAnsi="Times New Roman" w:cs="Times New Roman"/>
          <w:kern w:val="2"/>
          <w:sz w:val="24"/>
          <w14:ligatures w14:val="standardContextual"/>
        </w:rPr>
        <w:lastRenderedPageBreak/>
        <w:t>nezavisnih varijabli. Kondicionalni R</w:t>
      </w:r>
      <w:r w:rsidRPr="00BE5472">
        <w:rPr>
          <w:rFonts w:ascii="Times New Roman" w:hAnsi="Times New Roman" w:cs="Times New Roman"/>
          <w:kern w:val="2"/>
          <w:sz w:val="24"/>
          <w:vertAlign w:val="superscript"/>
          <w14:ligatures w14:val="standardContextual"/>
        </w:rPr>
        <w:t>2</w:t>
      </w:r>
      <w:r w:rsidRPr="00BE5472">
        <w:rPr>
          <w:rFonts w:ascii="Times New Roman" w:hAnsi="Times New Roman" w:cs="Times New Roman"/>
          <w:kern w:val="2"/>
          <w:sz w:val="24"/>
          <w14:ligatures w14:val="standardContextual"/>
        </w:rPr>
        <w:t xml:space="preserve"> pokazuje ukupnu varijancu objašnjenu pomoću modela, uključujući fiksne i nasumične učinke. Za kraj, intraklasni koeficijent korelacije pokazuje proporciju varijance zavisne varijable koju možemo pripisati nasumičnim učincima. </w:t>
      </w:r>
    </w:p>
    <w:p w14:paraId="32762971" w14:textId="77777777" w:rsidR="00F908AB" w:rsidRPr="00BE5472" w:rsidRDefault="00F908AB" w:rsidP="00F908AB">
      <w:pPr>
        <w:spacing w:line="360" w:lineRule="auto"/>
        <w:jc w:val="both"/>
        <w:rPr>
          <w:rFonts w:ascii="Times New Roman" w:hAnsi="Times New Roman" w:cs="Times New Roman"/>
          <w:kern w:val="2"/>
          <w:sz w:val="24"/>
          <w14:ligatures w14:val="standardContextual"/>
        </w:rPr>
      </w:pPr>
    </w:p>
    <w:p w14:paraId="7A20984F" w14:textId="77777777" w:rsidR="00F908AB" w:rsidRPr="00BE5472" w:rsidRDefault="00F908AB" w:rsidP="00F908AB">
      <w:pPr>
        <w:spacing w:line="360" w:lineRule="auto"/>
        <w:jc w:val="both"/>
        <w:rPr>
          <w:rFonts w:ascii="Times New Roman" w:hAnsi="Times New Roman" w:cs="Times New Roman"/>
          <w:kern w:val="2"/>
          <w:sz w:val="24"/>
          <w14:ligatures w14:val="standardContextual"/>
        </w:rPr>
        <w:sectPr w:rsidR="00F908AB" w:rsidRPr="00BE5472" w:rsidSect="00F908AB">
          <w:headerReference w:type="even" r:id="rId66"/>
          <w:headerReference w:type="default" r:id="rId67"/>
          <w:headerReference w:type="first" r:id="rId68"/>
          <w:pgSz w:w="11909" w:h="16834" w:code="9"/>
          <w:pgMar w:top="1440" w:right="1440" w:bottom="1440" w:left="1440" w:header="720" w:footer="720" w:gutter="0"/>
          <w:cols w:space="720"/>
          <w:docGrid w:linePitch="360"/>
        </w:sectPr>
      </w:pPr>
    </w:p>
    <w:p w14:paraId="4F7FFABF" w14:textId="602D3D95" w:rsidR="00F908AB" w:rsidRPr="00BE5472" w:rsidRDefault="00F908AB" w:rsidP="00F908AB">
      <w:pPr>
        <w:rPr>
          <w:rFonts w:ascii="Times New Roman" w:hAnsi="Times New Roman" w:cs="Times New Roman"/>
          <w:bCs/>
          <w:sz w:val="24"/>
          <w:szCs w:val="24"/>
        </w:rPr>
      </w:pPr>
      <w:bookmarkStart w:id="157" w:name="_Toc182495661"/>
      <w:r w:rsidRPr="00BE5472">
        <w:rPr>
          <w:rFonts w:ascii="Times New Roman" w:hAnsi="Times New Roman" w:cs="Times New Roman"/>
          <w:bCs/>
          <w:sz w:val="24"/>
          <w:szCs w:val="24"/>
        </w:rPr>
        <w:lastRenderedPageBreak/>
        <w:t>Deskriptivni podaci</w:t>
      </w:r>
      <w:bookmarkEnd w:id="157"/>
      <w:r w:rsidRPr="00BE5472">
        <w:rPr>
          <w:rFonts w:ascii="Times New Roman" w:hAnsi="Times New Roman" w:cs="Times New Roman"/>
          <w:bCs/>
          <w:sz w:val="24"/>
          <w:szCs w:val="24"/>
        </w:rPr>
        <w:t xml:space="preserve"> </w:t>
      </w:r>
    </w:p>
    <w:p w14:paraId="7BC34886" w14:textId="2674EA90"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Prilikom provjeravanja razlika u financijskim i tržišnim pokazateljima prije i poslije procesa akvizicije proučavani su pokazatelji pet poduzeća. Ukupno je bilo 25 pokazatelja koja su opisivala razdoblje prije procesa akvizicije te 30 poslije akvizicije, a broj pokazatelja prije i poslije akvizicije prema promatranom poduzeću prikazan je u </w:t>
      </w:r>
      <w:r w:rsidR="00127A4E">
        <w:rPr>
          <w:rFonts w:ascii="Times New Roman" w:hAnsi="Times New Roman" w:cs="Times New Roman"/>
          <w:kern w:val="2"/>
          <w:sz w:val="24"/>
          <w14:ligatures w14:val="standardContextual"/>
        </w:rPr>
        <w:t>Tablici</w:t>
      </w:r>
      <w:r w:rsidR="007F67DD" w:rsidRPr="00BE5472">
        <w:rPr>
          <w:rFonts w:ascii="Times New Roman" w:hAnsi="Times New Roman" w:cs="Times New Roman"/>
          <w:kern w:val="2"/>
          <w:sz w:val="24"/>
          <w14:ligatures w14:val="standardContextual"/>
        </w:rPr>
        <w:t xml:space="preserve"> 26</w:t>
      </w:r>
      <w:r w:rsidRPr="00BE5472">
        <w:rPr>
          <w:rFonts w:ascii="Times New Roman" w:hAnsi="Times New Roman" w:cs="Times New Roman"/>
          <w:kern w:val="2"/>
          <w:sz w:val="24"/>
          <w14:ligatures w14:val="standardContextual"/>
        </w:rPr>
        <w:t>.</w:t>
      </w:r>
      <w:r w:rsidR="004A2597" w:rsidRPr="004A2597">
        <w:rPr>
          <w:rFonts w:ascii="Times New Roman" w:hAnsi="Times New Roman" w:cs="Times New Roman"/>
          <w:kern w:val="2"/>
          <w:sz w:val="24"/>
          <w14:ligatures w14:val="standardContextual"/>
        </w:rPr>
        <w:t xml:space="preserve"> </w:t>
      </w:r>
      <w:r w:rsidR="004A2597">
        <w:rPr>
          <w:rFonts w:ascii="Times New Roman" w:hAnsi="Times New Roman" w:cs="Times New Roman"/>
          <w:kern w:val="2"/>
          <w:sz w:val="24"/>
          <w14:ligatures w14:val="standardContextual"/>
        </w:rPr>
        <w:t>, u kojoj</w:t>
      </w:r>
      <w:r w:rsidR="004A2597" w:rsidRPr="00C62D47">
        <w:rPr>
          <w:rFonts w:ascii="Times New Roman" w:hAnsi="Times New Roman" w:cs="Times New Roman"/>
          <w:kern w:val="2"/>
          <w:sz w:val="24"/>
          <w14:ligatures w14:val="standardContextual"/>
        </w:rPr>
        <w:t xml:space="preserve"> f označava frekvenciju, odnosno točan broj godina promatranja prije i poslije akvizicije, dok % predstavlja postotni udio tih godina u ukupnom broju obuhvaćenih godina za sva poduzeća zajedno.</w:t>
      </w:r>
    </w:p>
    <w:p w14:paraId="0DC24667" w14:textId="687334EA" w:rsidR="00F908AB" w:rsidRPr="00E1098E" w:rsidRDefault="00E1098E" w:rsidP="00E1098E">
      <w:pPr>
        <w:pStyle w:val="Caption"/>
        <w:rPr>
          <w:rFonts w:ascii="Times New Roman" w:hAnsi="Times New Roman" w:cs="Times New Roman"/>
          <w:kern w:val="2"/>
          <w:sz w:val="24"/>
          <w:szCs w:val="24"/>
          <w14:ligatures w14:val="standardContextual"/>
        </w:rPr>
      </w:pPr>
      <w:bookmarkStart w:id="158" w:name="_Toc241865220"/>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26</w:t>
      </w:r>
      <w:r w:rsidRPr="00E1098E">
        <w:rPr>
          <w:rFonts w:ascii="Times New Roman" w:hAnsi="Times New Roman" w:cs="Times New Roman"/>
          <w:sz w:val="24"/>
          <w:szCs w:val="24"/>
        </w:rPr>
        <w:fldChar w:fldCharType="end"/>
      </w:r>
      <w:r w:rsidRPr="00E1098E">
        <w:rPr>
          <w:rFonts w:ascii="Times New Roman" w:hAnsi="Times New Roman" w:cs="Times New Roman"/>
          <w:sz w:val="24"/>
          <w:szCs w:val="24"/>
        </w:rPr>
        <w:t>:</w:t>
      </w:r>
      <w:r>
        <w:rPr>
          <w:rFonts w:ascii="Times New Roman" w:hAnsi="Times New Roman" w:cs="Times New Roman"/>
          <w:sz w:val="24"/>
          <w:szCs w:val="24"/>
        </w:rPr>
        <w:t xml:space="preserve"> </w:t>
      </w:r>
      <w:r w:rsidR="00F908AB" w:rsidRPr="00E1098E">
        <w:rPr>
          <w:rFonts w:ascii="Times New Roman" w:hAnsi="Times New Roman" w:cs="Times New Roman"/>
          <w:kern w:val="2"/>
          <w:sz w:val="24"/>
          <w:szCs w:val="24"/>
          <w14:ligatures w14:val="standardContextual"/>
        </w:rPr>
        <w:t>Prikaz broja godina prije i poslije procesa akvizicije za promatrana poduzeća</w:t>
      </w:r>
      <w:bookmarkEnd w:id="158"/>
    </w:p>
    <w:tbl>
      <w:tblPr>
        <w:tblW w:w="5000" w:type="pct"/>
        <w:tblLook w:val="04A0" w:firstRow="1" w:lastRow="0" w:firstColumn="1" w:lastColumn="0" w:noHBand="0" w:noVBand="1"/>
      </w:tblPr>
      <w:tblGrid>
        <w:gridCol w:w="4307"/>
        <w:gridCol w:w="1831"/>
        <w:gridCol w:w="1446"/>
        <w:gridCol w:w="1445"/>
      </w:tblGrid>
      <w:tr w:rsidR="00F908AB" w:rsidRPr="00BE5472" w14:paraId="5709FDDE" w14:textId="77777777" w:rsidTr="003C2F5B">
        <w:trPr>
          <w:trHeight w:val="300"/>
        </w:trPr>
        <w:tc>
          <w:tcPr>
            <w:tcW w:w="2385" w:type="pct"/>
            <w:tcBorders>
              <w:top w:val="single" w:sz="4" w:space="0" w:color="auto"/>
              <w:left w:val="nil"/>
              <w:bottom w:val="single" w:sz="4" w:space="0" w:color="auto"/>
              <w:right w:val="nil"/>
            </w:tcBorders>
            <w:noWrap/>
            <w:vAlign w:val="bottom"/>
            <w:hideMark/>
          </w:tcPr>
          <w:p w14:paraId="71138B7F"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Poduzeće</w:t>
            </w:r>
          </w:p>
        </w:tc>
        <w:tc>
          <w:tcPr>
            <w:tcW w:w="1014" w:type="pct"/>
            <w:tcBorders>
              <w:top w:val="single" w:sz="4" w:space="0" w:color="auto"/>
              <w:left w:val="nil"/>
              <w:bottom w:val="single" w:sz="4" w:space="0" w:color="auto"/>
              <w:right w:val="nil"/>
            </w:tcBorders>
            <w:noWrap/>
            <w:vAlign w:val="bottom"/>
            <w:hideMark/>
          </w:tcPr>
          <w:p w14:paraId="15DB7C2D"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Akvizicija</w:t>
            </w:r>
          </w:p>
        </w:tc>
        <w:tc>
          <w:tcPr>
            <w:tcW w:w="801" w:type="pct"/>
            <w:tcBorders>
              <w:top w:val="single" w:sz="4" w:space="0" w:color="auto"/>
              <w:left w:val="nil"/>
              <w:bottom w:val="single" w:sz="4" w:space="0" w:color="auto"/>
              <w:right w:val="nil"/>
            </w:tcBorders>
            <w:noWrap/>
            <w:vAlign w:val="bottom"/>
            <w:hideMark/>
          </w:tcPr>
          <w:p w14:paraId="203799B3"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f</w:t>
            </w:r>
          </w:p>
        </w:tc>
        <w:tc>
          <w:tcPr>
            <w:tcW w:w="801" w:type="pct"/>
            <w:tcBorders>
              <w:top w:val="single" w:sz="4" w:space="0" w:color="auto"/>
              <w:left w:val="nil"/>
              <w:bottom w:val="single" w:sz="4" w:space="0" w:color="auto"/>
              <w:right w:val="nil"/>
            </w:tcBorders>
            <w:noWrap/>
            <w:vAlign w:val="bottom"/>
            <w:hideMark/>
          </w:tcPr>
          <w:p w14:paraId="10102938"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w:t>
            </w:r>
          </w:p>
        </w:tc>
      </w:tr>
      <w:tr w:rsidR="00F908AB" w:rsidRPr="00BE5472" w14:paraId="6598E41B" w14:textId="77777777" w:rsidTr="003C2F5B">
        <w:trPr>
          <w:trHeight w:val="300"/>
        </w:trPr>
        <w:tc>
          <w:tcPr>
            <w:tcW w:w="2385" w:type="pct"/>
            <w:tcBorders>
              <w:top w:val="single" w:sz="4" w:space="0" w:color="auto"/>
              <w:left w:val="nil"/>
              <w:bottom w:val="nil"/>
              <w:right w:val="nil"/>
            </w:tcBorders>
            <w:noWrap/>
            <w:vAlign w:val="bottom"/>
            <w:hideMark/>
          </w:tcPr>
          <w:p w14:paraId="355D1427"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ADRIS GRUPA</w:t>
            </w:r>
          </w:p>
        </w:tc>
        <w:tc>
          <w:tcPr>
            <w:tcW w:w="1014" w:type="pct"/>
            <w:tcBorders>
              <w:top w:val="single" w:sz="4" w:space="0" w:color="auto"/>
              <w:left w:val="nil"/>
              <w:bottom w:val="nil"/>
              <w:right w:val="nil"/>
            </w:tcBorders>
            <w:noWrap/>
            <w:vAlign w:val="bottom"/>
            <w:hideMark/>
          </w:tcPr>
          <w:p w14:paraId="4EDAE23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801" w:type="pct"/>
            <w:tcBorders>
              <w:top w:val="single" w:sz="4" w:space="0" w:color="auto"/>
              <w:left w:val="nil"/>
              <w:bottom w:val="nil"/>
              <w:right w:val="nil"/>
            </w:tcBorders>
            <w:noWrap/>
            <w:vAlign w:val="bottom"/>
            <w:hideMark/>
          </w:tcPr>
          <w:p w14:paraId="3E259E8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c>
          <w:tcPr>
            <w:tcW w:w="801" w:type="pct"/>
            <w:tcBorders>
              <w:top w:val="single" w:sz="4" w:space="0" w:color="auto"/>
              <w:left w:val="nil"/>
              <w:bottom w:val="nil"/>
              <w:right w:val="nil"/>
            </w:tcBorders>
            <w:noWrap/>
            <w:vAlign w:val="bottom"/>
            <w:hideMark/>
          </w:tcPr>
          <w:p w14:paraId="443FFB4F"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9 %</w:t>
            </w:r>
          </w:p>
        </w:tc>
      </w:tr>
      <w:tr w:rsidR="00F908AB" w:rsidRPr="00BE5472" w14:paraId="6A36310E" w14:textId="77777777" w:rsidTr="003C2F5B">
        <w:trPr>
          <w:trHeight w:val="300"/>
        </w:trPr>
        <w:tc>
          <w:tcPr>
            <w:tcW w:w="2385" w:type="pct"/>
            <w:tcBorders>
              <w:top w:val="nil"/>
              <w:left w:val="nil"/>
              <w:bottom w:val="nil"/>
              <w:right w:val="nil"/>
            </w:tcBorders>
            <w:noWrap/>
            <w:vAlign w:val="bottom"/>
            <w:hideMark/>
          </w:tcPr>
          <w:p w14:paraId="3573DAEB"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p>
        </w:tc>
        <w:tc>
          <w:tcPr>
            <w:tcW w:w="1014" w:type="pct"/>
            <w:tcBorders>
              <w:top w:val="nil"/>
              <w:left w:val="nil"/>
              <w:bottom w:val="nil"/>
              <w:right w:val="nil"/>
            </w:tcBorders>
            <w:noWrap/>
            <w:vAlign w:val="bottom"/>
            <w:hideMark/>
          </w:tcPr>
          <w:p w14:paraId="38A22D8E"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801" w:type="pct"/>
            <w:tcBorders>
              <w:top w:val="nil"/>
              <w:left w:val="nil"/>
              <w:bottom w:val="nil"/>
              <w:right w:val="nil"/>
            </w:tcBorders>
            <w:noWrap/>
            <w:vAlign w:val="bottom"/>
            <w:hideMark/>
          </w:tcPr>
          <w:p w14:paraId="40BA85A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w:t>
            </w:r>
          </w:p>
        </w:tc>
        <w:tc>
          <w:tcPr>
            <w:tcW w:w="801" w:type="pct"/>
            <w:tcBorders>
              <w:top w:val="nil"/>
              <w:left w:val="nil"/>
              <w:bottom w:val="nil"/>
              <w:right w:val="nil"/>
            </w:tcBorders>
            <w:noWrap/>
            <w:vAlign w:val="bottom"/>
            <w:hideMark/>
          </w:tcPr>
          <w:p w14:paraId="4EA6A5DF"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11 %</w:t>
            </w:r>
          </w:p>
        </w:tc>
      </w:tr>
      <w:tr w:rsidR="00F908AB" w:rsidRPr="00BE5472" w14:paraId="5BB32DD0" w14:textId="77777777" w:rsidTr="003C2F5B">
        <w:trPr>
          <w:trHeight w:val="300"/>
        </w:trPr>
        <w:tc>
          <w:tcPr>
            <w:tcW w:w="2385" w:type="pct"/>
            <w:tcBorders>
              <w:top w:val="nil"/>
              <w:left w:val="nil"/>
              <w:bottom w:val="nil"/>
              <w:right w:val="nil"/>
            </w:tcBorders>
            <w:noWrap/>
            <w:vAlign w:val="bottom"/>
            <w:hideMark/>
          </w:tcPr>
          <w:p w14:paraId="3C04C625"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AMINESS/LAGUNA NOVIGRAD</w:t>
            </w:r>
          </w:p>
        </w:tc>
        <w:tc>
          <w:tcPr>
            <w:tcW w:w="1014" w:type="pct"/>
            <w:tcBorders>
              <w:top w:val="nil"/>
              <w:left w:val="nil"/>
              <w:bottom w:val="nil"/>
              <w:right w:val="nil"/>
            </w:tcBorders>
            <w:noWrap/>
            <w:vAlign w:val="bottom"/>
            <w:hideMark/>
          </w:tcPr>
          <w:p w14:paraId="1E324E0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801" w:type="pct"/>
            <w:tcBorders>
              <w:top w:val="nil"/>
              <w:left w:val="nil"/>
              <w:bottom w:val="nil"/>
              <w:right w:val="nil"/>
            </w:tcBorders>
            <w:noWrap/>
            <w:vAlign w:val="bottom"/>
            <w:hideMark/>
          </w:tcPr>
          <w:p w14:paraId="0AE88BE2"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c>
          <w:tcPr>
            <w:tcW w:w="801" w:type="pct"/>
            <w:tcBorders>
              <w:top w:val="nil"/>
              <w:left w:val="nil"/>
              <w:bottom w:val="nil"/>
              <w:right w:val="nil"/>
            </w:tcBorders>
            <w:noWrap/>
            <w:vAlign w:val="bottom"/>
            <w:hideMark/>
          </w:tcPr>
          <w:p w14:paraId="164B2410"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15 %</w:t>
            </w:r>
          </w:p>
        </w:tc>
      </w:tr>
      <w:tr w:rsidR="00F908AB" w:rsidRPr="00BE5472" w14:paraId="64970F01" w14:textId="77777777" w:rsidTr="003C2F5B">
        <w:trPr>
          <w:trHeight w:val="300"/>
        </w:trPr>
        <w:tc>
          <w:tcPr>
            <w:tcW w:w="2385" w:type="pct"/>
            <w:tcBorders>
              <w:top w:val="nil"/>
              <w:left w:val="nil"/>
              <w:bottom w:val="nil"/>
              <w:right w:val="nil"/>
            </w:tcBorders>
            <w:noWrap/>
            <w:vAlign w:val="bottom"/>
            <w:hideMark/>
          </w:tcPr>
          <w:p w14:paraId="03F160A7"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p>
        </w:tc>
        <w:tc>
          <w:tcPr>
            <w:tcW w:w="1014" w:type="pct"/>
            <w:tcBorders>
              <w:top w:val="nil"/>
              <w:left w:val="nil"/>
              <w:bottom w:val="nil"/>
              <w:right w:val="nil"/>
            </w:tcBorders>
            <w:noWrap/>
            <w:vAlign w:val="bottom"/>
            <w:hideMark/>
          </w:tcPr>
          <w:p w14:paraId="5E15A335"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801" w:type="pct"/>
            <w:tcBorders>
              <w:top w:val="nil"/>
              <w:left w:val="nil"/>
              <w:bottom w:val="nil"/>
              <w:right w:val="nil"/>
            </w:tcBorders>
            <w:noWrap/>
            <w:vAlign w:val="bottom"/>
            <w:hideMark/>
          </w:tcPr>
          <w:p w14:paraId="7F231F76"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w:t>
            </w:r>
          </w:p>
        </w:tc>
        <w:tc>
          <w:tcPr>
            <w:tcW w:w="801" w:type="pct"/>
            <w:tcBorders>
              <w:top w:val="nil"/>
              <w:left w:val="nil"/>
              <w:bottom w:val="nil"/>
              <w:right w:val="nil"/>
            </w:tcBorders>
            <w:noWrap/>
            <w:vAlign w:val="bottom"/>
            <w:hideMark/>
          </w:tcPr>
          <w:p w14:paraId="017AF1B3"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5 %</w:t>
            </w:r>
          </w:p>
        </w:tc>
      </w:tr>
      <w:tr w:rsidR="00F908AB" w:rsidRPr="00BE5472" w14:paraId="72DE0011" w14:textId="77777777" w:rsidTr="003C2F5B">
        <w:trPr>
          <w:trHeight w:val="300"/>
        </w:trPr>
        <w:tc>
          <w:tcPr>
            <w:tcW w:w="2385" w:type="pct"/>
            <w:tcBorders>
              <w:top w:val="nil"/>
              <w:left w:val="nil"/>
              <w:bottom w:val="nil"/>
              <w:right w:val="nil"/>
            </w:tcBorders>
            <w:noWrap/>
            <w:vAlign w:val="bottom"/>
            <w:hideMark/>
          </w:tcPr>
          <w:p w14:paraId="1227954D"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MAISTRA/ADRIS GRUPA</w:t>
            </w:r>
          </w:p>
        </w:tc>
        <w:tc>
          <w:tcPr>
            <w:tcW w:w="1014" w:type="pct"/>
            <w:tcBorders>
              <w:top w:val="nil"/>
              <w:left w:val="nil"/>
              <w:bottom w:val="nil"/>
              <w:right w:val="nil"/>
            </w:tcBorders>
            <w:noWrap/>
            <w:vAlign w:val="bottom"/>
            <w:hideMark/>
          </w:tcPr>
          <w:p w14:paraId="13975430"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801" w:type="pct"/>
            <w:tcBorders>
              <w:top w:val="nil"/>
              <w:left w:val="nil"/>
              <w:bottom w:val="nil"/>
              <w:right w:val="nil"/>
            </w:tcBorders>
            <w:noWrap/>
            <w:vAlign w:val="bottom"/>
            <w:hideMark/>
          </w:tcPr>
          <w:p w14:paraId="2F85652B"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w:t>
            </w:r>
          </w:p>
        </w:tc>
        <w:tc>
          <w:tcPr>
            <w:tcW w:w="801" w:type="pct"/>
            <w:tcBorders>
              <w:top w:val="nil"/>
              <w:left w:val="nil"/>
              <w:bottom w:val="nil"/>
              <w:right w:val="nil"/>
            </w:tcBorders>
            <w:noWrap/>
            <w:vAlign w:val="bottom"/>
            <w:hideMark/>
          </w:tcPr>
          <w:p w14:paraId="2B86F126"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11 %</w:t>
            </w:r>
          </w:p>
        </w:tc>
      </w:tr>
      <w:tr w:rsidR="00F908AB" w:rsidRPr="00BE5472" w14:paraId="37CAD8DA" w14:textId="77777777" w:rsidTr="003C2F5B">
        <w:trPr>
          <w:trHeight w:val="300"/>
        </w:trPr>
        <w:tc>
          <w:tcPr>
            <w:tcW w:w="2385" w:type="pct"/>
            <w:tcBorders>
              <w:top w:val="nil"/>
              <w:left w:val="nil"/>
              <w:bottom w:val="nil"/>
              <w:right w:val="nil"/>
            </w:tcBorders>
            <w:noWrap/>
            <w:vAlign w:val="bottom"/>
            <w:hideMark/>
          </w:tcPr>
          <w:p w14:paraId="49B56E08"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p>
        </w:tc>
        <w:tc>
          <w:tcPr>
            <w:tcW w:w="1014" w:type="pct"/>
            <w:tcBorders>
              <w:top w:val="nil"/>
              <w:left w:val="nil"/>
              <w:bottom w:val="nil"/>
              <w:right w:val="nil"/>
            </w:tcBorders>
            <w:noWrap/>
            <w:vAlign w:val="bottom"/>
            <w:hideMark/>
          </w:tcPr>
          <w:p w14:paraId="504B0B70"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801" w:type="pct"/>
            <w:tcBorders>
              <w:top w:val="nil"/>
              <w:left w:val="nil"/>
              <w:bottom w:val="nil"/>
              <w:right w:val="nil"/>
            </w:tcBorders>
            <w:noWrap/>
            <w:vAlign w:val="bottom"/>
            <w:hideMark/>
          </w:tcPr>
          <w:p w14:paraId="6A029C0E"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c>
          <w:tcPr>
            <w:tcW w:w="801" w:type="pct"/>
            <w:tcBorders>
              <w:top w:val="nil"/>
              <w:left w:val="nil"/>
              <w:bottom w:val="nil"/>
              <w:right w:val="nil"/>
            </w:tcBorders>
            <w:noWrap/>
            <w:vAlign w:val="bottom"/>
            <w:hideMark/>
          </w:tcPr>
          <w:p w14:paraId="0129B329"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9 %</w:t>
            </w:r>
          </w:p>
        </w:tc>
      </w:tr>
      <w:tr w:rsidR="00F908AB" w:rsidRPr="00BE5472" w14:paraId="3DECFFE1" w14:textId="77777777" w:rsidTr="003C2F5B">
        <w:trPr>
          <w:trHeight w:val="300"/>
        </w:trPr>
        <w:tc>
          <w:tcPr>
            <w:tcW w:w="2385" w:type="pct"/>
            <w:tcBorders>
              <w:top w:val="nil"/>
              <w:left w:val="nil"/>
              <w:bottom w:val="nil"/>
              <w:right w:val="nil"/>
            </w:tcBorders>
            <w:noWrap/>
            <w:vAlign w:val="bottom"/>
            <w:hideMark/>
          </w:tcPr>
          <w:p w14:paraId="7BEDFC6F"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PLAVA LAGUNA</w:t>
            </w:r>
          </w:p>
        </w:tc>
        <w:tc>
          <w:tcPr>
            <w:tcW w:w="1014" w:type="pct"/>
            <w:tcBorders>
              <w:top w:val="nil"/>
              <w:left w:val="nil"/>
              <w:bottom w:val="nil"/>
              <w:right w:val="nil"/>
            </w:tcBorders>
            <w:noWrap/>
            <w:vAlign w:val="bottom"/>
            <w:hideMark/>
          </w:tcPr>
          <w:p w14:paraId="73FA2070"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801" w:type="pct"/>
            <w:tcBorders>
              <w:top w:val="nil"/>
              <w:left w:val="nil"/>
              <w:bottom w:val="nil"/>
              <w:right w:val="nil"/>
            </w:tcBorders>
            <w:noWrap/>
            <w:vAlign w:val="bottom"/>
            <w:hideMark/>
          </w:tcPr>
          <w:p w14:paraId="5DBB5B1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w:t>
            </w:r>
          </w:p>
        </w:tc>
        <w:tc>
          <w:tcPr>
            <w:tcW w:w="801" w:type="pct"/>
            <w:tcBorders>
              <w:top w:val="nil"/>
              <w:left w:val="nil"/>
              <w:bottom w:val="nil"/>
              <w:right w:val="nil"/>
            </w:tcBorders>
            <w:noWrap/>
            <w:vAlign w:val="bottom"/>
            <w:hideMark/>
          </w:tcPr>
          <w:p w14:paraId="77A2DC5E"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4 %</w:t>
            </w:r>
          </w:p>
        </w:tc>
      </w:tr>
      <w:tr w:rsidR="00F908AB" w:rsidRPr="00BE5472" w14:paraId="6AC04926" w14:textId="77777777" w:rsidTr="003C2F5B">
        <w:trPr>
          <w:trHeight w:val="300"/>
        </w:trPr>
        <w:tc>
          <w:tcPr>
            <w:tcW w:w="2385" w:type="pct"/>
            <w:tcBorders>
              <w:top w:val="nil"/>
              <w:left w:val="nil"/>
              <w:right w:val="nil"/>
            </w:tcBorders>
            <w:noWrap/>
            <w:vAlign w:val="bottom"/>
            <w:hideMark/>
          </w:tcPr>
          <w:p w14:paraId="48212CC9"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p>
        </w:tc>
        <w:tc>
          <w:tcPr>
            <w:tcW w:w="1014" w:type="pct"/>
            <w:tcBorders>
              <w:top w:val="nil"/>
              <w:left w:val="nil"/>
              <w:right w:val="nil"/>
            </w:tcBorders>
            <w:noWrap/>
            <w:vAlign w:val="bottom"/>
            <w:hideMark/>
          </w:tcPr>
          <w:p w14:paraId="3BBFF0E3"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801" w:type="pct"/>
            <w:tcBorders>
              <w:top w:val="nil"/>
              <w:left w:val="nil"/>
              <w:right w:val="nil"/>
            </w:tcBorders>
            <w:noWrap/>
            <w:vAlign w:val="bottom"/>
            <w:hideMark/>
          </w:tcPr>
          <w:p w14:paraId="4D891473"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w:t>
            </w:r>
          </w:p>
        </w:tc>
        <w:tc>
          <w:tcPr>
            <w:tcW w:w="801" w:type="pct"/>
            <w:tcBorders>
              <w:top w:val="nil"/>
              <w:left w:val="nil"/>
              <w:right w:val="nil"/>
            </w:tcBorders>
            <w:noWrap/>
            <w:vAlign w:val="bottom"/>
            <w:hideMark/>
          </w:tcPr>
          <w:p w14:paraId="1EE24D68"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16 %</w:t>
            </w:r>
          </w:p>
        </w:tc>
      </w:tr>
      <w:tr w:rsidR="00F908AB" w:rsidRPr="00BE5472" w14:paraId="1FE71943" w14:textId="77777777" w:rsidTr="003C2F5B">
        <w:trPr>
          <w:trHeight w:val="300"/>
        </w:trPr>
        <w:tc>
          <w:tcPr>
            <w:tcW w:w="2385" w:type="pct"/>
            <w:tcBorders>
              <w:top w:val="nil"/>
              <w:left w:val="nil"/>
              <w:bottom w:val="nil"/>
              <w:right w:val="nil"/>
            </w:tcBorders>
            <w:noWrap/>
            <w:vAlign w:val="bottom"/>
            <w:hideMark/>
          </w:tcPr>
          <w:p w14:paraId="6DC323BF" w14:textId="77777777" w:rsidR="00F908AB" w:rsidRPr="00BE5472" w:rsidRDefault="00F908AB"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VALAMAR RIVIERA</w:t>
            </w:r>
          </w:p>
        </w:tc>
        <w:tc>
          <w:tcPr>
            <w:tcW w:w="1014" w:type="pct"/>
            <w:tcBorders>
              <w:top w:val="nil"/>
              <w:left w:val="nil"/>
              <w:bottom w:val="nil"/>
              <w:right w:val="nil"/>
            </w:tcBorders>
            <w:noWrap/>
            <w:vAlign w:val="bottom"/>
            <w:hideMark/>
          </w:tcPr>
          <w:p w14:paraId="723F5AA2"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801" w:type="pct"/>
            <w:tcBorders>
              <w:top w:val="nil"/>
              <w:left w:val="nil"/>
              <w:bottom w:val="nil"/>
              <w:right w:val="nil"/>
            </w:tcBorders>
            <w:noWrap/>
            <w:vAlign w:val="bottom"/>
            <w:hideMark/>
          </w:tcPr>
          <w:p w14:paraId="0384E99F"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w:t>
            </w:r>
          </w:p>
        </w:tc>
        <w:tc>
          <w:tcPr>
            <w:tcW w:w="801" w:type="pct"/>
            <w:tcBorders>
              <w:top w:val="nil"/>
              <w:left w:val="nil"/>
              <w:bottom w:val="nil"/>
              <w:right w:val="nil"/>
            </w:tcBorders>
            <w:noWrap/>
            <w:vAlign w:val="bottom"/>
            <w:hideMark/>
          </w:tcPr>
          <w:p w14:paraId="1D033A7A"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7 %</w:t>
            </w:r>
          </w:p>
        </w:tc>
      </w:tr>
      <w:tr w:rsidR="00F908AB" w:rsidRPr="00BE5472" w14:paraId="62B85B54" w14:textId="77777777" w:rsidTr="003C2F5B">
        <w:trPr>
          <w:trHeight w:val="300"/>
        </w:trPr>
        <w:tc>
          <w:tcPr>
            <w:tcW w:w="2385" w:type="pct"/>
            <w:tcBorders>
              <w:top w:val="nil"/>
              <w:left w:val="nil"/>
              <w:bottom w:val="single" w:sz="4" w:space="0" w:color="auto"/>
              <w:right w:val="nil"/>
            </w:tcBorders>
            <w:noWrap/>
            <w:vAlign w:val="bottom"/>
            <w:hideMark/>
          </w:tcPr>
          <w:p w14:paraId="7FC0E8FE"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p>
        </w:tc>
        <w:tc>
          <w:tcPr>
            <w:tcW w:w="1014" w:type="pct"/>
            <w:tcBorders>
              <w:top w:val="nil"/>
              <w:left w:val="nil"/>
              <w:bottom w:val="single" w:sz="4" w:space="0" w:color="auto"/>
              <w:right w:val="nil"/>
            </w:tcBorders>
            <w:noWrap/>
            <w:vAlign w:val="bottom"/>
            <w:hideMark/>
          </w:tcPr>
          <w:p w14:paraId="26B74752"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801" w:type="pct"/>
            <w:tcBorders>
              <w:top w:val="nil"/>
              <w:left w:val="nil"/>
              <w:bottom w:val="single" w:sz="4" w:space="0" w:color="auto"/>
              <w:right w:val="nil"/>
            </w:tcBorders>
            <w:noWrap/>
            <w:vAlign w:val="bottom"/>
            <w:hideMark/>
          </w:tcPr>
          <w:p w14:paraId="6037CFC2"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w:t>
            </w:r>
          </w:p>
        </w:tc>
        <w:tc>
          <w:tcPr>
            <w:tcW w:w="801" w:type="pct"/>
            <w:tcBorders>
              <w:top w:val="nil"/>
              <w:left w:val="nil"/>
              <w:bottom w:val="single" w:sz="4" w:space="0" w:color="auto"/>
              <w:right w:val="nil"/>
            </w:tcBorders>
            <w:noWrap/>
            <w:vAlign w:val="bottom"/>
            <w:hideMark/>
          </w:tcPr>
          <w:p w14:paraId="582A1D71" w14:textId="77777777" w:rsidR="00F908AB" w:rsidRPr="00BE5472" w:rsidRDefault="00F908AB"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13 %</w:t>
            </w:r>
          </w:p>
        </w:tc>
      </w:tr>
    </w:tbl>
    <w:p w14:paraId="55949934"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5A0C0DA3" w14:textId="72A8ADB7" w:rsidR="00AE77F2" w:rsidRDefault="00F908AB" w:rsidP="00F908AB">
      <w:pPr>
        <w:spacing w:line="360" w:lineRule="auto"/>
        <w:jc w:val="both"/>
        <w:rPr>
          <w:rFonts w:ascii="Times New Roman" w:hAnsi="Times New Roman" w:cs="Times New Roman"/>
          <w:kern w:val="2"/>
          <w:sz w:val="24"/>
          <w14:ligatures w14:val="standardContextual"/>
        </w:rPr>
        <w:sectPr w:rsidR="00AE77F2" w:rsidSect="00AE77F2">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 xml:space="preserve">Nadalje, 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F05DB9" w:rsidRPr="00BE5472">
        <w:rPr>
          <w:rFonts w:ascii="Times New Roman" w:hAnsi="Times New Roman" w:cs="Times New Roman"/>
          <w:kern w:val="2"/>
          <w:sz w:val="24"/>
          <w14:ligatures w14:val="standardContextual"/>
        </w:rPr>
        <w:t>27</w:t>
      </w:r>
      <w:r w:rsidRPr="00BE5472">
        <w:rPr>
          <w:rFonts w:ascii="Times New Roman" w:hAnsi="Times New Roman" w:cs="Times New Roman"/>
          <w:kern w:val="2"/>
          <w:sz w:val="24"/>
          <w14:ligatures w14:val="standardContextual"/>
        </w:rPr>
        <w:t>. prikazani su deskriptivni parametri aritmetička sredina (M), standardna devijacija (SD), minimalna vrijednost (min) i maksimalna vrijednost (maks) za financijske i tržišne pokazatelje</w:t>
      </w:r>
      <w:r w:rsidR="008D546D" w:rsidRPr="00BE5472">
        <w:rPr>
          <w:rFonts w:ascii="Times New Roman" w:hAnsi="Times New Roman" w:cs="Times New Roman"/>
          <w:kern w:val="2"/>
          <w:sz w:val="24"/>
          <w14:ligatures w14:val="standardContextual"/>
        </w:rPr>
        <w:t>,</w:t>
      </w:r>
      <w:r w:rsidRPr="00BE5472">
        <w:rPr>
          <w:rFonts w:ascii="Times New Roman" w:hAnsi="Times New Roman" w:cs="Times New Roman"/>
          <w:kern w:val="2"/>
          <w:sz w:val="24"/>
          <w14:ligatures w14:val="standardContextual"/>
        </w:rPr>
        <w:t xml:space="preserve"> i to za cijeli uzorak, te odvojeno za razdoblje prije i poslije procesa akvizicije</w:t>
      </w:r>
      <w:r w:rsidR="00EF561D">
        <w:rPr>
          <w:rFonts w:ascii="Times New Roman" w:hAnsi="Times New Roman" w:cs="Times New Roman"/>
          <w:kern w:val="2"/>
          <w:sz w:val="24"/>
          <w14:ligatures w14:val="standardContextual"/>
        </w:rPr>
        <w:t>.</w:t>
      </w:r>
    </w:p>
    <w:p w14:paraId="40C64B1D" w14:textId="19959165" w:rsidR="00F908AB" w:rsidRPr="00BE5472" w:rsidRDefault="00F908AB"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lastRenderedPageBreak/>
        <w:t xml:space="preserve">Pokazatelji EBITDA, tržišna vrijednost dionica i MVA su prije provođenja daljnjih analiza transformirani na logaritamsku skalu te su deskriptivni parametri prikazani za obje verzije pokazatelja. </w:t>
      </w:r>
    </w:p>
    <w:p w14:paraId="2CB854E8" w14:textId="10A88421" w:rsidR="00F908AB" w:rsidRPr="00E1098E" w:rsidRDefault="00E1098E" w:rsidP="00E1098E">
      <w:pPr>
        <w:pStyle w:val="Caption"/>
        <w:rPr>
          <w:rFonts w:ascii="Times New Roman" w:hAnsi="Times New Roman" w:cs="Times New Roman"/>
          <w:kern w:val="2"/>
          <w:sz w:val="24"/>
          <w:szCs w:val="24"/>
          <w14:ligatures w14:val="standardContextual"/>
        </w:rPr>
      </w:pPr>
      <w:bookmarkStart w:id="159" w:name="_Toc24186522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27</w:t>
      </w:r>
      <w:r w:rsidRPr="00E1098E">
        <w:rPr>
          <w:rFonts w:ascii="Times New Roman" w:hAnsi="Times New Roman" w:cs="Times New Roman"/>
          <w:sz w:val="24"/>
          <w:szCs w:val="24"/>
        </w:rPr>
        <w:fldChar w:fldCharType="end"/>
      </w:r>
      <w:r w:rsidRPr="00E1098E">
        <w:rPr>
          <w:rFonts w:ascii="Times New Roman" w:hAnsi="Times New Roman" w:cs="Times New Roman"/>
          <w:sz w:val="24"/>
          <w:szCs w:val="24"/>
        </w:rPr>
        <w:t xml:space="preserve">: </w:t>
      </w:r>
      <w:r w:rsidR="00F908AB" w:rsidRPr="00E1098E">
        <w:rPr>
          <w:rFonts w:ascii="Times New Roman" w:hAnsi="Times New Roman" w:cs="Times New Roman"/>
          <w:kern w:val="2"/>
          <w:sz w:val="24"/>
          <w:szCs w:val="24"/>
          <w14:ligatures w14:val="standardContextual"/>
        </w:rPr>
        <w:t>Deskriptivni parametri financijskih i tržišnih pokazatelja prije i poslije procesa akvizicije</w:t>
      </w:r>
      <w:bookmarkEnd w:id="159"/>
    </w:p>
    <w:tbl>
      <w:tblPr>
        <w:tblW w:w="5000" w:type="pct"/>
        <w:tblLook w:val="04A0" w:firstRow="1" w:lastRow="0" w:firstColumn="1" w:lastColumn="0" w:noHBand="0" w:noVBand="1"/>
      </w:tblPr>
      <w:tblGrid>
        <w:gridCol w:w="3964"/>
        <w:gridCol w:w="1398"/>
        <w:gridCol w:w="569"/>
        <w:gridCol w:w="1981"/>
        <w:gridCol w:w="1981"/>
        <w:gridCol w:w="2082"/>
        <w:gridCol w:w="1979"/>
      </w:tblGrid>
      <w:tr w:rsidR="00F908AB" w:rsidRPr="00BE5472" w14:paraId="2150F961" w14:textId="77777777" w:rsidTr="003C2F5B">
        <w:trPr>
          <w:trHeight w:val="300"/>
        </w:trPr>
        <w:tc>
          <w:tcPr>
            <w:tcW w:w="1420" w:type="pct"/>
            <w:tcBorders>
              <w:top w:val="single" w:sz="4" w:space="0" w:color="auto"/>
              <w:left w:val="nil"/>
              <w:bottom w:val="single" w:sz="4" w:space="0" w:color="auto"/>
              <w:right w:val="nil"/>
            </w:tcBorders>
            <w:noWrap/>
            <w:vAlign w:val="bottom"/>
            <w:hideMark/>
          </w:tcPr>
          <w:p w14:paraId="369E1C20" w14:textId="77777777" w:rsidR="00F908AB" w:rsidRPr="00BE5472" w:rsidRDefault="00F908AB" w:rsidP="003C2F5B">
            <w:pPr>
              <w:spacing w:after="0" w:line="240" w:lineRule="auto"/>
              <w:rPr>
                <w:rFonts w:ascii="Times New Roman" w:eastAsia="Times New Roman" w:hAnsi="Times New Roman" w:cs="Times New Roman"/>
                <w:sz w:val="24"/>
                <w:szCs w:val="24"/>
                <w:lang w:eastAsia="hr-HR"/>
              </w:rPr>
            </w:pPr>
          </w:p>
        </w:tc>
        <w:tc>
          <w:tcPr>
            <w:tcW w:w="500" w:type="pct"/>
            <w:tcBorders>
              <w:top w:val="single" w:sz="4" w:space="0" w:color="auto"/>
              <w:left w:val="nil"/>
              <w:bottom w:val="single" w:sz="4" w:space="0" w:color="auto"/>
              <w:right w:val="nil"/>
            </w:tcBorders>
            <w:noWrap/>
            <w:vAlign w:val="bottom"/>
            <w:hideMark/>
          </w:tcPr>
          <w:p w14:paraId="6AA9DB47" w14:textId="77777777" w:rsidR="00F908AB" w:rsidRPr="00BE5472" w:rsidRDefault="00F908AB" w:rsidP="003C2F5B">
            <w:pPr>
              <w:spacing w:after="0" w:line="240" w:lineRule="auto"/>
              <w:rPr>
                <w:rFonts w:ascii="Times New Roman" w:eastAsia="Times New Roman" w:hAnsi="Times New Roman" w:cs="Times New Roman"/>
                <w:sz w:val="24"/>
                <w:szCs w:val="24"/>
                <w:lang w:eastAsia="hr-HR"/>
              </w:rPr>
            </w:pPr>
            <w:r w:rsidRPr="00BE5472">
              <w:rPr>
                <w:rFonts w:ascii="Times New Roman" w:eastAsia="Times New Roman" w:hAnsi="Times New Roman" w:cs="Times New Roman"/>
                <w:sz w:val="24"/>
                <w:szCs w:val="24"/>
                <w:lang w:eastAsia="hr-HR"/>
              </w:rPr>
              <w:t>Akvizicija</w:t>
            </w:r>
          </w:p>
        </w:tc>
        <w:tc>
          <w:tcPr>
            <w:tcW w:w="204" w:type="pct"/>
            <w:tcBorders>
              <w:top w:val="single" w:sz="4" w:space="0" w:color="auto"/>
              <w:left w:val="nil"/>
              <w:bottom w:val="single" w:sz="4" w:space="0" w:color="auto"/>
              <w:right w:val="nil"/>
            </w:tcBorders>
            <w:noWrap/>
            <w:vAlign w:val="bottom"/>
            <w:hideMark/>
          </w:tcPr>
          <w:p w14:paraId="114E22F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710" w:type="pct"/>
            <w:tcBorders>
              <w:top w:val="single" w:sz="4" w:space="0" w:color="auto"/>
              <w:left w:val="nil"/>
              <w:bottom w:val="single" w:sz="4" w:space="0" w:color="auto"/>
              <w:right w:val="nil"/>
            </w:tcBorders>
            <w:noWrap/>
            <w:vAlign w:val="bottom"/>
            <w:hideMark/>
          </w:tcPr>
          <w:p w14:paraId="7DA00DF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w:t>
            </w:r>
          </w:p>
        </w:tc>
        <w:tc>
          <w:tcPr>
            <w:tcW w:w="710" w:type="pct"/>
            <w:tcBorders>
              <w:top w:val="single" w:sz="4" w:space="0" w:color="auto"/>
              <w:left w:val="nil"/>
              <w:bottom w:val="single" w:sz="4" w:space="0" w:color="auto"/>
              <w:right w:val="nil"/>
            </w:tcBorders>
            <w:noWrap/>
            <w:vAlign w:val="bottom"/>
            <w:hideMark/>
          </w:tcPr>
          <w:p w14:paraId="0045557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SD</w:t>
            </w:r>
          </w:p>
        </w:tc>
        <w:tc>
          <w:tcPr>
            <w:tcW w:w="746" w:type="pct"/>
            <w:tcBorders>
              <w:top w:val="single" w:sz="4" w:space="0" w:color="auto"/>
              <w:left w:val="nil"/>
              <w:bottom w:val="single" w:sz="4" w:space="0" w:color="auto"/>
              <w:right w:val="nil"/>
            </w:tcBorders>
            <w:noWrap/>
            <w:vAlign w:val="bottom"/>
            <w:hideMark/>
          </w:tcPr>
          <w:p w14:paraId="7EED674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Min</w:t>
            </w:r>
          </w:p>
        </w:tc>
        <w:tc>
          <w:tcPr>
            <w:tcW w:w="710" w:type="pct"/>
            <w:tcBorders>
              <w:top w:val="single" w:sz="4" w:space="0" w:color="auto"/>
              <w:left w:val="nil"/>
              <w:bottom w:val="single" w:sz="4" w:space="0" w:color="auto"/>
              <w:right w:val="nil"/>
            </w:tcBorders>
            <w:noWrap/>
            <w:vAlign w:val="bottom"/>
            <w:hideMark/>
          </w:tcPr>
          <w:p w14:paraId="749F60C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Maks</w:t>
            </w:r>
          </w:p>
        </w:tc>
      </w:tr>
      <w:tr w:rsidR="00F908AB" w:rsidRPr="00BE5472" w14:paraId="39E607F7" w14:textId="77777777" w:rsidTr="003C2F5B">
        <w:trPr>
          <w:trHeight w:val="300"/>
        </w:trPr>
        <w:tc>
          <w:tcPr>
            <w:tcW w:w="1420" w:type="pct"/>
            <w:tcBorders>
              <w:top w:val="single" w:sz="4" w:space="0" w:color="auto"/>
              <w:left w:val="nil"/>
              <w:bottom w:val="nil"/>
              <w:right w:val="nil"/>
            </w:tcBorders>
            <w:noWrap/>
            <w:vAlign w:val="bottom"/>
            <w:hideMark/>
          </w:tcPr>
          <w:p w14:paraId="3A7BC98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EBITDA</w:t>
            </w:r>
          </w:p>
        </w:tc>
        <w:tc>
          <w:tcPr>
            <w:tcW w:w="500" w:type="pct"/>
            <w:tcBorders>
              <w:top w:val="single" w:sz="4" w:space="0" w:color="auto"/>
              <w:left w:val="nil"/>
              <w:bottom w:val="nil"/>
              <w:right w:val="nil"/>
            </w:tcBorders>
            <w:noWrap/>
            <w:vAlign w:val="bottom"/>
            <w:hideMark/>
          </w:tcPr>
          <w:p w14:paraId="39EFA207"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single" w:sz="4" w:space="0" w:color="auto"/>
              <w:left w:val="nil"/>
              <w:bottom w:val="nil"/>
              <w:right w:val="nil"/>
            </w:tcBorders>
            <w:noWrap/>
            <w:vAlign w:val="bottom"/>
            <w:hideMark/>
          </w:tcPr>
          <w:p w14:paraId="3927B9C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single" w:sz="4" w:space="0" w:color="auto"/>
              <w:left w:val="nil"/>
              <w:bottom w:val="nil"/>
              <w:right w:val="nil"/>
            </w:tcBorders>
            <w:noWrap/>
            <w:vAlign w:val="bottom"/>
            <w:hideMark/>
          </w:tcPr>
          <w:p w14:paraId="440F4CA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565,498,028</w:t>
            </w:r>
          </w:p>
        </w:tc>
        <w:tc>
          <w:tcPr>
            <w:tcW w:w="710" w:type="pct"/>
            <w:tcBorders>
              <w:top w:val="single" w:sz="4" w:space="0" w:color="auto"/>
              <w:left w:val="nil"/>
              <w:bottom w:val="nil"/>
              <w:right w:val="nil"/>
            </w:tcBorders>
            <w:noWrap/>
            <w:vAlign w:val="bottom"/>
            <w:hideMark/>
          </w:tcPr>
          <w:p w14:paraId="19FC8D7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723,257,229</w:t>
            </w:r>
          </w:p>
        </w:tc>
        <w:tc>
          <w:tcPr>
            <w:tcW w:w="746" w:type="pct"/>
            <w:tcBorders>
              <w:top w:val="single" w:sz="4" w:space="0" w:color="auto"/>
              <w:left w:val="nil"/>
              <w:bottom w:val="nil"/>
              <w:right w:val="nil"/>
            </w:tcBorders>
            <w:noWrap/>
            <w:vAlign w:val="bottom"/>
            <w:hideMark/>
          </w:tcPr>
          <w:p w14:paraId="08CAFBA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4,400,336</w:t>
            </w:r>
          </w:p>
        </w:tc>
        <w:tc>
          <w:tcPr>
            <w:tcW w:w="710" w:type="pct"/>
            <w:tcBorders>
              <w:top w:val="single" w:sz="4" w:space="0" w:color="auto"/>
              <w:left w:val="nil"/>
              <w:bottom w:val="nil"/>
              <w:right w:val="nil"/>
            </w:tcBorders>
            <w:noWrap/>
            <w:vAlign w:val="bottom"/>
            <w:hideMark/>
          </w:tcPr>
          <w:p w14:paraId="6E25C43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5,041,054,756</w:t>
            </w:r>
          </w:p>
        </w:tc>
      </w:tr>
      <w:tr w:rsidR="00F908AB" w:rsidRPr="00BE5472" w14:paraId="268BFBB1" w14:textId="77777777" w:rsidTr="003C2F5B">
        <w:trPr>
          <w:trHeight w:val="300"/>
        </w:trPr>
        <w:tc>
          <w:tcPr>
            <w:tcW w:w="1420" w:type="pct"/>
            <w:tcBorders>
              <w:top w:val="nil"/>
              <w:left w:val="nil"/>
              <w:bottom w:val="nil"/>
              <w:right w:val="nil"/>
            </w:tcBorders>
            <w:noWrap/>
            <w:vAlign w:val="bottom"/>
            <w:hideMark/>
          </w:tcPr>
          <w:p w14:paraId="48CC646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43381F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270D47A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4381CB1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554,740,929</w:t>
            </w:r>
          </w:p>
        </w:tc>
        <w:tc>
          <w:tcPr>
            <w:tcW w:w="710" w:type="pct"/>
            <w:tcBorders>
              <w:top w:val="nil"/>
              <w:left w:val="nil"/>
              <w:bottom w:val="nil"/>
              <w:right w:val="nil"/>
            </w:tcBorders>
            <w:noWrap/>
            <w:vAlign w:val="bottom"/>
            <w:hideMark/>
          </w:tcPr>
          <w:p w14:paraId="65594F3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1,011,355,902</w:t>
            </w:r>
          </w:p>
        </w:tc>
        <w:tc>
          <w:tcPr>
            <w:tcW w:w="746" w:type="pct"/>
            <w:tcBorders>
              <w:top w:val="nil"/>
              <w:left w:val="nil"/>
              <w:bottom w:val="nil"/>
              <w:right w:val="nil"/>
            </w:tcBorders>
            <w:noWrap/>
            <w:vAlign w:val="bottom"/>
            <w:hideMark/>
          </w:tcPr>
          <w:p w14:paraId="2E41596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4,400,336</w:t>
            </w:r>
          </w:p>
        </w:tc>
        <w:tc>
          <w:tcPr>
            <w:tcW w:w="710" w:type="pct"/>
            <w:tcBorders>
              <w:top w:val="nil"/>
              <w:left w:val="nil"/>
              <w:bottom w:val="nil"/>
              <w:right w:val="nil"/>
            </w:tcBorders>
            <w:noWrap/>
            <w:vAlign w:val="bottom"/>
            <w:hideMark/>
          </w:tcPr>
          <w:p w14:paraId="1C0FD5D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5,041,054,756</w:t>
            </w:r>
          </w:p>
        </w:tc>
      </w:tr>
      <w:tr w:rsidR="00F908AB" w:rsidRPr="00BE5472" w14:paraId="3564DD8C" w14:textId="77777777" w:rsidTr="003C2F5B">
        <w:trPr>
          <w:trHeight w:val="300"/>
        </w:trPr>
        <w:tc>
          <w:tcPr>
            <w:tcW w:w="1420" w:type="pct"/>
            <w:tcBorders>
              <w:top w:val="nil"/>
              <w:left w:val="nil"/>
              <w:bottom w:val="nil"/>
              <w:right w:val="nil"/>
            </w:tcBorders>
            <w:noWrap/>
            <w:vAlign w:val="bottom"/>
            <w:hideMark/>
          </w:tcPr>
          <w:p w14:paraId="6343739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2DB5595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21314C6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7B4BDCA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574,462,277</w:t>
            </w:r>
          </w:p>
        </w:tc>
        <w:tc>
          <w:tcPr>
            <w:tcW w:w="710" w:type="pct"/>
            <w:tcBorders>
              <w:top w:val="nil"/>
              <w:left w:val="nil"/>
              <w:bottom w:val="nil"/>
              <w:right w:val="nil"/>
            </w:tcBorders>
            <w:noWrap/>
            <w:vAlign w:val="bottom"/>
            <w:hideMark/>
          </w:tcPr>
          <w:p w14:paraId="285E0F4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356,901,084</w:t>
            </w:r>
          </w:p>
        </w:tc>
        <w:tc>
          <w:tcPr>
            <w:tcW w:w="746" w:type="pct"/>
            <w:tcBorders>
              <w:top w:val="nil"/>
              <w:left w:val="nil"/>
              <w:bottom w:val="nil"/>
              <w:right w:val="nil"/>
            </w:tcBorders>
            <w:noWrap/>
            <w:vAlign w:val="bottom"/>
            <w:hideMark/>
          </w:tcPr>
          <w:p w14:paraId="3B7DBBD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54,820,858</w:t>
            </w:r>
          </w:p>
        </w:tc>
        <w:tc>
          <w:tcPr>
            <w:tcW w:w="710" w:type="pct"/>
            <w:tcBorders>
              <w:top w:val="nil"/>
              <w:left w:val="nil"/>
              <w:bottom w:val="nil"/>
              <w:right w:val="nil"/>
            </w:tcBorders>
            <w:noWrap/>
            <w:vAlign w:val="bottom"/>
            <w:hideMark/>
          </w:tcPr>
          <w:p w14:paraId="619BE9C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1,377,579,017</w:t>
            </w:r>
          </w:p>
        </w:tc>
      </w:tr>
      <w:tr w:rsidR="00F908AB" w:rsidRPr="00BE5472" w14:paraId="081F58BD" w14:textId="77777777" w:rsidTr="003C2F5B">
        <w:trPr>
          <w:trHeight w:val="300"/>
        </w:trPr>
        <w:tc>
          <w:tcPr>
            <w:tcW w:w="1420" w:type="pct"/>
            <w:tcBorders>
              <w:top w:val="nil"/>
              <w:left w:val="nil"/>
              <w:bottom w:val="nil"/>
              <w:right w:val="nil"/>
            </w:tcBorders>
            <w:noWrap/>
            <w:vAlign w:val="bottom"/>
            <w:hideMark/>
          </w:tcPr>
          <w:p w14:paraId="799424A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EBITDA (LOG)</w:t>
            </w:r>
          </w:p>
        </w:tc>
        <w:tc>
          <w:tcPr>
            <w:tcW w:w="500" w:type="pct"/>
            <w:tcBorders>
              <w:top w:val="nil"/>
              <w:left w:val="nil"/>
              <w:bottom w:val="nil"/>
              <w:right w:val="nil"/>
            </w:tcBorders>
            <w:noWrap/>
            <w:vAlign w:val="bottom"/>
            <w:hideMark/>
          </w:tcPr>
          <w:p w14:paraId="434F81A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5C2E7D5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7E8AAAD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8.50</w:t>
            </w:r>
          </w:p>
        </w:tc>
        <w:tc>
          <w:tcPr>
            <w:tcW w:w="710" w:type="pct"/>
            <w:tcBorders>
              <w:top w:val="nil"/>
              <w:left w:val="nil"/>
              <w:bottom w:val="nil"/>
              <w:right w:val="nil"/>
            </w:tcBorders>
            <w:noWrap/>
            <w:vAlign w:val="bottom"/>
            <w:hideMark/>
          </w:tcPr>
          <w:p w14:paraId="28C83A0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46" w:type="pct"/>
            <w:tcBorders>
              <w:top w:val="nil"/>
              <w:left w:val="nil"/>
              <w:bottom w:val="nil"/>
              <w:right w:val="nil"/>
            </w:tcBorders>
            <w:noWrap/>
            <w:vAlign w:val="bottom"/>
            <w:hideMark/>
          </w:tcPr>
          <w:p w14:paraId="2467864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6.64</w:t>
            </w:r>
          </w:p>
        </w:tc>
        <w:tc>
          <w:tcPr>
            <w:tcW w:w="710" w:type="pct"/>
            <w:tcBorders>
              <w:top w:val="nil"/>
              <w:left w:val="nil"/>
              <w:bottom w:val="nil"/>
              <w:right w:val="nil"/>
            </w:tcBorders>
            <w:noWrap/>
            <w:vAlign w:val="bottom"/>
            <w:hideMark/>
          </w:tcPr>
          <w:p w14:paraId="3297E45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9.70</w:t>
            </w:r>
          </w:p>
        </w:tc>
      </w:tr>
      <w:tr w:rsidR="00F908AB" w:rsidRPr="00BE5472" w14:paraId="16B8B2AB" w14:textId="77777777" w:rsidTr="003C2F5B">
        <w:trPr>
          <w:trHeight w:val="300"/>
        </w:trPr>
        <w:tc>
          <w:tcPr>
            <w:tcW w:w="1420" w:type="pct"/>
            <w:tcBorders>
              <w:top w:val="nil"/>
              <w:left w:val="nil"/>
              <w:bottom w:val="nil"/>
              <w:right w:val="nil"/>
            </w:tcBorders>
            <w:noWrap/>
            <w:vAlign w:val="bottom"/>
            <w:hideMark/>
          </w:tcPr>
          <w:p w14:paraId="359C058E"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D8DE99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0846E08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22208E5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8.34</w:t>
            </w:r>
          </w:p>
        </w:tc>
        <w:tc>
          <w:tcPr>
            <w:tcW w:w="710" w:type="pct"/>
            <w:tcBorders>
              <w:top w:val="nil"/>
              <w:left w:val="nil"/>
              <w:bottom w:val="nil"/>
              <w:right w:val="nil"/>
            </w:tcBorders>
            <w:noWrap/>
            <w:vAlign w:val="bottom"/>
            <w:hideMark/>
          </w:tcPr>
          <w:p w14:paraId="560227C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0.64</w:t>
            </w:r>
          </w:p>
        </w:tc>
        <w:tc>
          <w:tcPr>
            <w:tcW w:w="746" w:type="pct"/>
            <w:tcBorders>
              <w:top w:val="nil"/>
              <w:left w:val="nil"/>
              <w:bottom w:val="nil"/>
              <w:right w:val="nil"/>
            </w:tcBorders>
            <w:noWrap/>
            <w:vAlign w:val="bottom"/>
            <w:hideMark/>
          </w:tcPr>
          <w:p w14:paraId="2BBDCF2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6.64</w:t>
            </w:r>
          </w:p>
        </w:tc>
        <w:tc>
          <w:tcPr>
            <w:tcW w:w="710" w:type="pct"/>
            <w:tcBorders>
              <w:top w:val="nil"/>
              <w:left w:val="nil"/>
              <w:bottom w:val="nil"/>
              <w:right w:val="nil"/>
            </w:tcBorders>
            <w:noWrap/>
            <w:vAlign w:val="bottom"/>
            <w:hideMark/>
          </w:tcPr>
          <w:p w14:paraId="2BC098F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9.70</w:t>
            </w:r>
          </w:p>
        </w:tc>
      </w:tr>
      <w:tr w:rsidR="00F908AB" w:rsidRPr="00BE5472" w14:paraId="74B1F050" w14:textId="77777777" w:rsidTr="003C2F5B">
        <w:trPr>
          <w:trHeight w:val="300"/>
        </w:trPr>
        <w:tc>
          <w:tcPr>
            <w:tcW w:w="1420" w:type="pct"/>
            <w:tcBorders>
              <w:top w:val="nil"/>
              <w:left w:val="nil"/>
              <w:bottom w:val="nil"/>
              <w:right w:val="nil"/>
            </w:tcBorders>
            <w:noWrap/>
            <w:vAlign w:val="bottom"/>
            <w:hideMark/>
          </w:tcPr>
          <w:p w14:paraId="46AAFE6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28EF46D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7E7D2BC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230629D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8.62</w:t>
            </w:r>
          </w:p>
        </w:tc>
        <w:tc>
          <w:tcPr>
            <w:tcW w:w="710" w:type="pct"/>
            <w:tcBorders>
              <w:top w:val="nil"/>
              <w:left w:val="nil"/>
              <w:bottom w:val="nil"/>
              <w:right w:val="nil"/>
            </w:tcBorders>
            <w:noWrap/>
            <w:vAlign w:val="bottom"/>
            <w:hideMark/>
          </w:tcPr>
          <w:p w14:paraId="3E7F28B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0.42</w:t>
            </w:r>
          </w:p>
        </w:tc>
        <w:tc>
          <w:tcPr>
            <w:tcW w:w="746" w:type="pct"/>
            <w:tcBorders>
              <w:top w:val="nil"/>
              <w:left w:val="nil"/>
              <w:bottom w:val="nil"/>
              <w:right w:val="nil"/>
            </w:tcBorders>
            <w:noWrap/>
            <w:vAlign w:val="bottom"/>
            <w:hideMark/>
          </w:tcPr>
          <w:p w14:paraId="2F4AD77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7.74</w:t>
            </w:r>
          </w:p>
        </w:tc>
        <w:tc>
          <w:tcPr>
            <w:tcW w:w="710" w:type="pct"/>
            <w:tcBorders>
              <w:top w:val="nil"/>
              <w:left w:val="nil"/>
              <w:bottom w:val="nil"/>
              <w:right w:val="nil"/>
            </w:tcBorders>
            <w:noWrap/>
            <w:vAlign w:val="bottom"/>
            <w:hideMark/>
          </w:tcPr>
          <w:p w14:paraId="6539C7C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9.14</w:t>
            </w:r>
          </w:p>
        </w:tc>
      </w:tr>
      <w:tr w:rsidR="00F908AB" w:rsidRPr="00BE5472" w14:paraId="555FD14E" w14:textId="77777777" w:rsidTr="003C2F5B">
        <w:trPr>
          <w:trHeight w:val="300"/>
        </w:trPr>
        <w:tc>
          <w:tcPr>
            <w:tcW w:w="1420" w:type="pct"/>
            <w:tcBorders>
              <w:top w:val="nil"/>
              <w:left w:val="nil"/>
              <w:bottom w:val="nil"/>
              <w:right w:val="nil"/>
            </w:tcBorders>
            <w:noWrap/>
            <w:vAlign w:val="bottom"/>
            <w:hideMark/>
          </w:tcPr>
          <w:p w14:paraId="695D10C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ROA</w:t>
            </w:r>
          </w:p>
        </w:tc>
        <w:tc>
          <w:tcPr>
            <w:tcW w:w="500" w:type="pct"/>
            <w:tcBorders>
              <w:top w:val="nil"/>
              <w:left w:val="nil"/>
              <w:bottom w:val="nil"/>
              <w:right w:val="nil"/>
            </w:tcBorders>
            <w:noWrap/>
            <w:vAlign w:val="bottom"/>
            <w:hideMark/>
          </w:tcPr>
          <w:p w14:paraId="325A0C9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43A1FCA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38679AC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10" w:type="pct"/>
            <w:tcBorders>
              <w:top w:val="nil"/>
              <w:left w:val="nil"/>
              <w:bottom w:val="nil"/>
              <w:right w:val="nil"/>
            </w:tcBorders>
            <w:noWrap/>
            <w:vAlign w:val="bottom"/>
            <w:hideMark/>
          </w:tcPr>
          <w:p w14:paraId="79A93F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46" w:type="pct"/>
            <w:tcBorders>
              <w:top w:val="nil"/>
              <w:left w:val="nil"/>
              <w:bottom w:val="nil"/>
              <w:right w:val="nil"/>
            </w:tcBorders>
            <w:noWrap/>
            <w:vAlign w:val="bottom"/>
            <w:hideMark/>
          </w:tcPr>
          <w:p w14:paraId="6CEA53E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710" w:type="pct"/>
            <w:tcBorders>
              <w:top w:val="nil"/>
              <w:left w:val="nil"/>
              <w:bottom w:val="nil"/>
              <w:right w:val="nil"/>
            </w:tcBorders>
            <w:noWrap/>
            <w:vAlign w:val="bottom"/>
            <w:hideMark/>
          </w:tcPr>
          <w:p w14:paraId="74A0BC2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F908AB" w:rsidRPr="00BE5472" w14:paraId="7C2F3E7B" w14:textId="77777777" w:rsidTr="003C2F5B">
        <w:trPr>
          <w:trHeight w:val="300"/>
        </w:trPr>
        <w:tc>
          <w:tcPr>
            <w:tcW w:w="1420" w:type="pct"/>
            <w:tcBorders>
              <w:top w:val="nil"/>
              <w:left w:val="nil"/>
              <w:bottom w:val="nil"/>
              <w:right w:val="nil"/>
            </w:tcBorders>
            <w:noWrap/>
            <w:vAlign w:val="bottom"/>
            <w:hideMark/>
          </w:tcPr>
          <w:p w14:paraId="57ED77C6"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4C18C9F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6E09A75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0365391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10" w:type="pct"/>
            <w:tcBorders>
              <w:top w:val="nil"/>
              <w:left w:val="nil"/>
              <w:bottom w:val="nil"/>
              <w:right w:val="nil"/>
            </w:tcBorders>
            <w:noWrap/>
            <w:vAlign w:val="bottom"/>
            <w:hideMark/>
          </w:tcPr>
          <w:p w14:paraId="5D4C706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46" w:type="pct"/>
            <w:tcBorders>
              <w:top w:val="nil"/>
              <w:left w:val="nil"/>
              <w:bottom w:val="nil"/>
              <w:right w:val="nil"/>
            </w:tcBorders>
            <w:noWrap/>
            <w:vAlign w:val="bottom"/>
            <w:hideMark/>
          </w:tcPr>
          <w:p w14:paraId="58806C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10" w:type="pct"/>
            <w:tcBorders>
              <w:top w:val="nil"/>
              <w:left w:val="nil"/>
              <w:bottom w:val="nil"/>
              <w:right w:val="nil"/>
            </w:tcBorders>
            <w:noWrap/>
            <w:vAlign w:val="bottom"/>
            <w:hideMark/>
          </w:tcPr>
          <w:p w14:paraId="51DF3CE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r>
      <w:tr w:rsidR="00F908AB" w:rsidRPr="00BE5472" w14:paraId="730608C2" w14:textId="77777777" w:rsidTr="003C2F5B">
        <w:trPr>
          <w:trHeight w:val="300"/>
        </w:trPr>
        <w:tc>
          <w:tcPr>
            <w:tcW w:w="1420" w:type="pct"/>
            <w:tcBorders>
              <w:top w:val="nil"/>
              <w:left w:val="nil"/>
              <w:bottom w:val="nil"/>
              <w:right w:val="nil"/>
            </w:tcBorders>
            <w:noWrap/>
            <w:vAlign w:val="bottom"/>
            <w:hideMark/>
          </w:tcPr>
          <w:p w14:paraId="3B7CDE1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4061A187"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7C7E8B3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1DAF884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10" w:type="pct"/>
            <w:tcBorders>
              <w:top w:val="nil"/>
              <w:left w:val="nil"/>
              <w:bottom w:val="nil"/>
              <w:right w:val="nil"/>
            </w:tcBorders>
            <w:noWrap/>
            <w:vAlign w:val="bottom"/>
            <w:hideMark/>
          </w:tcPr>
          <w:p w14:paraId="720C211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46" w:type="pct"/>
            <w:tcBorders>
              <w:top w:val="nil"/>
              <w:left w:val="nil"/>
              <w:bottom w:val="nil"/>
              <w:right w:val="nil"/>
            </w:tcBorders>
            <w:noWrap/>
            <w:vAlign w:val="bottom"/>
            <w:hideMark/>
          </w:tcPr>
          <w:p w14:paraId="565FA2D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710" w:type="pct"/>
            <w:tcBorders>
              <w:top w:val="nil"/>
              <w:left w:val="nil"/>
              <w:bottom w:val="nil"/>
              <w:right w:val="nil"/>
            </w:tcBorders>
            <w:noWrap/>
            <w:vAlign w:val="bottom"/>
            <w:hideMark/>
          </w:tcPr>
          <w:p w14:paraId="2DF6E04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F908AB" w:rsidRPr="00BE5472" w14:paraId="57D15FD4" w14:textId="77777777" w:rsidTr="003C2F5B">
        <w:trPr>
          <w:trHeight w:val="300"/>
        </w:trPr>
        <w:tc>
          <w:tcPr>
            <w:tcW w:w="1420" w:type="pct"/>
            <w:tcBorders>
              <w:top w:val="nil"/>
              <w:left w:val="nil"/>
              <w:bottom w:val="nil"/>
              <w:right w:val="nil"/>
            </w:tcBorders>
            <w:noWrap/>
            <w:vAlign w:val="bottom"/>
            <w:hideMark/>
          </w:tcPr>
          <w:p w14:paraId="498AF0F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ROE</w:t>
            </w:r>
          </w:p>
        </w:tc>
        <w:tc>
          <w:tcPr>
            <w:tcW w:w="500" w:type="pct"/>
            <w:tcBorders>
              <w:top w:val="nil"/>
              <w:left w:val="nil"/>
              <w:bottom w:val="nil"/>
              <w:right w:val="nil"/>
            </w:tcBorders>
            <w:noWrap/>
            <w:vAlign w:val="bottom"/>
            <w:hideMark/>
          </w:tcPr>
          <w:p w14:paraId="724A07C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1D18EF9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60ABC08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10" w:type="pct"/>
            <w:tcBorders>
              <w:top w:val="nil"/>
              <w:left w:val="nil"/>
              <w:bottom w:val="nil"/>
              <w:right w:val="nil"/>
            </w:tcBorders>
            <w:noWrap/>
            <w:vAlign w:val="bottom"/>
            <w:hideMark/>
          </w:tcPr>
          <w:p w14:paraId="3805EAF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746" w:type="pct"/>
            <w:tcBorders>
              <w:top w:val="nil"/>
              <w:left w:val="nil"/>
              <w:bottom w:val="nil"/>
              <w:right w:val="nil"/>
            </w:tcBorders>
            <w:noWrap/>
            <w:vAlign w:val="bottom"/>
            <w:hideMark/>
          </w:tcPr>
          <w:p w14:paraId="5614AD9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10" w:type="pct"/>
            <w:tcBorders>
              <w:top w:val="nil"/>
              <w:left w:val="nil"/>
              <w:bottom w:val="nil"/>
              <w:right w:val="nil"/>
            </w:tcBorders>
            <w:noWrap/>
            <w:vAlign w:val="bottom"/>
            <w:hideMark/>
          </w:tcPr>
          <w:p w14:paraId="7255921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r>
      <w:tr w:rsidR="00F908AB" w:rsidRPr="00BE5472" w14:paraId="09575F89" w14:textId="77777777" w:rsidTr="003C2F5B">
        <w:trPr>
          <w:trHeight w:val="300"/>
        </w:trPr>
        <w:tc>
          <w:tcPr>
            <w:tcW w:w="1420" w:type="pct"/>
            <w:tcBorders>
              <w:top w:val="nil"/>
              <w:left w:val="nil"/>
              <w:bottom w:val="nil"/>
              <w:right w:val="nil"/>
            </w:tcBorders>
            <w:noWrap/>
            <w:vAlign w:val="bottom"/>
            <w:hideMark/>
          </w:tcPr>
          <w:p w14:paraId="16563723"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048DFB8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55F649C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6478F67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10" w:type="pct"/>
            <w:tcBorders>
              <w:top w:val="nil"/>
              <w:left w:val="nil"/>
              <w:bottom w:val="nil"/>
              <w:right w:val="nil"/>
            </w:tcBorders>
            <w:noWrap/>
            <w:vAlign w:val="bottom"/>
            <w:hideMark/>
          </w:tcPr>
          <w:p w14:paraId="0F93FC4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746" w:type="pct"/>
            <w:tcBorders>
              <w:top w:val="nil"/>
              <w:left w:val="nil"/>
              <w:bottom w:val="nil"/>
              <w:right w:val="nil"/>
            </w:tcBorders>
            <w:noWrap/>
            <w:vAlign w:val="bottom"/>
            <w:hideMark/>
          </w:tcPr>
          <w:p w14:paraId="3B425A2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10" w:type="pct"/>
            <w:tcBorders>
              <w:top w:val="nil"/>
              <w:left w:val="nil"/>
              <w:bottom w:val="nil"/>
              <w:right w:val="nil"/>
            </w:tcBorders>
            <w:noWrap/>
            <w:vAlign w:val="bottom"/>
            <w:hideMark/>
          </w:tcPr>
          <w:p w14:paraId="7B8A727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r>
      <w:tr w:rsidR="00F908AB" w:rsidRPr="00BE5472" w14:paraId="1411EC1B" w14:textId="77777777" w:rsidTr="003C2F5B">
        <w:trPr>
          <w:trHeight w:val="300"/>
        </w:trPr>
        <w:tc>
          <w:tcPr>
            <w:tcW w:w="1420" w:type="pct"/>
            <w:tcBorders>
              <w:top w:val="nil"/>
              <w:left w:val="nil"/>
              <w:bottom w:val="nil"/>
              <w:right w:val="nil"/>
            </w:tcBorders>
            <w:noWrap/>
            <w:vAlign w:val="bottom"/>
            <w:hideMark/>
          </w:tcPr>
          <w:p w14:paraId="77F8C5B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1DC6BBA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6C18CC8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0E6C3ED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10" w:type="pct"/>
            <w:tcBorders>
              <w:top w:val="nil"/>
              <w:left w:val="nil"/>
              <w:bottom w:val="nil"/>
              <w:right w:val="nil"/>
            </w:tcBorders>
            <w:noWrap/>
            <w:vAlign w:val="bottom"/>
            <w:hideMark/>
          </w:tcPr>
          <w:p w14:paraId="69B3EDF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746" w:type="pct"/>
            <w:tcBorders>
              <w:top w:val="nil"/>
              <w:left w:val="nil"/>
              <w:bottom w:val="nil"/>
              <w:right w:val="nil"/>
            </w:tcBorders>
            <w:noWrap/>
            <w:vAlign w:val="bottom"/>
            <w:hideMark/>
          </w:tcPr>
          <w:p w14:paraId="36BCDC1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10" w:type="pct"/>
            <w:tcBorders>
              <w:top w:val="nil"/>
              <w:left w:val="nil"/>
              <w:bottom w:val="nil"/>
              <w:right w:val="nil"/>
            </w:tcBorders>
            <w:noWrap/>
            <w:vAlign w:val="bottom"/>
            <w:hideMark/>
          </w:tcPr>
          <w:p w14:paraId="06555E5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r>
      <w:tr w:rsidR="00F908AB" w:rsidRPr="00BE5472" w14:paraId="6BB41EEB" w14:textId="77777777" w:rsidTr="003C2F5B">
        <w:trPr>
          <w:trHeight w:val="300"/>
        </w:trPr>
        <w:tc>
          <w:tcPr>
            <w:tcW w:w="1420" w:type="pct"/>
            <w:tcBorders>
              <w:top w:val="nil"/>
              <w:left w:val="nil"/>
              <w:bottom w:val="nil"/>
              <w:right w:val="nil"/>
            </w:tcBorders>
            <w:noWrap/>
            <w:vAlign w:val="bottom"/>
            <w:hideMark/>
          </w:tcPr>
          <w:p w14:paraId="0E9B84E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BRUTO PROFITNA MARŽA</w:t>
            </w:r>
          </w:p>
        </w:tc>
        <w:tc>
          <w:tcPr>
            <w:tcW w:w="500" w:type="pct"/>
            <w:tcBorders>
              <w:top w:val="nil"/>
              <w:left w:val="nil"/>
              <w:bottom w:val="nil"/>
              <w:right w:val="nil"/>
            </w:tcBorders>
            <w:noWrap/>
            <w:vAlign w:val="bottom"/>
            <w:hideMark/>
          </w:tcPr>
          <w:p w14:paraId="7F4560A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239930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46DAC60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10" w:type="pct"/>
            <w:tcBorders>
              <w:top w:val="nil"/>
              <w:left w:val="nil"/>
              <w:bottom w:val="nil"/>
              <w:right w:val="nil"/>
            </w:tcBorders>
            <w:noWrap/>
            <w:vAlign w:val="bottom"/>
            <w:hideMark/>
          </w:tcPr>
          <w:p w14:paraId="51ECE36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746" w:type="pct"/>
            <w:tcBorders>
              <w:top w:val="nil"/>
              <w:left w:val="nil"/>
              <w:bottom w:val="nil"/>
              <w:right w:val="nil"/>
            </w:tcBorders>
            <w:noWrap/>
            <w:vAlign w:val="bottom"/>
            <w:hideMark/>
          </w:tcPr>
          <w:p w14:paraId="07DC918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c>
          <w:tcPr>
            <w:tcW w:w="710" w:type="pct"/>
            <w:tcBorders>
              <w:top w:val="nil"/>
              <w:left w:val="nil"/>
              <w:bottom w:val="nil"/>
              <w:right w:val="nil"/>
            </w:tcBorders>
            <w:noWrap/>
            <w:vAlign w:val="bottom"/>
            <w:hideMark/>
          </w:tcPr>
          <w:p w14:paraId="33C6C65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r>
      <w:tr w:rsidR="00F908AB" w:rsidRPr="00BE5472" w14:paraId="311A1AFB" w14:textId="77777777" w:rsidTr="003C2F5B">
        <w:trPr>
          <w:trHeight w:val="300"/>
        </w:trPr>
        <w:tc>
          <w:tcPr>
            <w:tcW w:w="1420" w:type="pct"/>
            <w:tcBorders>
              <w:top w:val="nil"/>
              <w:left w:val="nil"/>
              <w:bottom w:val="nil"/>
              <w:right w:val="nil"/>
            </w:tcBorders>
            <w:noWrap/>
            <w:vAlign w:val="bottom"/>
            <w:hideMark/>
          </w:tcPr>
          <w:p w14:paraId="78130E5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0E1ADC5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3783549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444FEE2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710" w:type="pct"/>
            <w:tcBorders>
              <w:top w:val="nil"/>
              <w:left w:val="nil"/>
              <w:bottom w:val="nil"/>
              <w:right w:val="nil"/>
            </w:tcBorders>
            <w:noWrap/>
            <w:vAlign w:val="bottom"/>
            <w:hideMark/>
          </w:tcPr>
          <w:p w14:paraId="49713AB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746" w:type="pct"/>
            <w:tcBorders>
              <w:top w:val="nil"/>
              <w:left w:val="nil"/>
              <w:bottom w:val="nil"/>
              <w:right w:val="nil"/>
            </w:tcBorders>
            <w:noWrap/>
            <w:vAlign w:val="bottom"/>
            <w:hideMark/>
          </w:tcPr>
          <w:p w14:paraId="17E58C4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c>
          <w:tcPr>
            <w:tcW w:w="710" w:type="pct"/>
            <w:tcBorders>
              <w:top w:val="nil"/>
              <w:left w:val="nil"/>
              <w:bottom w:val="nil"/>
              <w:right w:val="nil"/>
            </w:tcBorders>
            <w:noWrap/>
            <w:vAlign w:val="bottom"/>
            <w:hideMark/>
          </w:tcPr>
          <w:p w14:paraId="5C43D39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0.22</w:t>
            </w:r>
          </w:p>
        </w:tc>
      </w:tr>
      <w:tr w:rsidR="00F908AB" w:rsidRPr="00BE5472" w14:paraId="67779EBE" w14:textId="77777777" w:rsidTr="003C2F5B">
        <w:trPr>
          <w:trHeight w:val="300"/>
        </w:trPr>
        <w:tc>
          <w:tcPr>
            <w:tcW w:w="1420" w:type="pct"/>
            <w:tcBorders>
              <w:top w:val="nil"/>
              <w:left w:val="nil"/>
              <w:bottom w:val="nil"/>
              <w:right w:val="nil"/>
            </w:tcBorders>
            <w:noWrap/>
            <w:vAlign w:val="bottom"/>
            <w:hideMark/>
          </w:tcPr>
          <w:p w14:paraId="5189ED11"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35895D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687A46A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35F663A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710" w:type="pct"/>
            <w:tcBorders>
              <w:top w:val="nil"/>
              <w:left w:val="nil"/>
              <w:bottom w:val="nil"/>
              <w:right w:val="nil"/>
            </w:tcBorders>
            <w:noWrap/>
            <w:vAlign w:val="bottom"/>
            <w:hideMark/>
          </w:tcPr>
          <w:p w14:paraId="485A648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0.20</w:t>
            </w:r>
          </w:p>
        </w:tc>
        <w:tc>
          <w:tcPr>
            <w:tcW w:w="746" w:type="pct"/>
            <w:tcBorders>
              <w:top w:val="nil"/>
              <w:left w:val="nil"/>
              <w:bottom w:val="nil"/>
              <w:right w:val="nil"/>
            </w:tcBorders>
            <w:noWrap/>
            <w:vAlign w:val="bottom"/>
            <w:hideMark/>
          </w:tcPr>
          <w:p w14:paraId="4ECF348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c>
          <w:tcPr>
            <w:tcW w:w="710" w:type="pct"/>
            <w:tcBorders>
              <w:top w:val="nil"/>
              <w:left w:val="nil"/>
              <w:bottom w:val="nil"/>
              <w:right w:val="nil"/>
            </w:tcBorders>
            <w:noWrap/>
            <w:vAlign w:val="bottom"/>
            <w:hideMark/>
          </w:tcPr>
          <w:p w14:paraId="7E1E322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r>
      <w:tr w:rsidR="00F908AB" w:rsidRPr="00BE5472" w14:paraId="770D9810" w14:textId="77777777" w:rsidTr="003C2F5B">
        <w:trPr>
          <w:trHeight w:val="300"/>
        </w:trPr>
        <w:tc>
          <w:tcPr>
            <w:tcW w:w="1420" w:type="pct"/>
            <w:tcBorders>
              <w:top w:val="nil"/>
              <w:left w:val="nil"/>
              <w:bottom w:val="nil"/>
              <w:right w:val="nil"/>
            </w:tcBorders>
            <w:noWrap/>
            <w:vAlign w:val="bottom"/>
            <w:hideMark/>
          </w:tcPr>
          <w:p w14:paraId="7311DA6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NETO PROFITNA MARŽA</w:t>
            </w:r>
          </w:p>
        </w:tc>
        <w:tc>
          <w:tcPr>
            <w:tcW w:w="500" w:type="pct"/>
            <w:tcBorders>
              <w:top w:val="nil"/>
              <w:left w:val="nil"/>
              <w:bottom w:val="nil"/>
              <w:right w:val="nil"/>
            </w:tcBorders>
            <w:noWrap/>
            <w:vAlign w:val="bottom"/>
            <w:hideMark/>
          </w:tcPr>
          <w:p w14:paraId="0EF58E0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7D562A8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6DAB9A7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10" w:type="pct"/>
            <w:tcBorders>
              <w:top w:val="nil"/>
              <w:left w:val="nil"/>
              <w:bottom w:val="nil"/>
              <w:right w:val="nil"/>
            </w:tcBorders>
            <w:noWrap/>
            <w:vAlign w:val="bottom"/>
            <w:hideMark/>
          </w:tcPr>
          <w:p w14:paraId="6B52DF5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46" w:type="pct"/>
            <w:tcBorders>
              <w:top w:val="nil"/>
              <w:left w:val="nil"/>
              <w:bottom w:val="nil"/>
              <w:right w:val="nil"/>
            </w:tcBorders>
            <w:noWrap/>
            <w:vAlign w:val="bottom"/>
            <w:hideMark/>
          </w:tcPr>
          <w:p w14:paraId="654FDBE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w:t>
            </w:r>
          </w:p>
        </w:tc>
        <w:tc>
          <w:tcPr>
            <w:tcW w:w="710" w:type="pct"/>
            <w:tcBorders>
              <w:top w:val="nil"/>
              <w:left w:val="nil"/>
              <w:bottom w:val="nil"/>
              <w:right w:val="nil"/>
            </w:tcBorders>
            <w:noWrap/>
            <w:vAlign w:val="bottom"/>
            <w:hideMark/>
          </w:tcPr>
          <w:p w14:paraId="43B44D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r>
      <w:tr w:rsidR="00F908AB" w:rsidRPr="00BE5472" w14:paraId="662ECE74" w14:textId="77777777" w:rsidTr="003C2F5B">
        <w:trPr>
          <w:trHeight w:val="300"/>
        </w:trPr>
        <w:tc>
          <w:tcPr>
            <w:tcW w:w="1420" w:type="pct"/>
            <w:tcBorders>
              <w:top w:val="nil"/>
              <w:left w:val="nil"/>
              <w:bottom w:val="nil"/>
              <w:right w:val="nil"/>
            </w:tcBorders>
            <w:noWrap/>
            <w:vAlign w:val="bottom"/>
            <w:hideMark/>
          </w:tcPr>
          <w:p w14:paraId="5F8F8DF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2146ACE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2F62ED4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0135D02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710" w:type="pct"/>
            <w:tcBorders>
              <w:top w:val="nil"/>
              <w:left w:val="nil"/>
              <w:bottom w:val="nil"/>
              <w:right w:val="nil"/>
            </w:tcBorders>
            <w:noWrap/>
            <w:vAlign w:val="bottom"/>
            <w:hideMark/>
          </w:tcPr>
          <w:p w14:paraId="0880333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46" w:type="pct"/>
            <w:tcBorders>
              <w:top w:val="nil"/>
              <w:left w:val="nil"/>
              <w:bottom w:val="nil"/>
              <w:right w:val="nil"/>
            </w:tcBorders>
            <w:noWrap/>
            <w:vAlign w:val="bottom"/>
            <w:hideMark/>
          </w:tcPr>
          <w:p w14:paraId="3939181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-0.27</w:t>
            </w:r>
          </w:p>
        </w:tc>
        <w:tc>
          <w:tcPr>
            <w:tcW w:w="710" w:type="pct"/>
            <w:tcBorders>
              <w:top w:val="nil"/>
              <w:left w:val="nil"/>
              <w:bottom w:val="nil"/>
              <w:right w:val="nil"/>
            </w:tcBorders>
            <w:noWrap/>
            <w:vAlign w:val="bottom"/>
            <w:hideMark/>
          </w:tcPr>
          <w:p w14:paraId="5E5E63F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r>
      <w:tr w:rsidR="00F908AB" w:rsidRPr="00BE5472" w14:paraId="59D1235F" w14:textId="77777777" w:rsidTr="003C2F5B">
        <w:trPr>
          <w:trHeight w:val="300"/>
        </w:trPr>
        <w:tc>
          <w:tcPr>
            <w:tcW w:w="1420" w:type="pct"/>
            <w:tcBorders>
              <w:top w:val="nil"/>
              <w:left w:val="nil"/>
              <w:bottom w:val="nil"/>
              <w:right w:val="nil"/>
            </w:tcBorders>
            <w:noWrap/>
            <w:vAlign w:val="bottom"/>
            <w:hideMark/>
          </w:tcPr>
          <w:p w14:paraId="2CB3276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FFBB6D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26A346A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60DB479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710" w:type="pct"/>
            <w:tcBorders>
              <w:top w:val="nil"/>
              <w:left w:val="nil"/>
              <w:bottom w:val="nil"/>
              <w:right w:val="nil"/>
            </w:tcBorders>
            <w:noWrap/>
            <w:vAlign w:val="bottom"/>
            <w:hideMark/>
          </w:tcPr>
          <w:p w14:paraId="5755750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746" w:type="pct"/>
            <w:tcBorders>
              <w:top w:val="nil"/>
              <w:left w:val="nil"/>
              <w:bottom w:val="nil"/>
              <w:right w:val="nil"/>
            </w:tcBorders>
            <w:noWrap/>
            <w:vAlign w:val="bottom"/>
            <w:hideMark/>
          </w:tcPr>
          <w:p w14:paraId="0477178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w:t>
            </w:r>
          </w:p>
        </w:tc>
        <w:tc>
          <w:tcPr>
            <w:tcW w:w="710" w:type="pct"/>
            <w:tcBorders>
              <w:top w:val="nil"/>
              <w:left w:val="nil"/>
              <w:bottom w:val="nil"/>
              <w:right w:val="nil"/>
            </w:tcBorders>
            <w:noWrap/>
            <w:vAlign w:val="bottom"/>
            <w:hideMark/>
          </w:tcPr>
          <w:p w14:paraId="67CDB62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r>
      <w:tr w:rsidR="00F908AB" w:rsidRPr="00BE5472" w14:paraId="3D1E177C" w14:textId="77777777" w:rsidTr="003C2F5B">
        <w:trPr>
          <w:trHeight w:val="300"/>
        </w:trPr>
        <w:tc>
          <w:tcPr>
            <w:tcW w:w="1420" w:type="pct"/>
            <w:tcBorders>
              <w:top w:val="nil"/>
              <w:left w:val="nil"/>
              <w:bottom w:val="nil"/>
              <w:right w:val="nil"/>
            </w:tcBorders>
            <w:noWrap/>
            <w:vAlign w:val="bottom"/>
            <w:hideMark/>
          </w:tcPr>
          <w:p w14:paraId="4746D85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Pokazatelje tekuće likvidnost</w:t>
            </w:r>
          </w:p>
        </w:tc>
        <w:tc>
          <w:tcPr>
            <w:tcW w:w="500" w:type="pct"/>
            <w:tcBorders>
              <w:top w:val="nil"/>
              <w:left w:val="nil"/>
              <w:bottom w:val="nil"/>
              <w:right w:val="nil"/>
            </w:tcBorders>
            <w:noWrap/>
            <w:vAlign w:val="bottom"/>
            <w:hideMark/>
          </w:tcPr>
          <w:p w14:paraId="03E7545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5C9C087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68FD9C2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1.20</w:t>
            </w:r>
          </w:p>
        </w:tc>
        <w:tc>
          <w:tcPr>
            <w:tcW w:w="710" w:type="pct"/>
            <w:tcBorders>
              <w:top w:val="nil"/>
              <w:left w:val="nil"/>
              <w:bottom w:val="nil"/>
              <w:right w:val="nil"/>
            </w:tcBorders>
            <w:noWrap/>
            <w:vAlign w:val="bottom"/>
            <w:hideMark/>
          </w:tcPr>
          <w:p w14:paraId="645CD66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0.93</w:t>
            </w:r>
          </w:p>
        </w:tc>
        <w:tc>
          <w:tcPr>
            <w:tcW w:w="746" w:type="pct"/>
            <w:tcBorders>
              <w:top w:val="nil"/>
              <w:left w:val="nil"/>
              <w:bottom w:val="nil"/>
              <w:right w:val="nil"/>
            </w:tcBorders>
            <w:noWrap/>
            <w:vAlign w:val="bottom"/>
            <w:hideMark/>
          </w:tcPr>
          <w:p w14:paraId="589A949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10" w:type="pct"/>
            <w:tcBorders>
              <w:top w:val="nil"/>
              <w:left w:val="nil"/>
              <w:bottom w:val="nil"/>
              <w:right w:val="nil"/>
            </w:tcBorders>
            <w:noWrap/>
            <w:vAlign w:val="bottom"/>
            <w:hideMark/>
          </w:tcPr>
          <w:p w14:paraId="3D428CB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4.40</w:t>
            </w:r>
          </w:p>
        </w:tc>
      </w:tr>
      <w:tr w:rsidR="00F908AB" w:rsidRPr="00BE5472" w14:paraId="322DA47E" w14:textId="77777777" w:rsidTr="003C2F5B">
        <w:trPr>
          <w:trHeight w:val="300"/>
        </w:trPr>
        <w:tc>
          <w:tcPr>
            <w:tcW w:w="1420" w:type="pct"/>
            <w:tcBorders>
              <w:top w:val="nil"/>
              <w:left w:val="nil"/>
              <w:bottom w:val="nil"/>
              <w:right w:val="nil"/>
            </w:tcBorders>
            <w:noWrap/>
            <w:vAlign w:val="bottom"/>
            <w:hideMark/>
          </w:tcPr>
          <w:p w14:paraId="4677CE4E"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7D32738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13860EA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18ED010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1.24</w:t>
            </w:r>
          </w:p>
        </w:tc>
        <w:tc>
          <w:tcPr>
            <w:tcW w:w="710" w:type="pct"/>
            <w:tcBorders>
              <w:top w:val="nil"/>
              <w:left w:val="nil"/>
              <w:bottom w:val="nil"/>
              <w:right w:val="nil"/>
            </w:tcBorders>
            <w:noWrap/>
            <w:vAlign w:val="bottom"/>
            <w:hideMark/>
          </w:tcPr>
          <w:p w14:paraId="574C18C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1.09</w:t>
            </w:r>
          </w:p>
        </w:tc>
        <w:tc>
          <w:tcPr>
            <w:tcW w:w="746" w:type="pct"/>
            <w:tcBorders>
              <w:top w:val="nil"/>
              <w:left w:val="nil"/>
              <w:bottom w:val="nil"/>
              <w:right w:val="nil"/>
            </w:tcBorders>
            <w:noWrap/>
            <w:vAlign w:val="bottom"/>
            <w:hideMark/>
          </w:tcPr>
          <w:p w14:paraId="1D5FFBA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10" w:type="pct"/>
            <w:tcBorders>
              <w:top w:val="nil"/>
              <w:left w:val="nil"/>
              <w:bottom w:val="nil"/>
              <w:right w:val="nil"/>
            </w:tcBorders>
            <w:noWrap/>
            <w:vAlign w:val="bottom"/>
            <w:hideMark/>
          </w:tcPr>
          <w:p w14:paraId="0645788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4.40</w:t>
            </w:r>
          </w:p>
        </w:tc>
      </w:tr>
      <w:tr w:rsidR="00F908AB" w:rsidRPr="00BE5472" w14:paraId="5690A533" w14:textId="77777777" w:rsidTr="003C2F5B">
        <w:trPr>
          <w:trHeight w:val="300"/>
        </w:trPr>
        <w:tc>
          <w:tcPr>
            <w:tcW w:w="1420" w:type="pct"/>
            <w:tcBorders>
              <w:top w:val="nil"/>
              <w:left w:val="nil"/>
              <w:bottom w:val="nil"/>
              <w:right w:val="nil"/>
            </w:tcBorders>
            <w:noWrap/>
            <w:vAlign w:val="bottom"/>
            <w:hideMark/>
          </w:tcPr>
          <w:p w14:paraId="1C0C3A43"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1C23D09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2505154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4F0F27E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1.17</w:t>
            </w:r>
          </w:p>
        </w:tc>
        <w:tc>
          <w:tcPr>
            <w:tcW w:w="710" w:type="pct"/>
            <w:tcBorders>
              <w:top w:val="nil"/>
              <w:left w:val="nil"/>
              <w:bottom w:val="nil"/>
              <w:right w:val="nil"/>
            </w:tcBorders>
            <w:noWrap/>
            <w:vAlign w:val="bottom"/>
            <w:hideMark/>
          </w:tcPr>
          <w:p w14:paraId="1379B4B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0.80</w:t>
            </w:r>
          </w:p>
        </w:tc>
        <w:tc>
          <w:tcPr>
            <w:tcW w:w="746" w:type="pct"/>
            <w:tcBorders>
              <w:top w:val="nil"/>
              <w:left w:val="nil"/>
              <w:bottom w:val="nil"/>
              <w:right w:val="nil"/>
            </w:tcBorders>
            <w:noWrap/>
            <w:vAlign w:val="bottom"/>
            <w:hideMark/>
          </w:tcPr>
          <w:p w14:paraId="3F16790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710" w:type="pct"/>
            <w:tcBorders>
              <w:top w:val="nil"/>
              <w:left w:val="nil"/>
              <w:bottom w:val="nil"/>
              <w:right w:val="nil"/>
            </w:tcBorders>
            <w:noWrap/>
            <w:vAlign w:val="bottom"/>
            <w:hideMark/>
          </w:tcPr>
          <w:p w14:paraId="5C2D728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4.24</w:t>
            </w:r>
          </w:p>
        </w:tc>
      </w:tr>
      <w:tr w:rsidR="00F908AB" w:rsidRPr="00BE5472" w14:paraId="17629DE6" w14:textId="77777777" w:rsidTr="003C2F5B">
        <w:trPr>
          <w:trHeight w:val="300"/>
        </w:trPr>
        <w:tc>
          <w:tcPr>
            <w:tcW w:w="1921" w:type="pct"/>
            <w:gridSpan w:val="2"/>
            <w:tcBorders>
              <w:top w:val="nil"/>
              <w:left w:val="nil"/>
              <w:bottom w:val="nil"/>
              <w:right w:val="nil"/>
            </w:tcBorders>
            <w:noWrap/>
            <w:vAlign w:val="bottom"/>
            <w:hideMark/>
          </w:tcPr>
          <w:p w14:paraId="061E79C9" w14:textId="308FF8B9"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Pokazatelj fina</w:t>
            </w:r>
            <w:r w:rsidR="008D546D" w:rsidRPr="00BE5472">
              <w:rPr>
                <w:rFonts w:ascii="Times New Roman" w:eastAsia="Times New Roman" w:hAnsi="Times New Roman" w:cs="Times New Roman"/>
                <w:color w:val="000000"/>
                <w:sz w:val="24"/>
                <w:szCs w:val="24"/>
                <w:lang w:eastAsia="hr-HR"/>
              </w:rPr>
              <w:t>n</w:t>
            </w:r>
            <w:r w:rsidRPr="00BE5472">
              <w:rPr>
                <w:rFonts w:ascii="Times New Roman" w:eastAsia="Times New Roman" w:hAnsi="Times New Roman" w:cs="Times New Roman"/>
                <w:color w:val="000000"/>
                <w:sz w:val="24"/>
                <w:szCs w:val="24"/>
                <w:lang w:eastAsia="hr-HR"/>
              </w:rPr>
              <w:t>cijske stabilnosti</w:t>
            </w:r>
          </w:p>
        </w:tc>
        <w:tc>
          <w:tcPr>
            <w:tcW w:w="204" w:type="pct"/>
            <w:tcBorders>
              <w:top w:val="nil"/>
              <w:left w:val="nil"/>
              <w:bottom w:val="nil"/>
              <w:right w:val="nil"/>
            </w:tcBorders>
            <w:noWrap/>
            <w:vAlign w:val="bottom"/>
            <w:hideMark/>
          </w:tcPr>
          <w:p w14:paraId="5A32C8D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694FE27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1.04</w:t>
            </w:r>
          </w:p>
        </w:tc>
        <w:tc>
          <w:tcPr>
            <w:tcW w:w="710" w:type="pct"/>
            <w:tcBorders>
              <w:top w:val="nil"/>
              <w:left w:val="nil"/>
              <w:bottom w:val="nil"/>
              <w:right w:val="nil"/>
            </w:tcBorders>
            <w:noWrap/>
            <w:vAlign w:val="bottom"/>
            <w:hideMark/>
          </w:tcPr>
          <w:p w14:paraId="38B0649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c>
          <w:tcPr>
            <w:tcW w:w="746" w:type="pct"/>
            <w:tcBorders>
              <w:top w:val="nil"/>
              <w:left w:val="nil"/>
              <w:bottom w:val="nil"/>
              <w:right w:val="nil"/>
            </w:tcBorders>
            <w:noWrap/>
            <w:vAlign w:val="bottom"/>
            <w:hideMark/>
          </w:tcPr>
          <w:p w14:paraId="6210FCB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710" w:type="pct"/>
            <w:tcBorders>
              <w:top w:val="nil"/>
              <w:left w:val="nil"/>
              <w:bottom w:val="nil"/>
              <w:right w:val="nil"/>
            </w:tcBorders>
            <w:noWrap/>
            <w:vAlign w:val="bottom"/>
            <w:hideMark/>
          </w:tcPr>
          <w:p w14:paraId="40BC6B0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1.81</w:t>
            </w:r>
          </w:p>
        </w:tc>
      </w:tr>
      <w:tr w:rsidR="00F908AB" w:rsidRPr="00BE5472" w14:paraId="4F8887AD" w14:textId="77777777" w:rsidTr="003C2F5B">
        <w:trPr>
          <w:trHeight w:val="300"/>
        </w:trPr>
        <w:tc>
          <w:tcPr>
            <w:tcW w:w="1420" w:type="pct"/>
            <w:tcBorders>
              <w:top w:val="nil"/>
              <w:left w:val="nil"/>
              <w:bottom w:val="nil"/>
              <w:right w:val="nil"/>
            </w:tcBorders>
            <w:noWrap/>
            <w:vAlign w:val="bottom"/>
            <w:hideMark/>
          </w:tcPr>
          <w:p w14:paraId="3D50366E"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4944E47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72FC8BA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5D86863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1.08</w:t>
            </w:r>
          </w:p>
        </w:tc>
        <w:tc>
          <w:tcPr>
            <w:tcW w:w="710" w:type="pct"/>
            <w:tcBorders>
              <w:top w:val="nil"/>
              <w:left w:val="nil"/>
              <w:bottom w:val="nil"/>
              <w:right w:val="nil"/>
            </w:tcBorders>
            <w:noWrap/>
            <w:vAlign w:val="bottom"/>
            <w:hideMark/>
          </w:tcPr>
          <w:p w14:paraId="0CD8ED0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c>
          <w:tcPr>
            <w:tcW w:w="746" w:type="pct"/>
            <w:tcBorders>
              <w:top w:val="nil"/>
              <w:left w:val="nil"/>
              <w:bottom w:val="nil"/>
              <w:right w:val="nil"/>
            </w:tcBorders>
            <w:noWrap/>
            <w:vAlign w:val="bottom"/>
            <w:hideMark/>
          </w:tcPr>
          <w:p w14:paraId="790A5D6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710" w:type="pct"/>
            <w:tcBorders>
              <w:top w:val="nil"/>
              <w:left w:val="nil"/>
              <w:bottom w:val="nil"/>
              <w:right w:val="nil"/>
            </w:tcBorders>
            <w:noWrap/>
            <w:vAlign w:val="bottom"/>
            <w:hideMark/>
          </w:tcPr>
          <w:p w14:paraId="1DAEA1F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1.81</w:t>
            </w:r>
          </w:p>
        </w:tc>
      </w:tr>
      <w:tr w:rsidR="00F908AB" w:rsidRPr="00BE5472" w14:paraId="746D638A" w14:textId="77777777" w:rsidTr="003C2F5B">
        <w:trPr>
          <w:trHeight w:val="300"/>
        </w:trPr>
        <w:tc>
          <w:tcPr>
            <w:tcW w:w="1420" w:type="pct"/>
            <w:tcBorders>
              <w:top w:val="nil"/>
              <w:left w:val="nil"/>
              <w:bottom w:val="nil"/>
              <w:right w:val="nil"/>
            </w:tcBorders>
            <w:noWrap/>
            <w:vAlign w:val="bottom"/>
            <w:hideMark/>
          </w:tcPr>
          <w:p w14:paraId="43C9D6D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14475B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2A63AA8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4C91720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1.01</w:t>
            </w:r>
          </w:p>
        </w:tc>
        <w:tc>
          <w:tcPr>
            <w:tcW w:w="710" w:type="pct"/>
            <w:tcBorders>
              <w:top w:val="nil"/>
              <w:left w:val="nil"/>
              <w:bottom w:val="nil"/>
              <w:right w:val="nil"/>
            </w:tcBorders>
            <w:noWrap/>
            <w:vAlign w:val="bottom"/>
            <w:hideMark/>
          </w:tcPr>
          <w:p w14:paraId="02D05BD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46" w:type="pct"/>
            <w:tcBorders>
              <w:top w:val="nil"/>
              <w:left w:val="nil"/>
              <w:bottom w:val="nil"/>
              <w:right w:val="nil"/>
            </w:tcBorders>
            <w:noWrap/>
            <w:vAlign w:val="bottom"/>
            <w:hideMark/>
          </w:tcPr>
          <w:p w14:paraId="0E605D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0.80</w:t>
            </w:r>
          </w:p>
        </w:tc>
        <w:tc>
          <w:tcPr>
            <w:tcW w:w="710" w:type="pct"/>
            <w:tcBorders>
              <w:top w:val="nil"/>
              <w:left w:val="nil"/>
              <w:bottom w:val="nil"/>
              <w:right w:val="nil"/>
            </w:tcBorders>
            <w:noWrap/>
            <w:vAlign w:val="bottom"/>
            <w:hideMark/>
          </w:tcPr>
          <w:p w14:paraId="21EF4D1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1.37</w:t>
            </w:r>
          </w:p>
        </w:tc>
      </w:tr>
      <w:tr w:rsidR="00F908AB" w:rsidRPr="00BE5472" w14:paraId="656247A9" w14:textId="77777777" w:rsidTr="003C2F5B">
        <w:trPr>
          <w:trHeight w:val="300"/>
        </w:trPr>
        <w:tc>
          <w:tcPr>
            <w:tcW w:w="1420" w:type="pct"/>
            <w:tcBorders>
              <w:top w:val="nil"/>
              <w:left w:val="nil"/>
              <w:bottom w:val="nil"/>
              <w:right w:val="nil"/>
            </w:tcBorders>
            <w:noWrap/>
            <w:vAlign w:val="bottom"/>
            <w:hideMark/>
          </w:tcPr>
          <w:p w14:paraId="23908C76" w14:textId="3B259EE2"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lastRenderedPageBreak/>
              <w:t>Koeficijent zaduženost</w:t>
            </w:r>
            <w:r w:rsidR="00DB7AF5" w:rsidRPr="00BE5472">
              <w:rPr>
                <w:rFonts w:ascii="Times New Roman" w:eastAsia="Times New Roman" w:hAnsi="Times New Roman" w:cs="Times New Roman"/>
                <w:color w:val="000000"/>
                <w:sz w:val="24"/>
                <w:szCs w:val="24"/>
                <w:lang w:eastAsia="hr-HR"/>
              </w:rPr>
              <w:t>i</w:t>
            </w:r>
          </w:p>
        </w:tc>
        <w:tc>
          <w:tcPr>
            <w:tcW w:w="500" w:type="pct"/>
            <w:tcBorders>
              <w:top w:val="nil"/>
              <w:left w:val="nil"/>
              <w:bottom w:val="nil"/>
              <w:right w:val="nil"/>
            </w:tcBorders>
            <w:noWrap/>
            <w:vAlign w:val="bottom"/>
            <w:hideMark/>
          </w:tcPr>
          <w:p w14:paraId="7B6950E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1252679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7E5C0D0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0.46</w:t>
            </w:r>
          </w:p>
        </w:tc>
        <w:tc>
          <w:tcPr>
            <w:tcW w:w="710" w:type="pct"/>
            <w:tcBorders>
              <w:top w:val="nil"/>
              <w:left w:val="nil"/>
              <w:bottom w:val="nil"/>
              <w:right w:val="nil"/>
            </w:tcBorders>
            <w:noWrap/>
            <w:vAlign w:val="bottom"/>
            <w:hideMark/>
          </w:tcPr>
          <w:p w14:paraId="2C6BA55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746" w:type="pct"/>
            <w:tcBorders>
              <w:top w:val="nil"/>
              <w:left w:val="nil"/>
              <w:bottom w:val="nil"/>
              <w:right w:val="nil"/>
            </w:tcBorders>
            <w:noWrap/>
            <w:vAlign w:val="bottom"/>
            <w:hideMark/>
          </w:tcPr>
          <w:p w14:paraId="38B313F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10" w:type="pct"/>
            <w:tcBorders>
              <w:top w:val="nil"/>
              <w:left w:val="nil"/>
              <w:bottom w:val="nil"/>
              <w:right w:val="nil"/>
            </w:tcBorders>
            <w:noWrap/>
            <w:vAlign w:val="bottom"/>
            <w:hideMark/>
          </w:tcPr>
          <w:p w14:paraId="49127D6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0.69</w:t>
            </w:r>
          </w:p>
        </w:tc>
      </w:tr>
      <w:tr w:rsidR="00F908AB" w:rsidRPr="00BE5472" w14:paraId="596B78CD" w14:textId="77777777" w:rsidTr="003C2F5B">
        <w:trPr>
          <w:trHeight w:val="300"/>
        </w:trPr>
        <w:tc>
          <w:tcPr>
            <w:tcW w:w="1420" w:type="pct"/>
            <w:tcBorders>
              <w:top w:val="nil"/>
              <w:left w:val="nil"/>
              <w:bottom w:val="nil"/>
              <w:right w:val="nil"/>
            </w:tcBorders>
            <w:noWrap/>
            <w:vAlign w:val="bottom"/>
            <w:hideMark/>
          </w:tcPr>
          <w:p w14:paraId="06641DC7"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49D706A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5927FB3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6DDCEA5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0.46</w:t>
            </w:r>
          </w:p>
        </w:tc>
        <w:tc>
          <w:tcPr>
            <w:tcW w:w="710" w:type="pct"/>
            <w:tcBorders>
              <w:top w:val="nil"/>
              <w:left w:val="nil"/>
              <w:bottom w:val="nil"/>
              <w:right w:val="nil"/>
            </w:tcBorders>
            <w:noWrap/>
            <w:vAlign w:val="bottom"/>
            <w:hideMark/>
          </w:tcPr>
          <w:p w14:paraId="4F17978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746" w:type="pct"/>
            <w:tcBorders>
              <w:top w:val="nil"/>
              <w:left w:val="nil"/>
              <w:bottom w:val="nil"/>
              <w:right w:val="nil"/>
            </w:tcBorders>
            <w:noWrap/>
            <w:vAlign w:val="bottom"/>
            <w:hideMark/>
          </w:tcPr>
          <w:p w14:paraId="571DC4A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10" w:type="pct"/>
            <w:tcBorders>
              <w:top w:val="nil"/>
              <w:left w:val="nil"/>
              <w:bottom w:val="nil"/>
              <w:right w:val="nil"/>
            </w:tcBorders>
            <w:noWrap/>
            <w:vAlign w:val="bottom"/>
            <w:hideMark/>
          </w:tcPr>
          <w:p w14:paraId="2C0F13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0.69</w:t>
            </w:r>
          </w:p>
        </w:tc>
      </w:tr>
      <w:tr w:rsidR="00F908AB" w:rsidRPr="00BE5472" w14:paraId="6D089DF9" w14:textId="77777777" w:rsidTr="003C2F5B">
        <w:trPr>
          <w:trHeight w:val="300"/>
        </w:trPr>
        <w:tc>
          <w:tcPr>
            <w:tcW w:w="1420" w:type="pct"/>
            <w:tcBorders>
              <w:top w:val="nil"/>
              <w:left w:val="nil"/>
              <w:bottom w:val="nil"/>
              <w:right w:val="nil"/>
            </w:tcBorders>
            <w:noWrap/>
            <w:vAlign w:val="bottom"/>
            <w:hideMark/>
          </w:tcPr>
          <w:p w14:paraId="0B063AE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090D542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5F623F8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572BCBF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0.45</w:t>
            </w:r>
          </w:p>
        </w:tc>
        <w:tc>
          <w:tcPr>
            <w:tcW w:w="710" w:type="pct"/>
            <w:tcBorders>
              <w:top w:val="nil"/>
              <w:left w:val="nil"/>
              <w:bottom w:val="nil"/>
              <w:right w:val="nil"/>
            </w:tcBorders>
            <w:noWrap/>
            <w:vAlign w:val="bottom"/>
            <w:hideMark/>
          </w:tcPr>
          <w:p w14:paraId="463CF68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746" w:type="pct"/>
            <w:tcBorders>
              <w:top w:val="nil"/>
              <w:left w:val="nil"/>
              <w:bottom w:val="nil"/>
              <w:right w:val="nil"/>
            </w:tcBorders>
            <w:noWrap/>
            <w:vAlign w:val="bottom"/>
            <w:hideMark/>
          </w:tcPr>
          <w:p w14:paraId="2BCBA36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c>
          <w:tcPr>
            <w:tcW w:w="710" w:type="pct"/>
            <w:tcBorders>
              <w:top w:val="nil"/>
              <w:left w:val="nil"/>
              <w:bottom w:val="nil"/>
              <w:right w:val="nil"/>
            </w:tcBorders>
            <w:noWrap/>
            <w:vAlign w:val="bottom"/>
            <w:hideMark/>
          </w:tcPr>
          <w:p w14:paraId="3E480C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0.67</w:t>
            </w:r>
          </w:p>
        </w:tc>
      </w:tr>
      <w:tr w:rsidR="00F908AB" w:rsidRPr="00BE5472" w14:paraId="59742B66" w14:textId="77777777" w:rsidTr="003C2F5B">
        <w:trPr>
          <w:trHeight w:val="300"/>
        </w:trPr>
        <w:tc>
          <w:tcPr>
            <w:tcW w:w="1420" w:type="pct"/>
            <w:tcBorders>
              <w:top w:val="nil"/>
              <w:left w:val="nil"/>
              <w:bottom w:val="nil"/>
              <w:right w:val="nil"/>
            </w:tcBorders>
            <w:noWrap/>
            <w:vAlign w:val="bottom"/>
            <w:hideMark/>
          </w:tcPr>
          <w:p w14:paraId="7EA1420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Tržišna vrijednost dionica</w:t>
            </w:r>
          </w:p>
        </w:tc>
        <w:tc>
          <w:tcPr>
            <w:tcW w:w="500" w:type="pct"/>
            <w:tcBorders>
              <w:top w:val="nil"/>
              <w:left w:val="nil"/>
              <w:bottom w:val="nil"/>
              <w:right w:val="nil"/>
            </w:tcBorders>
            <w:noWrap/>
            <w:vAlign w:val="bottom"/>
            <w:hideMark/>
          </w:tcPr>
          <w:p w14:paraId="0B7002CF"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63286C1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w:t>
            </w:r>
          </w:p>
        </w:tc>
        <w:tc>
          <w:tcPr>
            <w:tcW w:w="710" w:type="pct"/>
            <w:tcBorders>
              <w:top w:val="nil"/>
              <w:left w:val="nil"/>
              <w:bottom w:val="nil"/>
              <w:right w:val="nil"/>
            </w:tcBorders>
            <w:noWrap/>
            <w:vAlign w:val="bottom"/>
            <w:hideMark/>
          </w:tcPr>
          <w:p w14:paraId="20C733E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4,427,506,846</w:t>
            </w:r>
          </w:p>
        </w:tc>
        <w:tc>
          <w:tcPr>
            <w:tcW w:w="710" w:type="pct"/>
            <w:tcBorders>
              <w:top w:val="nil"/>
              <w:left w:val="nil"/>
              <w:bottom w:val="nil"/>
              <w:right w:val="nil"/>
            </w:tcBorders>
            <w:noWrap/>
            <w:vAlign w:val="bottom"/>
            <w:hideMark/>
          </w:tcPr>
          <w:p w14:paraId="151EE95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2,210,544,082</w:t>
            </w:r>
          </w:p>
        </w:tc>
        <w:tc>
          <w:tcPr>
            <w:tcW w:w="746" w:type="pct"/>
            <w:tcBorders>
              <w:top w:val="nil"/>
              <w:left w:val="nil"/>
              <w:bottom w:val="nil"/>
              <w:right w:val="nil"/>
            </w:tcBorders>
            <w:noWrap/>
            <w:vAlign w:val="bottom"/>
            <w:hideMark/>
          </w:tcPr>
          <w:p w14:paraId="5DEA0F2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894,704,618</w:t>
            </w:r>
          </w:p>
        </w:tc>
        <w:tc>
          <w:tcPr>
            <w:tcW w:w="710" w:type="pct"/>
            <w:tcBorders>
              <w:top w:val="nil"/>
              <w:left w:val="nil"/>
              <w:bottom w:val="nil"/>
              <w:right w:val="nil"/>
            </w:tcBorders>
            <w:noWrap/>
            <w:vAlign w:val="bottom"/>
            <w:hideMark/>
          </w:tcPr>
          <w:p w14:paraId="7753807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9,078,384,000</w:t>
            </w:r>
          </w:p>
        </w:tc>
      </w:tr>
      <w:tr w:rsidR="00F908AB" w:rsidRPr="00BE5472" w14:paraId="2F6CEC80" w14:textId="77777777" w:rsidTr="003C2F5B">
        <w:trPr>
          <w:trHeight w:val="300"/>
        </w:trPr>
        <w:tc>
          <w:tcPr>
            <w:tcW w:w="1420" w:type="pct"/>
            <w:tcBorders>
              <w:top w:val="nil"/>
              <w:left w:val="nil"/>
              <w:bottom w:val="nil"/>
              <w:right w:val="nil"/>
            </w:tcBorders>
            <w:noWrap/>
            <w:vAlign w:val="bottom"/>
            <w:hideMark/>
          </w:tcPr>
          <w:p w14:paraId="58B1BDB2"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5C7471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38FFB0C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w:t>
            </w:r>
          </w:p>
        </w:tc>
        <w:tc>
          <w:tcPr>
            <w:tcW w:w="710" w:type="pct"/>
            <w:tcBorders>
              <w:top w:val="nil"/>
              <w:left w:val="nil"/>
              <w:bottom w:val="nil"/>
              <w:right w:val="nil"/>
            </w:tcBorders>
            <w:noWrap/>
            <w:vAlign w:val="bottom"/>
            <w:hideMark/>
          </w:tcPr>
          <w:p w14:paraId="442E61B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3,717,317,618</w:t>
            </w:r>
          </w:p>
        </w:tc>
        <w:tc>
          <w:tcPr>
            <w:tcW w:w="710" w:type="pct"/>
            <w:tcBorders>
              <w:top w:val="nil"/>
              <w:left w:val="nil"/>
              <w:bottom w:val="nil"/>
              <w:right w:val="nil"/>
            </w:tcBorders>
            <w:noWrap/>
            <w:vAlign w:val="bottom"/>
            <w:hideMark/>
          </w:tcPr>
          <w:p w14:paraId="4267A0F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2,610,029,787</w:t>
            </w:r>
          </w:p>
        </w:tc>
        <w:tc>
          <w:tcPr>
            <w:tcW w:w="746" w:type="pct"/>
            <w:tcBorders>
              <w:top w:val="nil"/>
              <w:left w:val="nil"/>
              <w:bottom w:val="nil"/>
              <w:right w:val="nil"/>
            </w:tcBorders>
            <w:noWrap/>
            <w:vAlign w:val="bottom"/>
            <w:hideMark/>
          </w:tcPr>
          <w:p w14:paraId="1C97FF4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894,704,618</w:t>
            </w:r>
          </w:p>
        </w:tc>
        <w:tc>
          <w:tcPr>
            <w:tcW w:w="710" w:type="pct"/>
            <w:tcBorders>
              <w:top w:val="nil"/>
              <w:left w:val="nil"/>
              <w:bottom w:val="nil"/>
              <w:right w:val="nil"/>
            </w:tcBorders>
            <w:noWrap/>
            <w:vAlign w:val="bottom"/>
            <w:hideMark/>
          </w:tcPr>
          <w:p w14:paraId="0E27FEF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9,078,384,000</w:t>
            </w:r>
          </w:p>
        </w:tc>
      </w:tr>
      <w:tr w:rsidR="00F908AB" w:rsidRPr="00BE5472" w14:paraId="741DF408" w14:textId="77777777" w:rsidTr="003C2F5B">
        <w:trPr>
          <w:trHeight w:val="300"/>
        </w:trPr>
        <w:tc>
          <w:tcPr>
            <w:tcW w:w="1420" w:type="pct"/>
            <w:tcBorders>
              <w:top w:val="nil"/>
              <w:left w:val="nil"/>
              <w:bottom w:val="nil"/>
              <w:right w:val="nil"/>
            </w:tcBorders>
            <w:noWrap/>
            <w:vAlign w:val="bottom"/>
            <w:hideMark/>
          </w:tcPr>
          <w:p w14:paraId="00B9A8C5"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D8C3ED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3854B86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w:t>
            </w:r>
          </w:p>
        </w:tc>
        <w:tc>
          <w:tcPr>
            <w:tcW w:w="710" w:type="pct"/>
            <w:tcBorders>
              <w:top w:val="nil"/>
              <w:left w:val="nil"/>
              <w:bottom w:val="nil"/>
              <w:right w:val="nil"/>
            </w:tcBorders>
            <w:noWrap/>
            <w:vAlign w:val="bottom"/>
            <w:hideMark/>
          </w:tcPr>
          <w:p w14:paraId="2533CA4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4,874,663,026</w:t>
            </w:r>
          </w:p>
        </w:tc>
        <w:tc>
          <w:tcPr>
            <w:tcW w:w="710" w:type="pct"/>
            <w:tcBorders>
              <w:top w:val="nil"/>
              <w:left w:val="nil"/>
              <w:bottom w:val="nil"/>
              <w:right w:val="nil"/>
            </w:tcBorders>
            <w:noWrap/>
            <w:vAlign w:val="bottom"/>
            <w:hideMark/>
          </w:tcPr>
          <w:p w14:paraId="4EE48EE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1,830,833,680</w:t>
            </w:r>
          </w:p>
        </w:tc>
        <w:tc>
          <w:tcPr>
            <w:tcW w:w="746" w:type="pct"/>
            <w:tcBorders>
              <w:top w:val="nil"/>
              <w:left w:val="nil"/>
              <w:bottom w:val="nil"/>
              <w:right w:val="nil"/>
            </w:tcBorders>
            <w:noWrap/>
            <w:vAlign w:val="bottom"/>
            <w:hideMark/>
          </w:tcPr>
          <w:p w14:paraId="314A8D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2,790,233,286</w:t>
            </w:r>
          </w:p>
        </w:tc>
        <w:tc>
          <w:tcPr>
            <w:tcW w:w="710" w:type="pct"/>
            <w:tcBorders>
              <w:top w:val="nil"/>
              <w:left w:val="nil"/>
              <w:bottom w:val="nil"/>
              <w:right w:val="nil"/>
            </w:tcBorders>
            <w:noWrap/>
            <w:vAlign w:val="bottom"/>
            <w:hideMark/>
          </w:tcPr>
          <w:p w14:paraId="14113B5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8,662,152,000</w:t>
            </w:r>
          </w:p>
        </w:tc>
      </w:tr>
      <w:tr w:rsidR="00F908AB" w:rsidRPr="00BE5472" w14:paraId="56838976" w14:textId="77777777" w:rsidTr="003C2F5B">
        <w:trPr>
          <w:trHeight w:val="300"/>
        </w:trPr>
        <w:tc>
          <w:tcPr>
            <w:tcW w:w="1921" w:type="pct"/>
            <w:gridSpan w:val="2"/>
            <w:tcBorders>
              <w:top w:val="nil"/>
              <w:left w:val="nil"/>
              <w:bottom w:val="nil"/>
              <w:right w:val="nil"/>
            </w:tcBorders>
            <w:noWrap/>
            <w:vAlign w:val="bottom"/>
            <w:hideMark/>
          </w:tcPr>
          <w:p w14:paraId="3C27D40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Tržišna vrijednost dionica (LOG)</w:t>
            </w:r>
          </w:p>
        </w:tc>
        <w:tc>
          <w:tcPr>
            <w:tcW w:w="204" w:type="pct"/>
            <w:tcBorders>
              <w:top w:val="nil"/>
              <w:left w:val="nil"/>
              <w:bottom w:val="nil"/>
              <w:right w:val="nil"/>
            </w:tcBorders>
            <w:noWrap/>
            <w:vAlign w:val="bottom"/>
            <w:hideMark/>
          </w:tcPr>
          <w:p w14:paraId="5EFE444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5B8EE81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7.67</w:t>
            </w:r>
          </w:p>
        </w:tc>
        <w:tc>
          <w:tcPr>
            <w:tcW w:w="710" w:type="pct"/>
            <w:tcBorders>
              <w:top w:val="nil"/>
              <w:left w:val="nil"/>
              <w:bottom w:val="nil"/>
              <w:right w:val="nil"/>
            </w:tcBorders>
            <w:noWrap/>
            <w:vAlign w:val="bottom"/>
            <w:hideMark/>
          </w:tcPr>
          <w:p w14:paraId="146A4A9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3.88</w:t>
            </w:r>
          </w:p>
        </w:tc>
        <w:tc>
          <w:tcPr>
            <w:tcW w:w="746" w:type="pct"/>
            <w:tcBorders>
              <w:top w:val="nil"/>
              <w:left w:val="nil"/>
              <w:bottom w:val="nil"/>
              <w:right w:val="nil"/>
            </w:tcBorders>
            <w:noWrap/>
            <w:vAlign w:val="bottom"/>
            <w:hideMark/>
          </w:tcPr>
          <w:p w14:paraId="4CBD52D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710" w:type="pct"/>
            <w:tcBorders>
              <w:top w:val="nil"/>
              <w:left w:val="nil"/>
              <w:bottom w:val="nil"/>
              <w:right w:val="nil"/>
            </w:tcBorders>
            <w:noWrap/>
            <w:vAlign w:val="bottom"/>
            <w:hideMark/>
          </w:tcPr>
          <w:p w14:paraId="161FA18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9.96</w:t>
            </w:r>
          </w:p>
        </w:tc>
      </w:tr>
      <w:tr w:rsidR="00F908AB" w:rsidRPr="00BE5472" w14:paraId="7610076C" w14:textId="77777777" w:rsidTr="003C2F5B">
        <w:trPr>
          <w:trHeight w:val="300"/>
        </w:trPr>
        <w:tc>
          <w:tcPr>
            <w:tcW w:w="1420" w:type="pct"/>
            <w:tcBorders>
              <w:top w:val="nil"/>
              <w:left w:val="nil"/>
              <w:bottom w:val="nil"/>
              <w:right w:val="nil"/>
            </w:tcBorders>
            <w:noWrap/>
            <w:vAlign w:val="bottom"/>
            <w:hideMark/>
          </w:tcPr>
          <w:p w14:paraId="0F3D452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C93392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7705097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1748710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6.44</w:t>
            </w:r>
          </w:p>
        </w:tc>
        <w:tc>
          <w:tcPr>
            <w:tcW w:w="710" w:type="pct"/>
            <w:tcBorders>
              <w:top w:val="nil"/>
              <w:left w:val="nil"/>
              <w:bottom w:val="nil"/>
              <w:right w:val="nil"/>
            </w:tcBorders>
            <w:noWrap/>
            <w:vAlign w:val="bottom"/>
            <w:hideMark/>
          </w:tcPr>
          <w:p w14:paraId="5124AA8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4.52</w:t>
            </w:r>
          </w:p>
        </w:tc>
        <w:tc>
          <w:tcPr>
            <w:tcW w:w="746" w:type="pct"/>
            <w:tcBorders>
              <w:top w:val="nil"/>
              <w:left w:val="nil"/>
              <w:bottom w:val="nil"/>
              <w:right w:val="nil"/>
            </w:tcBorders>
            <w:noWrap/>
            <w:vAlign w:val="bottom"/>
            <w:hideMark/>
          </w:tcPr>
          <w:p w14:paraId="06AFC5F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710" w:type="pct"/>
            <w:tcBorders>
              <w:top w:val="nil"/>
              <w:left w:val="nil"/>
              <w:bottom w:val="nil"/>
              <w:right w:val="nil"/>
            </w:tcBorders>
            <w:noWrap/>
            <w:vAlign w:val="bottom"/>
            <w:hideMark/>
          </w:tcPr>
          <w:p w14:paraId="204AF11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9.96</w:t>
            </w:r>
          </w:p>
        </w:tc>
      </w:tr>
      <w:tr w:rsidR="00F908AB" w:rsidRPr="00BE5472" w14:paraId="50A1266F" w14:textId="77777777" w:rsidTr="003C2F5B">
        <w:trPr>
          <w:trHeight w:val="300"/>
        </w:trPr>
        <w:tc>
          <w:tcPr>
            <w:tcW w:w="1420" w:type="pct"/>
            <w:tcBorders>
              <w:top w:val="nil"/>
              <w:left w:val="nil"/>
              <w:bottom w:val="nil"/>
              <w:right w:val="nil"/>
            </w:tcBorders>
            <w:noWrap/>
            <w:vAlign w:val="bottom"/>
            <w:hideMark/>
          </w:tcPr>
          <w:p w14:paraId="5FF9B50A"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09A335C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5551B68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3AD53B1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8.70</w:t>
            </w:r>
          </w:p>
        </w:tc>
        <w:tc>
          <w:tcPr>
            <w:tcW w:w="710" w:type="pct"/>
            <w:tcBorders>
              <w:top w:val="nil"/>
              <w:left w:val="nil"/>
              <w:bottom w:val="nil"/>
              <w:right w:val="nil"/>
            </w:tcBorders>
            <w:noWrap/>
            <w:vAlign w:val="bottom"/>
            <w:hideMark/>
          </w:tcPr>
          <w:p w14:paraId="214851C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2.95</w:t>
            </w:r>
          </w:p>
        </w:tc>
        <w:tc>
          <w:tcPr>
            <w:tcW w:w="746" w:type="pct"/>
            <w:tcBorders>
              <w:top w:val="nil"/>
              <w:left w:val="nil"/>
              <w:bottom w:val="nil"/>
              <w:right w:val="nil"/>
            </w:tcBorders>
            <w:noWrap/>
            <w:vAlign w:val="bottom"/>
            <w:hideMark/>
          </w:tcPr>
          <w:p w14:paraId="6E75D4C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710" w:type="pct"/>
            <w:tcBorders>
              <w:top w:val="nil"/>
              <w:left w:val="nil"/>
              <w:bottom w:val="nil"/>
              <w:right w:val="nil"/>
            </w:tcBorders>
            <w:noWrap/>
            <w:vAlign w:val="bottom"/>
            <w:hideMark/>
          </w:tcPr>
          <w:p w14:paraId="397174F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9.94</w:t>
            </w:r>
          </w:p>
        </w:tc>
      </w:tr>
      <w:tr w:rsidR="00F908AB" w:rsidRPr="00BE5472" w14:paraId="08EB95C8" w14:textId="77777777" w:rsidTr="003C2F5B">
        <w:trPr>
          <w:trHeight w:val="300"/>
        </w:trPr>
        <w:tc>
          <w:tcPr>
            <w:tcW w:w="1420" w:type="pct"/>
            <w:tcBorders>
              <w:top w:val="nil"/>
              <w:left w:val="nil"/>
              <w:bottom w:val="nil"/>
              <w:right w:val="nil"/>
            </w:tcBorders>
            <w:noWrap/>
            <w:vAlign w:val="bottom"/>
            <w:hideMark/>
          </w:tcPr>
          <w:p w14:paraId="514C501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dobit po dionici</w:t>
            </w:r>
          </w:p>
        </w:tc>
        <w:tc>
          <w:tcPr>
            <w:tcW w:w="500" w:type="pct"/>
            <w:tcBorders>
              <w:top w:val="nil"/>
              <w:left w:val="nil"/>
              <w:bottom w:val="nil"/>
              <w:right w:val="nil"/>
            </w:tcBorders>
            <w:noWrap/>
            <w:vAlign w:val="bottom"/>
            <w:hideMark/>
          </w:tcPr>
          <w:p w14:paraId="77A914B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2C8C773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23C63E7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44.99</w:t>
            </w:r>
          </w:p>
        </w:tc>
        <w:tc>
          <w:tcPr>
            <w:tcW w:w="710" w:type="pct"/>
            <w:tcBorders>
              <w:top w:val="nil"/>
              <w:left w:val="nil"/>
              <w:bottom w:val="nil"/>
              <w:right w:val="nil"/>
            </w:tcBorders>
            <w:noWrap/>
            <w:vAlign w:val="bottom"/>
            <w:hideMark/>
          </w:tcPr>
          <w:p w14:paraId="0756372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79.25</w:t>
            </w:r>
          </w:p>
        </w:tc>
        <w:tc>
          <w:tcPr>
            <w:tcW w:w="746" w:type="pct"/>
            <w:tcBorders>
              <w:top w:val="nil"/>
              <w:left w:val="nil"/>
              <w:bottom w:val="nil"/>
              <w:right w:val="nil"/>
            </w:tcBorders>
            <w:noWrap/>
            <w:vAlign w:val="bottom"/>
            <w:hideMark/>
          </w:tcPr>
          <w:p w14:paraId="118E1B8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-45.45</w:t>
            </w:r>
          </w:p>
        </w:tc>
        <w:tc>
          <w:tcPr>
            <w:tcW w:w="710" w:type="pct"/>
            <w:tcBorders>
              <w:top w:val="nil"/>
              <w:left w:val="nil"/>
              <w:bottom w:val="nil"/>
              <w:right w:val="nil"/>
            </w:tcBorders>
            <w:noWrap/>
            <w:vAlign w:val="bottom"/>
            <w:hideMark/>
          </w:tcPr>
          <w:p w14:paraId="13C1B28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345.82</w:t>
            </w:r>
          </w:p>
        </w:tc>
      </w:tr>
      <w:tr w:rsidR="00F908AB" w:rsidRPr="00BE5472" w14:paraId="460BF4BB" w14:textId="77777777" w:rsidTr="003C2F5B">
        <w:trPr>
          <w:trHeight w:val="300"/>
        </w:trPr>
        <w:tc>
          <w:tcPr>
            <w:tcW w:w="1420" w:type="pct"/>
            <w:tcBorders>
              <w:top w:val="nil"/>
              <w:left w:val="nil"/>
              <w:bottom w:val="nil"/>
              <w:right w:val="nil"/>
            </w:tcBorders>
            <w:noWrap/>
            <w:vAlign w:val="bottom"/>
            <w:hideMark/>
          </w:tcPr>
          <w:p w14:paraId="50DDC2DE"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68994B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471C0B8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19F3E1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28.40</w:t>
            </w:r>
          </w:p>
        </w:tc>
        <w:tc>
          <w:tcPr>
            <w:tcW w:w="710" w:type="pct"/>
            <w:tcBorders>
              <w:top w:val="nil"/>
              <w:left w:val="nil"/>
              <w:bottom w:val="nil"/>
              <w:right w:val="nil"/>
            </w:tcBorders>
            <w:noWrap/>
            <w:vAlign w:val="bottom"/>
            <w:hideMark/>
          </w:tcPr>
          <w:p w14:paraId="3C1E33E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44.41</w:t>
            </w:r>
          </w:p>
        </w:tc>
        <w:tc>
          <w:tcPr>
            <w:tcW w:w="746" w:type="pct"/>
            <w:tcBorders>
              <w:top w:val="nil"/>
              <w:left w:val="nil"/>
              <w:bottom w:val="nil"/>
              <w:right w:val="nil"/>
            </w:tcBorders>
            <w:noWrap/>
            <w:vAlign w:val="bottom"/>
            <w:hideMark/>
          </w:tcPr>
          <w:p w14:paraId="6DBA074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-30.00</w:t>
            </w:r>
          </w:p>
        </w:tc>
        <w:tc>
          <w:tcPr>
            <w:tcW w:w="710" w:type="pct"/>
            <w:tcBorders>
              <w:top w:val="nil"/>
              <w:left w:val="nil"/>
              <w:bottom w:val="nil"/>
              <w:right w:val="nil"/>
            </w:tcBorders>
            <w:noWrap/>
            <w:vAlign w:val="bottom"/>
            <w:hideMark/>
          </w:tcPr>
          <w:p w14:paraId="14B6DB6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184.94</w:t>
            </w:r>
          </w:p>
        </w:tc>
      </w:tr>
      <w:tr w:rsidR="00F908AB" w:rsidRPr="00BE5472" w14:paraId="50CC911B" w14:textId="77777777" w:rsidTr="003C2F5B">
        <w:trPr>
          <w:trHeight w:val="300"/>
        </w:trPr>
        <w:tc>
          <w:tcPr>
            <w:tcW w:w="1420" w:type="pct"/>
            <w:tcBorders>
              <w:top w:val="nil"/>
              <w:left w:val="nil"/>
              <w:bottom w:val="nil"/>
              <w:right w:val="nil"/>
            </w:tcBorders>
            <w:noWrap/>
            <w:vAlign w:val="bottom"/>
            <w:hideMark/>
          </w:tcPr>
          <w:p w14:paraId="53B87C81"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78D412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310911F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44021AC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58.81</w:t>
            </w:r>
          </w:p>
        </w:tc>
        <w:tc>
          <w:tcPr>
            <w:tcW w:w="710" w:type="pct"/>
            <w:tcBorders>
              <w:top w:val="nil"/>
              <w:left w:val="nil"/>
              <w:bottom w:val="nil"/>
              <w:right w:val="nil"/>
            </w:tcBorders>
            <w:noWrap/>
            <w:vAlign w:val="bottom"/>
            <w:hideMark/>
          </w:tcPr>
          <w:p w14:paraId="1FCAF28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98.13</w:t>
            </w:r>
          </w:p>
        </w:tc>
        <w:tc>
          <w:tcPr>
            <w:tcW w:w="746" w:type="pct"/>
            <w:tcBorders>
              <w:top w:val="nil"/>
              <w:left w:val="nil"/>
              <w:bottom w:val="nil"/>
              <w:right w:val="nil"/>
            </w:tcBorders>
            <w:noWrap/>
            <w:vAlign w:val="bottom"/>
            <w:hideMark/>
          </w:tcPr>
          <w:p w14:paraId="47C8016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-45.45</w:t>
            </w:r>
          </w:p>
        </w:tc>
        <w:tc>
          <w:tcPr>
            <w:tcW w:w="710" w:type="pct"/>
            <w:tcBorders>
              <w:top w:val="nil"/>
              <w:left w:val="nil"/>
              <w:bottom w:val="nil"/>
              <w:right w:val="nil"/>
            </w:tcBorders>
            <w:noWrap/>
            <w:vAlign w:val="bottom"/>
            <w:hideMark/>
          </w:tcPr>
          <w:p w14:paraId="5EE9F79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345.82</w:t>
            </w:r>
          </w:p>
        </w:tc>
      </w:tr>
      <w:tr w:rsidR="00F908AB" w:rsidRPr="00BE5472" w14:paraId="5F5FDAB8" w14:textId="77777777" w:rsidTr="003C2F5B">
        <w:trPr>
          <w:trHeight w:val="300"/>
        </w:trPr>
        <w:tc>
          <w:tcPr>
            <w:tcW w:w="1420" w:type="pct"/>
            <w:tcBorders>
              <w:top w:val="nil"/>
              <w:left w:val="nil"/>
              <w:bottom w:val="nil"/>
              <w:right w:val="nil"/>
            </w:tcBorders>
            <w:noWrap/>
            <w:vAlign w:val="bottom"/>
            <w:hideMark/>
          </w:tcPr>
          <w:p w14:paraId="52E7A18F"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Dividenda do dionici</w:t>
            </w:r>
          </w:p>
        </w:tc>
        <w:tc>
          <w:tcPr>
            <w:tcW w:w="500" w:type="pct"/>
            <w:tcBorders>
              <w:top w:val="nil"/>
              <w:left w:val="nil"/>
              <w:bottom w:val="nil"/>
              <w:right w:val="nil"/>
            </w:tcBorders>
            <w:noWrap/>
            <w:vAlign w:val="bottom"/>
            <w:hideMark/>
          </w:tcPr>
          <w:p w14:paraId="1B2DC23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45818F7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w:t>
            </w:r>
          </w:p>
        </w:tc>
        <w:tc>
          <w:tcPr>
            <w:tcW w:w="710" w:type="pct"/>
            <w:tcBorders>
              <w:top w:val="nil"/>
              <w:left w:val="nil"/>
              <w:bottom w:val="nil"/>
              <w:right w:val="nil"/>
            </w:tcBorders>
            <w:noWrap/>
            <w:vAlign w:val="bottom"/>
            <w:hideMark/>
          </w:tcPr>
          <w:p w14:paraId="166921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20.71</w:t>
            </w:r>
          </w:p>
        </w:tc>
        <w:tc>
          <w:tcPr>
            <w:tcW w:w="710" w:type="pct"/>
            <w:tcBorders>
              <w:top w:val="nil"/>
              <w:left w:val="nil"/>
              <w:bottom w:val="nil"/>
              <w:right w:val="nil"/>
            </w:tcBorders>
            <w:noWrap/>
            <w:vAlign w:val="bottom"/>
            <w:hideMark/>
          </w:tcPr>
          <w:p w14:paraId="5A2B3CA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43.07</w:t>
            </w:r>
          </w:p>
        </w:tc>
        <w:tc>
          <w:tcPr>
            <w:tcW w:w="746" w:type="pct"/>
            <w:tcBorders>
              <w:top w:val="nil"/>
              <w:left w:val="nil"/>
              <w:bottom w:val="nil"/>
              <w:right w:val="nil"/>
            </w:tcBorders>
            <w:noWrap/>
            <w:vAlign w:val="bottom"/>
            <w:hideMark/>
          </w:tcPr>
          <w:p w14:paraId="47C2A31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10" w:type="pct"/>
            <w:tcBorders>
              <w:top w:val="nil"/>
              <w:left w:val="nil"/>
              <w:bottom w:val="nil"/>
              <w:right w:val="nil"/>
            </w:tcBorders>
            <w:noWrap/>
            <w:vAlign w:val="bottom"/>
            <w:hideMark/>
          </w:tcPr>
          <w:p w14:paraId="10F699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236.10</w:t>
            </w:r>
          </w:p>
        </w:tc>
      </w:tr>
      <w:tr w:rsidR="00F908AB" w:rsidRPr="00BE5472" w14:paraId="5BD2502E" w14:textId="77777777" w:rsidTr="003C2F5B">
        <w:trPr>
          <w:trHeight w:val="300"/>
        </w:trPr>
        <w:tc>
          <w:tcPr>
            <w:tcW w:w="1420" w:type="pct"/>
            <w:tcBorders>
              <w:top w:val="nil"/>
              <w:left w:val="nil"/>
              <w:bottom w:val="nil"/>
              <w:right w:val="nil"/>
            </w:tcBorders>
            <w:noWrap/>
            <w:vAlign w:val="bottom"/>
            <w:hideMark/>
          </w:tcPr>
          <w:p w14:paraId="7B56B096"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47C1725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634C333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w:t>
            </w:r>
          </w:p>
        </w:tc>
        <w:tc>
          <w:tcPr>
            <w:tcW w:w="710" w:type="pct"/>
            <w:tcBorders>
              <w:top w:val="nil"/>
              <w:left w:val="nil"/>
              <w:bottom w:val="nil"/>
              <w:right w:val="nil"/>
            </w:tcBorders>
            <w:noWrap/>
            <w:vAlign w:val="bottom"/>
            <w:hideMark/>
          </w:tcPr>
          <w:p w14:paraId="7D55CD5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14.98</w:t>
            </w:r>
          </w:p>
        </w:tc>
        <w:tc>
          <w:tcPr>
            <w:tcW w:w="710" w:type="pct"/>
            <w:tcBorders>
              <w:top w:val="nil"/>
              <w:left w:val="nil"/>
              <w:bottom w:val="nil"/>
              <w:right w:val="nil"/>
            </w:tcBorders>
            <w:noWrap/>
            <w:vAlign w:val="bottom"/>
            <w:hideMark/>
          </w:tcPr>
          <w:p w14:paraId="5FB3BFA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21.55</w:t>
            </w:r>
          </w:p>
        </w:tc>
        <w:tc>
          <w:tcPr>
            <w:tcW w:w="746" w:type="pct"/>
            <w:tcBorders>
              <w:top w:val="nil"/>
              <w:left w:val="nil"/>
              <w:bottom w:val="nil"/>
              <w:right w:val="nil"/>
            </w:tcBorders>
            <w:noWrap/>
            <w:vAlign w:val="bottom"/>
            <w:hideMark/>
          </w:tcPr>
          <w:p w14:paraId="0DCC27F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c>
          <w:tcPr>
            <w:tcW w:w="710" w:type="pct"/>
            <w:tcBorders>
              <w:top w:val="nil"/>
              <w:left w:val="nil"/>
              <w:bottom w:val="nil"/>
              <w:right w:val="nil"/>
            </w:tcBorders>
            <w:noWrap/>
            <w:vAlign w:val="bottom"/>
            <w:hideMark/>
          </w:tcPr>
          <w:p w14:paraId="6C24D3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86.50</w:t>
            </w:r>
          </w:p>
        </w:tc>
      </w:tr>
      <w:tr w:rsidR="00F908AB" w:rsidRPr="00BE5472" w14:paraId="648FF330" w14:textId="77777777" w:rsidTr="003C2F5B">
        <w:trPr>
          <w:trHeight w:val="300"/>
        </w:trPr>
        <w:tc>
          <w:tcPr>
            <w:tcW w:w="1420" w:type="pct"/>
            <w:tcBorders>
              <w:top w:val="nil"/>
              <w:left w:val="nil"/>
              <w:bottom w:val="nil"/>
              <w:right w:val="nil"/>
            </w:tcBorders>
            <w:noWrap/>
            <w:vAlign w:val="bottom"/>
            <w:hideMark/>
          </w:tcPr>
          <w:p w14:paraId="2E5AD29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D4E01E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64AC28A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w:t>
            </w:r>
          </w:p>
        </w:tc>
        <w:tc>
          <w:tcPr>
            <w:tcW w:w="710" w:type="pct"/>
            <w:tcBorders>
              <w:top w:val="nil"/>
              <w:left w:val="nil"/>
              <w:bottom w:val="nil"/>
              <w:right w:val="nil"/>
            </w:tcBorders>
            <w:noWrap/>
            <w:vAlign w:val="bottom"/>
            <w:hideMark/>
          </w:tcPr>
          <w:p w14:paraId="3BA1576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26.12</w:t>
            </w:r>
          </w:p>
        </w:tc>
        <w:tc>
          <w:tcPr>
            <w:tcW w:w="710" w:type="pct"/>
            <w:tcBorders>
              <w:top w:val="nil"/>
              <w:left w:val="nil"/>
              <w:bottom w:val="nil"/>
              <w:right w:val="nil"/>
            </w:tcBorders>
            <w:noWrap/>
            <w:vAlign w:val="bottom"/>
            <w:hideMark/>
          </w:tcPr>
          <w:p w14:paraId="37A1F89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56.64</w:t>
            </w:r>
          </w:p>
        </w:tc>
        <w:tc>
          <w:tcPr>
            <w:tcW w:w="746" w:type="pct"/>
            <w:tcBorders>
              <w:top w:val="nil"/>
              <w:left w:val="nil"/>
              <w:bottom w:val="nil"/>
              <w:right w:val="nil"/>
            </w:tcBorders>
            <w:noWrap/>
            <w:vAlign w:val="bottom"/>
            <w:hideMark/>
          </w:tcPr>
          <w:p w14:paraId="5BCB406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10" w:type="pct"/>
            <w:tcBorders>
              <w:top w:val="nil"/>
              <w:left w:val="nil"/>
              <w:bottom w:val="nil"/>
              <w:right w:val="nil"/>
            </w:tcBorders>
            <w:noWrap/>
            <w:vAlign w:val="bottom"/>
            <w:hideMark/>
          </w:tcPr>
          <w:p w14:paraId="1F719C9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236.10</w:t>
            </w:r>
          </w:p>
        </w:tc>
      </w:tr>
      <w:tr w:rsidR="00F908AB" w:rsidRPr="00BE5472" w14:paraId="1359E6E9" w14:textId="77777777" w:rsidTr="003C2F5B">
        <w:trPr>
          <w:trHeight w:val="300"/>
        </w:trPr>
        <w:tc>
          <w:tcPr>
            <w:tcW w:w="1420" w:type="pct"/>
            <w:tcBorders>
              <w:top w:val="nil"/>
              <w:left w:val="nil"/>
              <w:bottom w:val="nil"/>
              <w:right w:val="nil"/>
            </w:tcBorders>
            <w:noWrap/>
            <w:vAlign w:val="bottom"/>
            <w:hideMark/>
          </w:tcPr>
          <w:p w14:paraId="01715F1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tržišni udio</w:t>
            </w:r>
          </w:p>
        </w:tc>
        <w:tc>
          <w:tcPr>
            <w:tcW w:w="500" w:type="pct"/>
            <w:tcBorders>
              <w:top w:val="nil"/>
              <w:left w:val="nil"/>
              <w:bottom w:val="nil"/>
              <w:right w:val="nil"/>
            </w:tcBorders>
            <w:noWrap/>
            <w:vAlign w:val="bottom"/>
            <w:hideMark/>
          </w:tcPr>
          <w:p w14:paraId="7559C95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108E4CE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3E29ED3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7.51</w:t>
            </w:r>
          </w:p>
        </w:tc>
        <w:tc>
          <w:tcPr>
            <w:tcW w:w="710" w:type="pct"/>
            <w:tcBorders>
              <w:top w:val="nil"/>
              <w:left w:val="nil"/>
              <w:bottom w:val="nil"/>
              <w:right w:val="nil"/>
            </w:tcBorders>
            <w:noWrap/>
            <w:vAlign w:val="bottom"/>
            <w:hideMark/>
          </w:tcPr>
          <w:p w14:paraId="697D93D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8.50</w:t>
            </w:r>
          </w:p>
        </w:tc>
        <w:tc>
          <w:tcPr>
            <w:tcW w:w="746" w:type="pct"/>
            <w:tcBorders>
              <w:top w:val="nil"/>
              <w:left w:val="nil"/>
              <w:bottom w:val="nil"/>
              <w:right w:val="nil"/>
            </w:tcBorders>
            <w:noWrap/>
            <w:vAlign w:val="bottom"/>
            <w:hideMark/>
          </w:tcPr>
          <w:p w14:paraId="119DA8E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10" w:type="pct"/>
            <w:tcBorders>
              <w:top w:val="nil"/>
              <w:left w:val="nil"/>
              <w:bottom w:val="nil"/>
              <w:right w:val="nil"/>
            </w:tcBorders>
            <w:noWrap/>
            <w:vAlign w:val="bottom"/>
            <w:hideMark/>
          </w:tcPr>
          <w:p w14:paraId="68655AD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40.96</w:t>
            </w:r>
          </w:p>
        </w:tc>
      </w:tr>
      <w:tr w:rsidR="00F908AB" w:rsidRPr="00BE5472" w14:paraId="2D150357" w14:textId="77777777" w:rsidTr="003C2F5B">
        <w:trPr>
          <w:trHeight w:val="300"/>
        </w:trPr>
        <w:tc>
          <w:tcPr>
            <w:tcW w:w="1420" w:type="pct"/>
            <w:tcBorders>
              <w:top w:val="nil"/>
              <w:left w:val="nil"/>
              <w:bottom w:val="nil"/>
              <w:right w:val="nil"/>
            </w:tcBorders>
            <w:noWrap/>
            <w:vAlign w:val="bottom"/>
            <w:hideMark/>
          </w:tcPr>
          <w:p w14:paraId="7AFC2A18"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6E7D66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7719E93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bottom w:val="nil"/>
              <w:right w:val="nil"/>
            </w:tcBorders>
            <w:noWrap/>
            <w:vAlign w:val="bottom"/>
            <w:hideMark/>
          </w:tcPr>
          <w:p w14:paraId="3815BA9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7.80</w:t>
            </w:r>
          </w:p>
        </w:tc>
        <w:tc>
          <w:tcPr>
            <w:tcW w:w="710" w:type="pct"/>
            <w:tcBorders>
              <w:top w:val="nil"/>
              <w:left w:val="nil"/>
              <w:bottom w:val="nil"/>
              <w:right w:val="nil"/>
            </w:tcBorders>
            <w:noWrap/>
            <w:vAlign w:val="bottom"/>
            <w:hideMark/>
          </w:tcPr>
          <w:p w14:paraId="34A4801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10.38</w:t>
            </w:r>
          </w:p>
        </w:tc>
        <w:tc>
          <w:tcPr>
            <w:tcW w:w="746" w:type="pct"/>
            <w:tcBorders>
              <w:top w:val="nil"/>
              <w:left w:val="nil"/>
              <w:bottom w:val="nil"/>
              <w:right w:val="nil"/>
            </w:tcBorders>
            <w:noWrap/>
            <w:vAlign w:val="bottom"/>
            <w:hideMark/>
          </w:tcPr>
          <w:p w14:paraId="25D2932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10" w:type="pct"/>
            <w:tcBorders>
              <w:top w:val="nil"/>
              <w:left w:val="nil"/>
              <w:bottom w:val="nil"/>
              <w:right w:val="nil"/>
            </w:tcBorders>
            <w:noWrap/>
            <w:vAlign w:val="bottom"/>
            <w:hideMark/>
          </w:tcPr>
          <w:p w14:paraId="1A64EE4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40.96</w:t>
            </w:r>
          </w:p>
        </w:tc>
      </w:tr>
      <w:tr w:rsidR="00F908AB" w:rsidRPr="00BE5472" w14:paraId="75E6133D" w14:textId="77777777" w:rsidTr="003C2F5B">
        <w:trPr>
          <w:trHeight w:val="300"/>
        </w:trPr>
        <w:tc>
          <w:tcPr>
            <w:tcW w:w="1420" w:type="pct"/>
            <w:tcBorders>
              <w:top w:val="nil"/>
              <w:left w:val="nil"/>
              <w:bottom w:val="nil"/>
              <w:right w:val="nil"/>
            </w:tcBorders>
            <w:noWrap/>
            <w:vAlign w:val="bottom"/>
            <w:hideMark/>
          </w:tcPr>
          <w:p w14:paraId="1A2DDE46"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6CB4E9B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7376D3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nil"/>
              <w:right w:val="nil"/>
            </w:tcBorders>
            <w:noWrap/>
            <w:vAlign w:val="bottom"/>
            <w:hideMark/>
          </w:tcPr>
          <w:p w14:paraId="309C63A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7.26</w:t>
            </w:r>
          </w:p>
        </w:tc>
        <w:tc>
          <w:tcPr>
            <w:tcW w:w="710" w:type="pct"/>
            <w:tcBorders>
              <w:top w:val="nil"/>
              <w:left w:val="nil"/>
              <w:bottom w:val="nil"/>
              <w:right w:val="nil"/>
            </w:tcBorders>
            <w:noWrap/>
            <w:vAlign w:val="bottom"/>
            <w:hideMark/>
          </w:tcPr>
          <w:p w14:paraId="7AA830F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6.72</w:t>
            </w:r>
          </w:p>
        </w:tc>
        <w:tc>
          <w:tcPr>
            <w:tcW w:w="746" w:type="pct"/>
            <w:tcBorders>
              <w:top w:val="nil"/>
              <w:left w:val="nil"/>
              <w:bottom w:val="nil"/>
              <w:right w:val="nil"/>
            </w:tcBorders>
            <w:noWrap/>
            <w:vAlign w:val="bottom"/>
            <w:hideMark/>
          </w:tcPr>
          <w:p w14:paraId="216B8D7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0.70</w:t>
            </w:r>
          </w:p>
        </w:tc>
        <w:tc>
          <w:tcPr>
            <w:tcW w:w="710" w:type="pct"/>
            <w:tcBorders>
              <w:top w:val="nil"/>
              <w:left w:val="nil"/>
              <w:bottom w:val="nil"/>
              <w:right w:val="nil"/>
            </w:tcBorders>
            <w:noWrap/>
            <w:vAlign w:val="bottom"/>
            <w:hideMark/>
          </w:tcPr>
          <w:p w14:paraId="361F9D6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27.65</w:t>
            </w:r>
          </w:p>
        </w:tc>
      </w:tr>
      <w:tr w:rsidR="00F908AB" w:rsidRPr="00BE5472" w14:paraId="7226E3FB" w14:textId="77777777" w:rsidTr="003C2F5B">
        <w:trPr>
          <w:trHeight w:val="300"/>
        </w:trPr>
        <w:tc>
          <w:tcPr>
            <w:tcW w:w="1420" w:type="pct"/>
            <w:tcBorders>
              <w:top w:val="nil"/>
              <w:left w:val="nil"/>
              <w:bottom w:val="nil"/>
              <w:right w:val="nil"/>
            </w:tcBorders>
            <w:noWrap/>
            <w:vAlign w:val="bottom"/>
            <w:hideMark/>
          </w:tcPr>
          <w:p w14:paraId="167D0C6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MVA</w:t>
            </w:r>
          </w:p>
        </w:tc>
        <w:tc>
          <w:tcPr>
            <w:tcW w:w="500" w:type="pct"/>
            <w:tcBorders>
              <w:top w:val="nil"/>
              <w:left w:val="nil"/>
              <w:bottom w:val="nil"/>
              <w:right w:val="nil"/>
            </w:tcBorders>
            <w:noWrap/>
            <w:vAlign w:val="bottom"/>
            <w:hideMark/>
          </w:tcPr>
          <w:p w14:paraId="5651FEB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22A5CC3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w:t>
            </w:r>
          </w:p>
        </w:tc>
        <w:tc>
          <w:tcPr>
            <w:tcW w:w="710" w:type="pct"/>
            <w:tcBorders>
              <w:top w:val="nil"/>
              <w:left w:val="nil"/>
              <w:bottom w:val="nil"/>
              <w:right w:val="nil"/>
            </w:tcBorders>
            <w:noWrap/>
            <w:vAlign w:val="bottom"/>
            <w:hideMark/>
          </w:tcPr>
          <w:p w14:paraId="4D98E92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254,461,531</w:t>
            </w:r>
          </w:p>
        </w:tc>
        <w:tc>
          <w:tcPr>
            <w:tcW w:w="710" w:type="pct"/>
            <w:tcBorders>
              <w:top w:val="nil"/>
              <w:left w:val="nil"/>
              <w:bottom w:val="nil"/>
              <w:right w:val="nil"/>
            </w:tcBorders>
            <w:noWrap/>
            <w:vAlign w:val="bottom"/>
            <w:hideMark/>
          </w:tcPr>
          <w:p w14:paraId="7E3517F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1,862,170,420</w:t>
            </w:r>
          </w:p>
        </w:tc>
        <w:tc>
          <w:tcPr>
            <w:tcW w:w="746" w:type="pct"/>
            <w:tcBorders>
              <w:top w:val="nil"/>
              <w:left w:val="nil"/>
              <w:bottom w:val="nil"/>
              <w:right w:val="nil"/>
            </w:tcBorders>
            <w:noWrap/>
            <w:vAlign w:val="bottom"/>
            <w:hideMark/>
          </w:tcPr>
          <w:p w14:paraId="55E6462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-3,932,896,959</w:t>
            </w:r>
          </w:p>
        </w:tc>
        <w:tc>
          <w:tcPr>
            <w:tcW w:w="710" w:type="pct"/>
            <w:tcBorders>
              <w:top w:val="nil"/>
              <w:left w:val="nil"/>
              <w:bottom w:val="nil"/>
              <w:right w:val="nil"/>
            </w:tcBorders>
            <w:noWrap/>
            <w:vAlign w:val="bottom"/>
            <w:hideMark/>
          </w:tcPr>
          <w:p w14:paraId="7E1E797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3,715,492,305</w:t>
            </w:r>
          </w:p>
        </w:tc>
      </w:tr>
      <w:tr w:rsidR="00F908AB" w:rsidRPr="00BE5472" w14:paraId="33A79599" w14:textId="77777777" w:rsidTr="003C2F5B">
        <w:trPr>
          <w:trHeight w:val="300"/>
        </w:trPr>
        <w:tc>
          <w:tcPr>
            <w:tcW w:w="1420" w:type="pct"/>
            <w:tcBorders>
              <w:top w:val="nil"/>
              <w:left w:val="nil"/>
              <w:bottom w:val="nil"/>
              <w:right w:val="nil"/>
            </w:tcBorders>
            <w:noWrap/>
            <w:vAlign w:val="bottom"/>
            <w:hideMark/>
          </w:tcPr>
          <w:p w14:paraId="590509E5"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1597DD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bottom w:val="nil"/>
              <w:right w:val="nil"/>
            </w:tcBorders>
            <w:noWrap/>
            <w:vAlign w:val="bottom"/>
            <w:hideMark/>
          </w:tcPr>
          <w:p w14:paraId="513C9CC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w:t>
            </w:r>
          </w:p>
        </w:tc>
        <w:tc>
          <w:tcPr>
            <w:tcW w:w="710" w:type="pct"/>
            <w:tcBorders>
              <w:top w:val="nil"/>
              <w:left w:val="nil"/>
              <w:bottom w:val="nil"/>
              <w:right w:val="nil"/>
            </w:tcBorders>
            <w:noWrap/>
            <w:vAlign w:val="bottom"/>
            <w:hideMark/>
          </w:tcPr>
          <w:p w14:paraId="1D57870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-187,214,555</w:t>
            </w:r>
          </w:p>
        </w:tc>
        <w:tc>
          <w:tcPr>
            <w:tcW w:w="710" w:type="pct"/>
            <w:tcBorders>
              <w:top w:val="nil"/>
              <w:left w:val="nil"/>
              <w:bottom w:val="nil"/>
              <w:right w:val="nil"/>
            </w:tcBorders>
            <w:noWrap/>
            <w:vAlign w:val="bottom"/>
            <w:hideMark/>
          </w:tcPr>
          <w:p w14:paraId="41E4511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1,552,320,393</w:t>
            </w:r>
          </w:p>
        </w:tc>
        <w:tc>
          <w:tcPr>
            <w:tcW w:w="746" w:type="pct"/>
            <w:tcBorders>
              <w:top w:val="nil"/>
              <w:left w:val="nil"/>
              <w:bottom w:val="nil"/>
              <w:right w:val="nil"/>
            </w:tcBorders>
            <w:noWrap/>
            <w:vAlign w:val="bottom"/>
            <w:hideMark/>
          </w:tcPr>
          <w:p w14:paraId="6F06C91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-3,932,896,959</w:t>
            </w:r>
          </w:p>
        </w:tc>
        <w:tc>
          <w:tcPr>
            <w:tcW w:w="710" w:type="pct"/>
            <w:tcBorders>
              <w:top w:val="nil"/>
              <w:left w:val="nil"/>
              <w:bottom w:val="nil"/>
              <w:right w:val="nil"/>
            </w:tcBorders>
            <w:noWrap/>
            <w:vAlign w:val="bottom"/>
            <w:hideMark/>
          </w:tcPr>
          <w:p w14:paraId="725EA33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1,687,383,417</w:t>
            </w:r>
          </w:p>
        </w:tc>
      </w:tr>
      <w:tr w:rsidR="00F908AB" w:rsidRPr="00BE5472" w14:paraId="3AB2A114" w14:textId="77777777" w:rsidTr="003C2F5B">
        <w:trPr>
          <w:trHeight w:val="300"/>
        </w:trPr>
        <w:tc>
          <w:tcPr>
            <w:tcW w:w="1420" w:type="pct"/>
            <w:tcBorders>
              <w:top w:val="nil"/>
              <w:left w:val="nil"/>
              <w:bottom w:val="nil"/>
              <w:right w:val="nil"/>
            </w:tcBorders>
            <w:noWrap/>
            <w:vAlign w:val="bottom"/>
            <w:hideMark/>
          </w:tcPr>
          <w:p w14:paraId="3F22DFB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nil"/>
              <w:right w:val="nil"/>
            </w:tcBorders>
            <w:noWrap/>
            <w:vAlign w:val="bottom"/>
            <w:hideMark/>
          </w:tcPr>
          <w:p w14:paraId="37EDD7E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nil"/>
              <w:right w:val="nil"/>
            </w:tcBorders>
            <w:noWrap/>
            <w:vAlign w:val="bottom"/>
            <w:hideMark/>
          </w:tcPr>
          <w:p w14:paraId="3A80CA5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w:t>
            </w:r>
          </w:p>
        </w:tc>
        <w:tc>
          <w:tcPr>
            <w:tcW w:w="710" w:type="pct"/>
            <w:tcBorders>
              <w:top w:val="nil"/>
              <w:left w:val="nil"/>
              <w:bottom w:val="nil"/>
              <w:right w:val="nil"/>
            </w:tcBorders>
            <w:noWrap/>
            <w:vAlign w:val="bottom"/>
            <w:hideMark/>
          </w:tcPr>
          <w:p w14:paraId="79DFCE2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532,553,881</w:t>
            </w:r>
          </w:p>
        </w:tc>
        <w:tc>
          <w:tcPr>
            <w:tcW w:w="710" w:type="pct"/>
            <w:tcBorders>
              <w:top w:val="nil"/>
              <w:left w:val="nil"/>
              <w:bottom w:val="nil"/>
              <w:right w:val="nil"/>
            </w:tcBorders>
            <w:noWrap/>
            <w:vAlign w:val="bottom"/>
            <w:hideMark/>
          </w:tcPr>
          <w:p w14:paraId="19F5EC1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2,011,033,304</w:t>
            </w:r>
          </w:p>
        </w:tc>
        <w:tc>
          <w:tcPr>
            <w:tcW w:w="746" w:type="pct"/>
            <w:tcBorders>
              <w:top w:val="nil"/>
              <w:left w:val="nil"/>
              <w:bottom w:val="nil"/>
              <w:right w:val="nil"/>
            </w:tcBorders>
            <w:noWrap/>
            <w:vAlign w:val="bottom"/>
            <w:hideMark/>
          </w:tcPr>
          <w:p w14:paraId="0A6E1FE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-3,417,623,394</w:t>
            </w:r>
          </w:p>
        </w:tc>
        <w:tc>
          <w:tcPr>
            <w:tcW w:w="710" w:type="pct"/>
            <w:tcBorders>
              <w:top w:val="nil"/>
              <w:left w:val="nil"/>
              <w:bottom w:val="nil"/>
              <w:right w:val="nil"/>
            </w:tcBorders>
            <w:noWrap/>
            <w:vAlign w:val="bottom"/>
            <w:hideMark/>
          </w:tcPr>
          <w:p w14:paraId="3DCB48B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3,715,492,305</w:t>
            </w:r>
          </w:p>
        </w:tc>
      </w:tr>
      <w:tr w:rsidR="00F908AB" w:rsidRPr="00BE5472" w14:paraId="3B419136" w14:textId="77777777" w:rsidTr="003C2F5B">
        <w:trPr>
          <w:trHeight w:val="300"/>
        </w:trPr>
        <w:tc>
          <w:tcPr>
            <w:tcW w:w="1420" w:type="pct"/>
            <w:tcBorders>
              <w:top w:val="nil"/>
              <w:left w:val="nil"/>
              <w:bottom w:val="nil"/>
              <w:right w:val="nil"/>
            </w:tcBorders>
            <w:noWrap/>
            <w:vAlign w:val="bottom"/>
            <w:hideMark/>
          </w:tcPr>
          <w:p w14:paraId="71DA400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MVA (LOG)</w:t>
            </w:r>
          </w:p>
        </w:tc>
        <w:tc>
          <w:tcPr>
            <w:tcW w:w="500" w:type="pct"/>
            <w:tcBorders>
              <w:top w:val="nil"/>
              <w:left w:val="nil"/>
              <w:bottom w:val="nil"/>
              <w:right w:val="nil"/>
            </w:tcBorders>
            <w:noWrap/>
            <w:vAlign w:val="bottom"/>
            <w:hideMark/>
          </w:tcPr>
          <w:p w14:paraId="5CD621A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204" w:type="pct"/>
            <w:tcBorders>
              <w:top w:val="nil"/>
              <w:left w:val="nil"/>
              <w:bottom w:val="nil"/>
              <w:right w:val="nil"/>
            </w:tcBorders>
            <w:noWrap/>
            <w:vAlign w:val="bottom"/>
            <w:hideMark/>
          </w:tcPr>
          <w:p w14:paraId="1DD5116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10" w:type="pct"/>
            <w:tcBorders>
              <w:top w:val="nil"/>
              <w:left w:val="nil"/>
              <w:bottom w:val="nil"/>
              <w:right w:val="nil"/>
            </w:tcBorders>
            <w:noWrap/>
            <w:vAlign w:val="bottom"/>
            <w:hideMark/>
          </w:tcPr>
          <w:p w14:paraId="1209762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2.62</w:t>
            </w:r>
          </w:p>
        </w:tc>
        <w:tc>
          <w:tcPr>
            <w:tcW w:w="710" w:type="pct"/>
            <w:tcBorders>
              <w:top w:val="nil"/>
              <w:left w:val="nil"/>
              <w:bottom w:val="nil"/>
              <w:right w:val="nil"/>
            </w:tcBorders>
            <w:noWrap/>
            <w:vAlign w:val="bottom"/>
            <w:hideMark/>
          </w:tcPr>
          <w:p w14:paraId="1007B3C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7.75</w:t>
            </w:r>
          </w:p>
        </w:tc>
        <w:tc>
          <w:tcPr>
            <w:tcW w:w="746" w:type="pct"/>
            <w:tcBorders>
              <w:top w:val="nil"/>
              <w:left w:val="nil"/>
              <w:bottom w:val="nil"/>
              <w:right w:val="nil"/>
            </w:tcBorders>
            <w:noWrap/>
            <w:vAlign w:val="bottom"/>
            <w:hideMark/>
          </w:tcPr>
          <w:p w14:paraId="1288B6C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-9.59</w:t>
            </w:r>
          </w:p>
        </w:tc>
        <w:tc>
          <w:tcPr>
            <w:tcW w:w="710" w:type="pct"/>
            <w:tcBorders>
              <w:top w:val="nil"/>
              <w:left w:val="nil"/>
              <w:bottom w:val="nil"/>
              <w:right w:val="nil"/>
            </w:tcBorders>
            <w:noWrap/>
            <w:vAlign w:val="bottom"/>
            <w:hideMark/>
          </w:tcPr>
          <w:p w14:paraId="21D9CAB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9.57</w:t>
            </w:r>
          </w:p>
        </w:tc>
      </w:tr>
      <w:tr w:rsidR="00F908AB" w:rsidRPr="00BE5472" w14:paraId="63C21328" w14:textId="77777777" w:rsidTr="003C2F5B">
        <w:trPr>
          <w:trHeight w:val="300"/>
        </w:trPr>
        <w:tc>
          <w:tcPr>
            <w:tcW w:w="1420" w:type="pct"/>
            <w:tcBorders>
              <w:top w:val="nil"/>
              <w:left w:val="nil"/>
              <w:right w:val="nil"/>
            </w:tcBorders>
            <w:noWrap/>
            <w:vAlign w:val="bottom"/>
            <w:hideMark/>
          </w:tcPr>
          <w:p w14:paraId="5D6CA533"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right w:val="nil"/>
            </w:tcBorders>
            <w:noWrap/>
            <w:vAlign w:val="bottom"/>
            <w:hideMark/>
          </w:tcPr>
          <w:p w14:paraId="2C0A748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PRIJE</w:t>
            </w:r>
          </w:p>
        </w:tc>
        <w:tc>
          <w:tcPr>
            <w:tcW w:w="204" w:type="pct"/>
            <w:tcBorders>
              <w:top w:val="nil"/>
              <w:left w:val="nil"/>
              <w:right w:val="nil"/>
            </w:tcBorders>
            <w:noWrap/>
            <w:vAlign w:val="bottom"/>
            <w:hideMark/>
          </w:tcPr>
          <w:p w14:paraId="282591E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w:t>
            </w:r>
          </w:p>
        </w:tc>
        <w:tc>
          <w:tcPr>
            <w:tcW w:w="710" w:type="pct"/>
            <w:tcBorders>
              <w:top w:val="nil"/>
              <w:left w:val="nil"/>
              <w:right w:val="nil"/>
            </w:tcBorders>
            <w:noWrap/>
            <w:vAlign w:val="bottom"/>
            <w:hideMark/>
          </w:tcPr>
          <w:p w14:paraId="445AEE2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w:t>
            </w:r>
          </w:p>
        </w:tc>
        <w:tc>
          <w:tcPr>
            <w:tcW w:w="710" w:type="pct"/>
            <w:tcBorders>
              <w:top w:val="nil"/>
              <w:left w:val="nil"/>
              <w:right w:val="nil"/>
            </w:tcBorders>
            <w:noWrap/>
            <w:vAlign w:val="bottom"/>
            <w:hideMark/>
          </w:tcPr>
          <w:p w14:paraId="6F6E766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7.45</w:t>
            </w:r>
          </w:p>
        </w:tc>
        <w:tc>
          <w:tcPr>
            <w:tcW w:w="746" w:type="pct"/>
            <w:tcBorders>
              <w:top w:val="nil"/>
              <w:left w:val="nil"/>
              <w:right w:val="nil"/>
            </w:tcBorders>
            <w:noWrap/>
            <w:vAlign w:val="bottom"/>
            <w:hideMark/>
          </w:tcPr>
          <w:p w14:paraId="7BC218E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-9.59</w:t>
            </w:r>
          </w:p>
        </w:tc>
        <w:tc>
          <w:tcPr>
            <w:tcW w:w="710" w:type="pct"/>
            <w:tcBorders>
              <w:top w:val="nil"/>
              <w:left w:val="nil"/>
              <w:right w:val="nil"/>
            </w:tcBorders>
            <w:noWrap/>
            <w:vAlign w:val="bottom"/>
            <w:hideMark/>
          </w:tcPr>
          <w:p w14:paraId="60421F9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9.23</w:t>
            </w:r>
          </w:p>
        </w:tc>
      </w:tr>
      <w:tr w:rsidR="00F908AB" w:rsidRPr="00BE5472" w14:paraId="62893582" w14:textId="77777777" w:rsidTr="003C2F5B">
        <w:trPr>
          <w:trHeight w:val="300"/>
        </w:trPr>
        <w:tc>
          <w:tcPr>
            <w:tcW w:w="1420" w:type="pct"/>
            <w:tcBorders>
              <w:top w:val="nil"/>
              <w:left w:val="nil"/>
              <w:bottom w:val="single" w:sz="4" w:space="0" w:color="auto"/>
              <w:right w:val="nil"/>
            </w:tcBorders>
            <w:noWrap/>
            <w:vAlign w:val="bottom"/>
            <w:hideMark/>
          </w:tcPr>
          <w:p w14:paraId="2765CDAF"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500" w:type="pct"/>
            <w:tcBorders>
              <w:top w:val="nil"/>
              <w:left w:val="nil"/>
              <w:bottom w:val="single" w:sz="4" w:space="0" w:color="auto"/>
              <w:right w:val="nil"/>
            </w:tcBorders>
            <w:noWrap/>
            <w:vAlign w:val="bottom"/>
            <w:hideMark/>
          </w:tcPr>
          <w:p w14:paraId="0790787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POSLIJE</w:t>
            </w:r>
          </w:p>
        </w:tc>
        <w:tc>
          <w:tcPr>
            <w:tcW w:w="204" w:type="pct"/>
            <w:tcBorders>
              <w:top w:val="nil"/>
              <w:left w:val="nil"/>
              <w:bottom w:val="single" w:sz="4" w:space="0" w:color="auto"/>
              <w:right w:val="nil"/>
            </w:tcBorders>
            <w:noWrap/>
            <w:vAlign w:val="bottom"/>
            <w:hideMark/>
          </w:tcPr>
          <w:p w14:paraId="4C6AF29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w:t>
            </w:r>
          </w:p>
        </w:tc>
        <w:tc>
          <w:tcPr>
            <w:tcW w:w="710" w:type="pct"/>
            <w:tcBorders>
              <w:top w:val="nil"/>
              <w:left w:val="nil"/>
              <w:bottom w:val="single" w:sz="4" w:space="0" w:color="auto"/>
              <w:right w:val="nil"/>
            </w:tcBorders>
            <w:noWrap/>
            <w:vAlign w:val="bottom"/>
            <w:hideMark/>
          </w:tcPr>
          <w:p w14:paraId="3DE9072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4.49</w:t>
            </w:r>
          </w:p>
        </w:tc>
        <w:tc>
          <w:tcPr>
            <w:tcW w:w="710" w:type="pct"/>
            <w:tcBorders>
              <w:top w:val="nil"/>
              <w:left w:val="nil"/>
              <w:bottom w:val="single" w:sz="4" w:space="0" w:color="auto"/>
              <w:right w:val="nil"/>
            </w:tcBorders>
            <w:noWrap/>
            <w:vAlign w:val="bottom"/>
            <w:hideMark/>
          </w:tcPr>
          <w:p w14:paraId="2FC573B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7.60</w:t>
            </w:r>
          </w:p>
        </w:tc>
        <w:tc>
          <w:tcPr>
            <w:tcW w:w="746" w:type="pct"/>
            <w:tcBorders>
              <w:top w:val="nil"/>
              <w:left w:val="nil"/>
              <w:bottom w:val="single" w:sz="4" w:space="0" w:color="auto"/>
              <w:right w:val="nil"/>
            </w:tcBorders>
            <w:noWrap/>
            <w:vAlign w:val="bottom"/>
            <w:hideMark/>
          </w:tcPr>
          <w:p w14:paraId="44F5CF1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-9.53</w:t>
            </w:r>
          </w:p>
        </w:tc>
        <w:tc>
          <w:tcPr>
            <w:tcW w:w="710" w:type="pct"/>
            <w:tcBorders>
              <w:top w:val="nil"/>
              <w:left w:val="nil"/>
              <w:bottom w:val="single" w:sz="4" w:space="0" w:color="auto"/>
              <w:right w:val="nil"/>
            </w:tcBorders>
            <w:noWrap/>
            <w:vAlign w:val="bottom"/>
            <w:hideMark/>
          </w:tcPr>
          <w:p w14:paraId="2516460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9.57</w:t>
            </w:r>
          </w:p>
        </w:tc>
      </w:tr>
    </w:tbl>
    <w:p w14:paraId="44D6BA8E"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7CBFBCDD"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62BD5DF9" w14:textId="77777777" w:rsidR="00F908AB" w:rsidRPr="00BE5472" w:rsidRDefault="00F908AB" w:rsidP="00F908AB">
      <w:pPr>
        <w:spacing w:line="360" w:lineRule="auto"/>
        <w:rPr>
          <w:rFonts w:ascii="Times New Roman" w:hAnsi="Times New Roman" w:cs="Times New Roman"/>
          <w:kern w:val="2"/>
          <w:sz w:val="24"/>
          <w14:ligatures w14:val="standardContextual"/>
        </w:rPr>
        <w:sectPr w:rsidR="00F908AB" w:rsidRPr="00BE5472" w:rsidSect="00F908AB">
          <w:pgSz w:w="16834" w:h="11909" w:orient="landscape" w:code="9"/>
          <w:pgMar w:top="1440" w:right="1440" w:bottom="1440" w:left="1440" w:header="720" w:footer="720" w:gutter="0"/>
          <w:cols w:space="720"/>
          <w:docGrid w:linePitch="360"/>
        </w:sectPr>
      </w:pPr>
    </w:p>
    <w:p w14:paraId="15CB04AF" w14:textId="28780EF1" w:rsidR="00F908AB" w:rsidRPr="00BE5472" w:rsidRDefault="00232984" w:rsidP="00F908AB">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lastRenderedPageBreak/>
        <w:t>Osim toga</w:t>
      </w:r>
      <w:r w:rsidR="00F908AB" w:rsidRPr="00BE5472">
        <w:rPr>
          <w:rFonts w:ascii="Times New Roman" w:hAnsi="Times New Roman" w:cs="Times New Roman"/>
          <w:kern w:val="2"/>
          <w:sz w:val="24"/>
          <w14:ligatures w14:val="standardContextual"/>
        </w:rPr>
        <w:t xml:space="preserve">, prilikom provjeravanja hipoteze H4, korišteni su podaci za tri poduzeća koja nisu prošla proces akvizicije te pet poduzeća koja su prošla proces akvizicije. U </w:t>
      </w:r>
      <w:r w:rsidR="00127A4E">
        <w:rPr>
          <w:rFonts w:ascii="Times New Roman" w:hAnsi="Times New Roman" w:cs="Times New Roman"/>
          <w:kern w:val="2"/>
          <w:sz w:val="24"/>
          <w14:ligatures w14:val="standardContextual"/>
        </w:rPr>
        <w:t>Tablici</w:t>
      </w:r>
      <w:r w:rsidR="00F908AB" w:rsidRPr="00BE5472">
        <w:rPr>
          <w:rFonts w:ascii="Times New Roman" w:hAnsi="Times New Roman" w:cs="Times New Roman"/>
          <w:kern w:val="2"/>
          <w:sz w:val="24"/>
          <w14:ligatures w14:val="standardContextual"/>
        </w:rPr>
        <w:t xml:space="preserve"> </w:t>
      </w:r>
      <w:r w:rsidR="009A77CE" w:rsidRPr="00BE5472">
        <w:rPr>
          <w:rFonts w:ascii="Times New Roman" w:hAnsi="Times New Roman" w:cs="Times New Roman"/>
          <w:kern w:val="2"/>
          <w:sz w:val="24"/>
          <w14:ligatures w14:val="standardContextual"/>
        </w:rPr>
        <w:t>28</w:t>
      </w:r>
      <w:r w:rsidR="00F908AB" w:rsidRPr="00BE5472">
        <w:rPr>
          <w:rFonts w:ascii="Times New Roman" w:hAnsi="Times New Roman" w:cs="Times New Roman"/>
          <w:kern w:val="2"/>
          <w:sz w:val="24"/>
          <w14:ligatures w14:val="standardContextual"/>
        </w:rPr>
        <w:t xml:space="preserve"> prikazani su deskriptivni parametri aritmetička sredina (M), standardna devijacija (SD), minimalna vrijednost (min) i maksimalna vrijednost (maks) za financijske i tržišne pokazatelje</w:t>
      </w:r>
      <w:r w:rsidR="002F3B08" w:rsidRPr="00BE5472">
        <w:rPr>
          <w:rFonts w:ascii="Times New Roman" w:hAnsi="Times New Roman" w:cs="Times New Roman"/>
          <w:kern w:val="2"/>
          <w:sz w:val="24"/>
          <w14:ligatures w14:val="standardContextual"/>
        </w:rPr>
        <w:t>,</w:t>
      </w:r>
      <w:r w:rsidR="00F908AB" w:rsidRPr="00BE5472">
        <w:rPr>
          <w:rFonts w:ascii="Times New Roman" w:hAnsi="Times New Roman" w:cs="Times New Roman"/>
          <w:kern w:val="2"/>
          <w:sz w:val="24"/>
          <w14:ligatures w14:val="standardContextual"/>
        </w:rPr>
        <w:t xml:space="preserve"> i to za cijeli uzorak te odvojeno za poduzeća koja su prošla i ona koja nisu prošla proces akvizicije. </w:t>
      </w:r>
    </w:p>
    <w:p w14:paraId="287F5E48"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3950A62E"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66040B20" w14:textId="77777777" w:rsidR="00F908AB" w:rsidRPr="00BE5472" w:rsidRDefault="00F908AB" w:rsidP="00F908AB">
      <w:pPr>
        <w:spacing w:line="360" w:lineRule="auto"/>
        <w:rPr>
          <w:rFonts w:ascii="Times New Roman" w:hAnsi="Times New Roman" w:cs="Times New Roman"/>
          <w:kern w:val="2"/>
          <w:sz w:val="24"/>
          <w14:ligatures w14:val="standardContextual"/>
        </w:rPr>
        <w:sectPr w:rsidR="00F908AB" w:rsidRPr="00BE5472" w:rsidSect="00F908AB">
          <w:pgSz w:w="11909" w:h="16834" w:code="9"/>
          <w:pgMar w:top="1440" w:right="1440" w:bottom="1440" w:left="1440" w:header="720" w:footer="720" w:gutter="0"/>
          <w:cols w:space="720"/>
          <w:docGrid w:linePitch="360"/>
        </w:sectPr>
      </w:pPr>
    </w:p>
    <w:p w14:paraId="442BB15A" w14:textId="1B110CD3" w:rsidR="00F908AB" w:rsidRPr="00E1098E" w:rsidRDefault="00E1098E" w:rsidP="00E1098E">
      <w:pPr>
        <w:pStyle w:val="Caption"/>
        <w:rPr>
          <w:rFonts w:ascii="Times New Roman" w:hAnsi="Times New Roman" w:cs="Times New Roman"/>
          <w:kern w:val="2"/>
          <w:sz w:val="24"/>
          <w:szCs w:val="24"/>
          <w14:ligatures w14:val="standardContextual"/>
        </w:rPr>
      </w:pPr>
      <w:bookmarkStart w:id="160" w:name="_Toc241865222"/>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28</w:t>
      </w:r>
      <w:r w:rsidRPr="00E1098E">
        <w:rPr>
          <w:rFonts w:ascii="Times New Roman" w:hAnsi="Times New Roman" w:cs="Times New Roman"/>
          <w:sz w:val="24"/>
          <w:szCs w:val="24"/>
        </w:rPr>
        <w:fldChar w:fldCharType="end"/>
      </w:r>
      <w:r w:rsidRPr="00E1098E">
        <w:rPr>
          <w:rFonts w:ascii="Times New Roman" w:hAnsi="Times New Roman" w:cs="Times New Roman"/>
          <w:sz w:val="24"/>
          <w:szCs w:val="24"/>
        </w:rPr>
        <w:t>:</w:t>
      </w:r>
      <w:r w:rsidR="00F908AB" w:rsidRPr="00E1098E">
        <w:rPr>
          <w:rFonts w:ascii="Times New Roman" w:hAnsi="Times New Roman" w:cs="Times New Roman"/>
          <w:kern w:val="2"/>
          <w:sz w:val="24"/>
          <w:szCs w:val="24"/>
          <w14:ligatures w14:val="standardContextual"/>
        </w:rPr>
        <w:t xml:space="preserve"> Deskriptivni parametri financijskih i tržišnih pokazatelja poduzeća koja su prošla proces akvizicije i onih koja nisu</w:t>
      </w:r>
      <w:bookmarkEnd w:id="160"/>
    </w:p>
    <w:tbl>
      <w:tblPr>
        <w:tblW w:w="5000" w:type="pct"/>
        <w:tblLook w:val="04A0" w:firstRow="1" w:lastRow="0" w:firstColumn="1" w:lastColumn="0" w:noHBand="0" w:noVBand="1"/>
      </w:tblPr>
      <w:tblGrid>
        <w:gridCol w:w="3528"/>
        <w:gridCol w:w="1216"/>
        <w:gridCol w:w="1181"/>
        <w:gridCol w:w="1968"/>
        <w:gridCol w:w="1968"/>
        <w:gridCol w:w="2046"/>
        <w:gridCol w:w="2047"/>
      </w:tblGrid>
      <w:tr w:rsidR="00F908AB" w:rsidRPr="00BE5472" w14:paraId="150B007E" w14:textId="77777777" w:rsidTr="003C2F5B">
        <w:trPr>
          <w:trHeight w:val="300"/>
        </w:trPr>
        <w:tc>
          <w:tcPr>
            <w:tcW w:w="1266" w:type="pct"/>
            <w:tcBorders>
              <w:top w:val="single" w:sz="4" w:space="0" w:color="auto"/>
              <w:left w:val="nil"/>
              <w:bottom w:val="single" w:sz="4" w:space="0" w:color="auto"/>
              <w:right w:val="nil"/>
            </w:tcBorders>
            <w:noWrap/>
            <w:vAlign w:val="bottom"/>
            <w:hideMark/>
          </w:tcPr>
          <w:p w14:paraId="5B3FA4A8" w14:textId="77777777" w:rsidR="00F908AB" w:rsidRPr="00BE5472" w:rsidRDefault="00F908AB" w:rsidP="003C2F5B">
            <w:pPr>
              <w:spacing w:after="0" w:line="240" w:lineRule="auto"/>
              <w:rPr>
                <w:rFonts w:ascii="Times New Roman" w:eastAsia="Times New Roman" w:hAnsi="Times New Roman" w:cs="Times New Roman"/>
                <w:sz w:val="24"/>
                <w:szCs w:val="24"/>
                <w:lang w:eastAsia="hr-HR"/>
              </w:rPr>
            </w:pPr>
          </w:p>
        </w:tc>
        <w:tc>
          <w:tcPr>
            <w:tcW w:w="425" w:type="pct"/>
            <w:tcBorders>
              <w:top w:val="single" w:sz="4" w:space="0" w:color="auto"/>
              <w:left w:val="nil"/>
              <w:bottom w:val="single" w:sz="4" w:space="0" w:color="auto"/>
              <w:right w:val="nil"/>
            </w:tcBorders>
            <w:noWrap/>
            <w:vAlign w:val="bottom"/>
            <w:hideMark/>
          </w:tcPr>
          <w:p w14:paraId="339CAE81" w14:textId="77777777" w:rsidR="00F908AB" w:rsidRPr="00BE5472" w:rsidRDefault="00F908AB" w:rsidP="003C2F5B">
            <w:pPr>
              <w:spacing w:after="0" w:line="240" w:lineRule="auto"/>
              <w:rPr>
                <w:rFonts w:ascii="Times New Roman" w:eastAsia="Times New Roman" w:hAnsi="Times New Roman" w:cs="Times New Roman"/>
                <w:sz w:val="24"/>
                <w:szCs w:val="24"/>
                <w:lang w:eastAsia="hr-HR"/>
              </w:rPr>
            </w:pPr>
            <w:r w:rsidRPr="00BE5472">
              <w:rPr>
                <w:rFonts w:ascii="Times New Roman" w:eastAsia="Times New Roman" w:hAnsi="Times New Roman" w:cs="Times New Roman"/>
                <w:sz w:val="24"/>
                <w:szCs w:val="24"/>
                <w:lang w:eastAsia="hr-HR"/>
              </w:rPr>
              <w:t>Akvizicija</w:t>
            </w:r>
          </w:p>
        </w:tc>
        <w:tc>
          <w:tcPr>
            <w:tcW w:w="425" w:type="pct"/>
            <w:tcBorders>
              <w:top w:val="single" w:sz="4" w:space="0" w:color="auto"/>
              <w:left w:val="nil"/>
              <w:bottom w:val="single" w:sz="4" w:space="0" w:color="auto"/>
              <w:right w:val="nil"/>
            </w:tcBorders>
            <w:noWrap/>
            <w:vAlign w:val="bottom"/>
            <w:hideMark/>
          </w:tcPr>
          <w:p w14:paraId="1CDF4CC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707" w:type="pct"/>
            <w:tcBorders>
              <w:top w:val="single" w:sz="4" w:space="0" w:color="auto"/>
              <w:left w:val="nil"/>
              <w:bottom w:val="single" w:sz="4" w:space="0" w:color="auto"/>
              <w:right w:val="nil"/>
            </w:tcBorders>
            <w:noWrap/>
            <w:vAlign w:val="bottom"/>
            <w:hideMark/>
          </w:tcPr>
          <w:p w14:paraId="3D92285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Mean</w:t>
            </w:r>
          </w:p>
        </w:tc>
        <w:tc>
          <w:tcPr>
            <w:tcW w:w="707" w:type="pct"/>
            <w:tcBorders>
              <w:top w:val="single" w:sz="4" w:space="0" w:color="auto"/>
              <w:left w:val="nil"/>
              <w:bottom w:val="single" w:sz="4" w:space="0" w:color="auto"/>
              <w:right w:val="nil"/>
            </w:tcBorders>
            <w:noWrap/>
            <w:vAlign w:val="bottom"/>
            <w:hideMark/>
          </w:tcPr>
          <w:p w14:paraId="2B218F1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SD</w:t>
            </w:r>
          </w:p>
        </w:tc>
        <w:tc>
          <w:tcPr>
            <w:tcW w:w="735" w:type="pct"/>
            <w:tcBorders>
              <w:top w:val="single" w:sz="4" w:space="0" w:color="auto"/>
              <w:left w:val="nil"/>
              <w:bottom w:val="single" w:sz="4" w:space="0" w:color="auto"/>
              <w:right w:val="nil"/>
            </w:tcBorders>
            <w:noWrap/>
            <w:vAlign w:val="bottom"/>
            <w:hideMark/>
          </w:tcPr>
          <w:p w14:paraId="417AE26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Minimum</w:t>
            </w:r>
          </w:p>
        </w:tc>
        <w:tc>
          <w:tcPr>
            <w:tcW w:w="735" w:type="pct"/>
            <w:tcBorders>
              <w:top w:val="single" w:sz="4" w:space="0" w:color="auto"/>
              <w:left w:val="nil"/>
              <w:bottom w:val="single" w:sz="4" w:space="0" w:color="auto"/>
              <w:right w:val="nil"/>
            </w:tcBorders>
            <w:noWrap/>
            <w:vAlign w:val="bottom"/>
            <w:hideMark/>
          </w:tcPr>
          <w:p w14:paraId="224D92F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Maximum</w:t>
            </w:r>
          </w:p>
        </w:tc>
      </w:tr>
      <w:tr w:rsidR="00F908AB" w:rsidRPr="00BE5472" w14:paraId="668C3EBD" w14:textId="77777777" w:rsidTr="003C2F5B">
        <w:trPr>
          <w:trHeight w:val="300"/>
        </w:trPr>
        <w:tc>
          <w:tcPr>
            <w:tcW w:w="1266" w:type="pct"/>
            <w:tcBorders>
              <w:top w:val="single" w:sz="4" w:space="0" w:color="auto"/>
              <w:left w:val="nil"/>
              <w:bottom w:val="nil"/>
              <w:right w:val="nil"/>
            </w:tcBorders>
            <w:noWrap/>
            <w:vAlign w:val="bottom"/>
            <w:hideMark/>
          </w:tcPr>
          <w:p w14:paraId="621EAC8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EBITDA</w:t>
            </w:r>
          </w:p>
        </w:tc>
        <w:tc>
          <w:tcPr>
            <w:tcW w:w="425" w:type="pct"/>
            <w:tcBorders>
              <w:top w:val="single" w:sz="4" w:space="0" w:color="auto"/>
              <w:left w:val="nil"/>
              <w:bottom w:val="nil"/>
              <w:right w:val="nil"/>
            </w:tcBorders>
            <w:noWrap/>
            <w:vAlign w:val="bottom"/>
            <w:hideMark/>
          </w:tcPr>
          <w:p w14:paraId="4DCE81B3"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single" w:sz="4" w:space="0" w:color="auto"/>
              <w:left w:val="nil"/>
              <w:bottom w:val="nil"/>
              <w:right w:val="nil"/>
            </w:tcBorders>
            <w:noWrap/>
            <w:vAlign w:val="bottom"/>
            <w:hideMark/>
          </w:tcPr>
          <w:p w14:paraId="0652A02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single" w:sz="4" w:space="0" w:color="auto"/>
              <w:left w:val="nil"/>
              <w:bottom w:val="nil"/>
              <w:right w:val="nil"/>
            </w:tcBorders>
            <w:noWrap/>
            <w:vAlign w:val="bottom"/>
            <w:hideMark/>
          </w:tcPr>
          <w:p w14:paraId="2AD594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391,067,509</w:t>
            </w:r>
          </w:p>
        </w:tc>
        <w:tc>
          <w:tcPr>
            <w:tcW w:w="707" w:type="pct"/>
            <w:tcBorders>
              <w:top w:val="single" w:sz="4" w:space="0" w:color="auto"/>
              <w:left w:val="nil"/>
              <w:bottom w:val="nil"/>
              <w:right w:val="nil"/>
            </w:tcBorders>
            <w:noWrap/>
            <w:vAlign w:val="bottom"/>
            <w:hideMark/>
          </w:tcPr>
          <w:p w14:paraId="5EBE8BB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614,819,825</w:t>
            </w:r>
          </w:p>
        </w:tc>
        <w:tc>
          <w:tcPr>
            <w:tcW w:w="735" w:type="pct"/>
            <w:tcBorders>
              <w:top w:val="single" w:sz="4" w:space="0" w:color="auto"/>
              <w:left w:val="nil"/>
              <w:bottom w:val="nil"/>
              <w:right w:val="nil"/>
            </w:tcBorders>
            <w:noWrap/>
            <w:vAlign w:val="bottom"/>
            <w:hideMark/>
          </w:tcPr>
          <w:p w14:paraId="4F02692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-70,980,803</w:t>
            </w:r>
          </w:p>
        </w:tc>
        <w:tc>
          <w:tcPr>
            <w:tcW w:w="735" w:type="pct"/>
            <w:tcBorders>
              <w:top w:val="single" w:sz="4" w:space="0" w:color="auto"/>
              <w:left w:val="nil"/>
              <w:bottom w:val="nil"/>
              <w:right w:val="nil"/>
            </w:tcBorders>
            <w:noWrap/>
            <w:vAlign w:val="bottom"/>
            <w:hideMark/>
          </w:tcPr>
          <w:p w14:paraId="2A890B8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5,041,054,756</w:t>
            </w:r>
          </w:p>
        </w:tc>
      </w:tr>
      <w:tr w:rsidR="00F908AB" w:rsidRPr="00BE5472" w14:paraId="540D69EA" w14:textId="77777777" w:rsidTr="003C2F5B">
        <w:trPr>
          <w:trHeight w:val="300"/>
        </w:trPr>
        <w:tc>
          <w:tcPr>
            <w:tcW w:w="1266" w:type="pct"/>
            <w:tcBorders>
              <w:top w:val="nil"/>
              <w:left w:val="nil"/>
              <w:bottom w:val="nil"/>
              <w:right w:val="nil"/>
            </w:tcBorders>
            <w:noWrap/>
            <w:vAlign w:val="bottom"/>
            <w:hideMark/>
          </w:tcPr>
          <w:p w14:paraId="2D4FCCCD"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69709CC7"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203B630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2151AF4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100,349,978</w:t>
            </w:r>
          </w:p>
        </w:tc>
        <w:tc>
          <w:tcPr>
            <w:tcW w:w="707" w:type="pct"/>
            <w:tcBorders>
              <w:top w:val="nil"/>
              <w:left w:val="nil"/>
              <w:bottom w:val="nil"/>
              <w:right w:val="nil"/>
            </w:tcBorders>
            <w:noWrap/>
            <w:vAlign w:val="bottom"/>
            <w:hideMark/>
          </w:tcPr>
          <w:p w14:paraId="55BDD3B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74,238,097</w:t>
            </w:r>
          </w:p>
        </w:tc>
        <w:tc>
          <w:tcPr>
            <w:tcW w:w="735" w:type="pct"/>
            <w:tcBorders>
              <w:top w:val="nil"/>
              <w:left w:val="nil"/>
              <w:bottom w:val="nil"/>
              <w:right w:val="nil"/>
            </w:tcBorders>
            <w:noWrap/>
            <w:vAlign w:val="bottom"/>
            <w:hideMark/>
          </w:tcPr>
          <w:p w14:paraId="6E6FF1A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-70,980,803</w:t>
            </w:r>
          </w:p>
        </w:tc>
        <w:tc>
          <w:tcPr>
            <w:tcW w:w="735" w:type="pct"/>
            <w:tcBorders>
              <w:top w:val="nil"/>
              <w:left w:val="nil"/>
              <w:bottom w:val="nil"/>
              <w:right w:val="nil"/>
            </w:tcBorders>
            <w:noWrap/>
            <w:vAlign w:val="bottom"/>
            <w:hideMark/>
          </w:tcPr>
          <w:p w14:paraId="5796ECF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236,464,773</w:t>
            </w:r>
          </w:p>
        </w:tc>
      </w:tr>
      <w:tr w:rsidR="00F908AB" w:rsidRPr="00BE5472" w14:paraId="2BAF759C" w14:textId="77777777" w:rsidTr="003C2F5B">
        <w:trPr>
          <w:trHeight w:val="300"/>
        </w:trPr>
        <w:tc>
          <w:tcPr>
            <w:tcW w:w="1266" w:type="pct"/>
            <w:tcBorders>
              <w:top w:val="nil"/>
              <w:left w:val="nil"/>
              <w:bottom w:val="nil"/>
              <w:right w:val="nil"/>
            </w:tcBorders>
            <w:noWrap/>
            <w:vAlign w:val="bottom"/>
            <w:hideMark/>
          </w:tcPr>
          <w:p w14:paraId="21A519F7"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55E1D80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542A0A7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6BE15E3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565,498,028</w:t>
            </w:r>
          </w:p>
        </w:tc>
        <w:tc>
          <w:tcPr>
            <w:tcW w:w="707" w:type="pct"/>
            <w:tcBorders>
              <w:top w:val="nil"/>
              <w:left w:val="nil"/>
              <w:bottom w:val="nil"/>
              <w:right w:val="nil"/>
            </w:tcBorders>
            <w:noWrap/>
            <w:vAlign w:val="bottom"/>
            <w:hideMark/>
          </w:tcPr>
          <w:p w14:paraId="3FE820A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723,257,229</w:t>
            </w:r>
          </w:p>
        </w:tc>
        <w:tc>
          <w:tcPr>
            <w:tcW w:w="735" w:type="pct"/>
            <w:tcBorders>
              <w:top w:val="nil"/>
              <w:left w:val="nil"/>
              <w:bottom w:val="nil"/>
              <w:right w:val="nil"/>
            </w:tcBorders>
            <w:noWrap/>
            <w:vAlign w:val="bottom"/>
            <w:hideMark/>
          </w:tcPr>
          <w:p w14:paraId="473A456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4,400,336</w:t>
            </w:r>
          </w:p>
        </w:tc>
        <w:tc>
          <w:tcPr>
            <w:tcW w:w="735" w:type="pct"/>
            <w:tcBorders>
              <w:top w:val="nil"/>
              <w:left w:val="nil"/>
              <w:bottom w:val="nil"/>
              <w:right w:val="nil"/>
            </w:tcBorders>
            <w:noWrap/>
            <w:vAlign w:val="bottom"/>
            <w:hideMark/>
          </w:tcPr>
          <w:p w14:paraId="2185F9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5,041,054,756</w:t>
            </w:r>
          </w:p>
        </w:tc>
      </w:tr>
      <w:tr w:rsidR="00F908AB" w:rsidRPr="00BE5472" w14:paraId="5BC3C909" w14:textId="77777777" w:rsidTr="003C2F5B">
        <w:trPr>
          <w:trHeight w:val="300"/>
        </w:trPr>
        <w:tc>
          <w:tcPr>
            <w:tcW w:w="1266" w:type="pct"/>
            <w:tcBorders>
              <w:top w:val="nil"/>
              <w:left w:val="nil"/>
              <w:bottom w:val="nil"/>
              <w:right w:val="nil"/>
            </w:tcBorders>
            <w:noWrap/>
            <w:vAlign w:val="bottom"/>
            <w:hideMark/>
          </w:tcPr>
          <w:p w14:paraId="053FA303"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EBITDA (LOG)</w:t>
            </w:r>
          </w:p>
        </w:tc>
        <w:tc>
          <w:tcPr>
            <w:tcW w:w="425" w:type="pct"/>
            <w:tcBorders>
              <w:top w:val="nil"/>
              <w:left w:val="nil"/>
              <w:bottom w:val="nil"/>
              <w:right w:val="nil"/>
            </w:tcBorders>
            <w:noWrap/>
            <w:vAlign w:val="bottom"/>
            <w:hideMark/>
          </w:tcPr>
          <w:p w14:paraId="755D6C8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C1A3B7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3568CB0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7.61</w:t>
            </w:r>
          </w:p>
        </w:tc>
        <w:tc>
          <w:tcPr>
            <w:tcW w:w="707" w:type="pct"/>
            <w:tcBorders>
              <w:top w:val="nil"/>
              <w:left w:val="nil"/>
              <w:bottom w:val="nil"/>
              <w:right w:val="nil"/>
            </w:tcBorders>
            <w:noWrap/>
            <w:vAlign w:val="bottom"/>
            <w:hideMark/>
          </w:tcPr>
          <w:p w14:paraId="1040BFB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3.36</w:t>
            </w:r>
          </w:p>
        </w:tc>
        <w:tc>
          <w:tcPr>
            <w:tcW w:w="735" w:type="pct"/>
            <w:tcBorders>
              <w:top w:val="nil"/>
              <w:left w:val="nil"/>
              <w:bottom w:val="nil"/>
              <w:right w:val="nil"/>
            </w:tcBorders>
            <w:noWrap/>
            <w:vAlign w:val="bottom"/>
            <w:hideMark/>
          </w:tcPr>
          <w:p w14:paraId="1F081EA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-7.85</w:t>
            </w:r>
          </w:p>
        </w:tc>
        <w:tc>
          <w:tcPr>
            <w:tcW w:w="735" w:type="pct"/>
            <w:tcBorders>
              <w:top w:val="nil"/>
              <w:left w:val="nil"/>
              <w:bottom w:val="nil"/>
              <w:right w:val="nil"/>
            </w:tcBorders>
            <w:noWrap/>
            <w:vAlign w:val="bottom"/>
            <w:hideMark/>
          </w:tcPr>
          <w:p w14:paraId="158CF5F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9.7</w:t>
            </w:r>
          </w:p>
        </w:tc>
      </w:tr>
      <w:tr w:rsidR="00F908AB" w:rsidRPr="00BE5472" w14:paraId="67F4AC71" w14:textId="77777777" w:rsidTr="003C2F5B">
        <w:trPr>
          <w:trHeight w:val="300"/>
        </w:trPr>
        <w:tc>
          <w:tcPr>
            <w:tcW w:w="1266" w:type="pct"/>
            <w:tcBorders>
              <w:top w:val="nil"/>
              <w:left w:val="nil"/>
              <w:bottom w:val="nil"/>
              <w:right w:val="nil"/>
            </w:tcBorders>
            <w:noWrap/>
            <w:vAlign w:val="bottom"/>
            <w:hideMark/>
          </w:tcPr>
          <w:p w14:paraId="010437BD"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9DAFC7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0115356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25AEAEA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6.15</w:t>
            </w:r>
          </w:p>
        </w:tc>
        <w:tc>
          <w:tcPr>
            <w:tcW w:w="707" w:type="pct"/>
            <w:tcBorders>
              <w:top w:val="nil"/>
              <w:left w:val="nil"/>
              <w:bottom w:val="nil"/>
              <w:right w:val="nil"/>
            </w:tcBorders>
            <w:noWrap/>
            <w:vAlign w:val="bottom"/>
            <w:hideMark/>
          </w:tcPr>
          <w:p w14:paraId="396E68D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5.16</w:t>
            </w:r>
          </w:p>
        </w:tc>
        <w:tc>
          <w:tcPr>
            <w:tcW w:w="735" w:type="pct"/>
            <w:tcBorders>
              <w:top w:val="nil"/>
              <w:left w:val="nil"/>
              <w:bottom w:val="nil"/>
              <w:right w:val="nil"/>
            </w:tcBorders>
            <w:noWrap/>
            <w:vAlign w:val="bottom"/>
            <w:hideMark/>
          </w:tcPr>
          <w:p w14:paraId="5BB9B21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-7.85</w:t>
            </w:r>
          </w:p>
        </w:tc>
        <w:tc>
          <w:tcPr>
            <w:tcW w:w="735" w:type="pct"/>
            <w:tcBorders>
              <w:top w:val="nil"/>
              <w:left w:val="nil"/>
              <w:bottom w:val="nil"/>
              <w:right w:val="nil"/>
            </w:tcBorders>
            <w:noWrap/>
            <w:vAlign w:val="bottom"/>
            <w:hideMark/>
          </w:tcPr>
          <w:p w14:paraId="7DF2D57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8.37</w:t>
            </w:r>
          </w:p>
        </w:tc>
      </w:tr>
      <w:tr w:rsidR="00F908AB" w:rsidRPr="00BE5472" w14:paraId="3A6FA507" w14:textId="77777777" w:rsidTr="003C2F5B">
        <w:trPr>
          <w:trHeight w:val="300"/>
        </w:trPr>
        <w:tc>
          <w:tcPr>
            <w:tcW w:w="1266" w:type="pct"/>
            <w:tcBorders>
              <w:top w:val="nil"/>
              <w:left w:val="nil"/>
              <w:bottom w:val="nil"/>
              <w:right w:val="nil"/>
            </w:tcBorders>
            <w:noWrap/>
            <w:vAlign w:val="bottom"/>
            <w:hideMark/>
          </w:tcPr>
          <w:p w14:paraId="30886675"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BCF768F"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610446E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7C210EF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w:t>
            </w:r>
          </w:p>
        </w:tc>
        <w:tc>
          <w:tcPr>
            <w:tcW w:w="707" w:type="pct"/>
            <w:tcBorders>
              <w:top w:val="nil"/>
              <w:left w:val="nil"/>
              <w:bottom w:val="nil"/>
              <w:right w:val="nil"/>
            </w:tcBorders>
            <w:noWrap/>
            <w:vAlign w:val="bottom"/>
            <w:hideMark/>
          </w:tcPr>
          <w:p w14:paraId="1B480E0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35" w:type="pct"/>
            <w:tcBorders>
              <w:top w:val="nil"/>
              <w:left w:val="nil"/>
              <w:bottom w:val="nil"/>
              <w:right w:val="nil"/>
            </w:tcBorders>
            <w:noWrap/>
            <w:vAlign w:val="bottom"/>
            <w:hideMark/>
          </w:tcPr>
          <w:p w14:paraId="364EAC0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6.64</w:t>
            </w:r>
          </w:p>
        </w:tc>
        <w:tc>
          <w:tcPr>
            <w:tcW w:w="735" w:type="pct"/>
            <w:tcBorders>
              <w:top w:val="nil"/>
              <w:left w:val="nil"/>
              <w:bottom w:val="nil"/>
              <w:right w:val="nil"/>
            </w:tcBorders>
            <w:noWrap/>
            <w:vAlign w:val="bottom"/>
            <w:hideMark/>
          </w:tcPr>
          <w:p w14:paraId="032B97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9.7</w:t>
            </w:r>
          </w:p>
        </w:tc>
      </w:tr>
      <w:tr w:rsidR="00F908AB" w:rsidRPr="00BE5472" w14:paraId="77A78DDD" w14:textId="77777777" w:rsidTr="003C2F5B">
        <w:trPr>
          <w:trHeight w:val="300"/>
        </w:trPr>
        <w:tc>
          <w:tcPr>
            <w:tcW w:w="1266" w:type="pct"/>
            <w:tcBorders>
              <w:top w:val="nil"/>
              <w:left w:val="nil"/>
              <w:bottom w:val="nil"/>
              <w:right w:val="nil"/>
            </w:tcBorders>
            <w:noWrap/>
            <w:vAlign w:val="bottom"/>
            <w:hideMark/>
          </w:tcPr>
          <w:p w14:paraId="681AE02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ROA</w:t>
            </w:r>
          </w:p>
        </w:tc>
        <w:tc>
          <w:tcPr>
            <w:tcW w:w="425" w:type="pct"/>
            <w:tcBorders>
              <w:top w:val="nil"/>
              <w:left w:val="nil"/>
              <w:bottom w:val="nil"/>
              <w:right w:val="nil"/>
            </w:tcBorders>
            <w:noWrap/>
            <w:vAlign w:val="bottom"/>
            <w:hideMark/>
          </w:tcPr>
          <w:p w14:paraId="6A16042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69A9E05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350FA4A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707" w:type="pct"/>
            <w:tcBorders>
              <w:top w:val="nil"/>
              <w:left w:val="nil"/>
              <w:bottom w:val="nil"/>
              <w:right w:val="nil"/>
            </w:tcBorders>
            <w:noWrap/>
            <w:vAlign w:val="bottom"/>
            <w:hideMark/>
          </w:tcPr>
          <w:p w14:paraId="342D302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35" w:type="pct"/>
            <w:tcBorders>
              <w:top w:val="nil"/>
              <w:left w:val="nil"/>
              <w:bottom w:val="nil"/>
              <w:right w:val="nil"/>
            </w:tcBorders>
            <w:noWrap/>
            <w:vAlign w:val="bottom"/>
            <w:hideMark/>
          </w:tcPr>
          <w:p w14:paraId="449C2D1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-0.17</w:t>
            </w:r>
          </w:p>
        </w:tc>
        <w:tc>
          <w:tcPr>
            <w:tcW w:w="735" w:type="pct"/>
            <w:tcBorders>
              <w:top w:val="nil"/>
              <w:left w:val="nil"/>
              <w:bottom w:val="nil"/>
              <w:right w:val="nil"/>
            </w:tcBorders>
            <w:noWrap/>
            <w:vAlign w:val="bottom"/>
            <w:hideMark/>
          </w:tcPr>
          <w:p w14:paraId="3679BF2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F908AB" w:rsidRPr="00BE5472" w14:paraId="785995A3" w14:textId="77777777" w:rsidTr="003C2F5B">
        <w:trPr>
          <w:trHeight w:val="300"/>
        </w:trPr>
        <w:tc>
          <w:tcPr>
            <w:tcW w:w="1266" w:type="pct"/>
            <w:tcBorders>
              <w:top w:val="nil"/>
              <w:left w:val="nil"/>
              <w:bottom w:val="nil"/>
              <w:right w:val="nil"/>
            </w:tcBorders>
            <w:noWrap/>
            <w:vAlign w:val="bottom"/>
            <w:hideMark/>
          </w:tcPr>
          <w:p w14:paraId="71FA4EC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AADB72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65586BA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0C268B4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707" w:type="pct"/>
            <w:tcBorders>
              <w:top w:val="nil"/>
              <w:left w:val="nil"/>
              <w:bottom w:val="nil"/>
              <w:right w:val="nil"/>
            </w:tcBorders>
            <w:noWrap/>
            <w:vAlign w:val="bottom"/>
            <w:hideMark/>
          </w:tcPr>
          <w:p w14:paraId="3DBA2A0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35" w:type="pct"/>
            <w:tcBorders>
              <w:top w:val="nil"/>
              <w:left w:val="nil"/>
              <w:bottom w:val="nil"/>
              <w:right w:val="nil"/>
            </w:tcBorders>
            <w:noWrap/>
            <w:vAlign w:val="bottom"/>
            <w:hideMark/>
          </w:tcPr>
          <w:p w14:paraId="29EB962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-0.17</w:t>
            </w:r>
          </w:p>
        </w:tc>
        <w:tc>
          <w:tcPr>
            <w:tcW w:w="735" w:type="pct"/>
            <w:tcBorders>
              <w:top w:val="nil"/>
              <w:left w:val="nil"/>
              <w:bottom w:val="nil"/>
              <w:right w:val="nil"/>
            </w:tcBorders>
            <w:noWrap/>
            <w:vAlign w:val="bottom"/>
            <w:hideMark/>
          </w:tcPr>
          <w:p w14:paraId="4DEC2BC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r>
      <w:tr w:rsidR="00F908AB" w:rsidRPr="00BE5472" w14:paraId="1D88FB30" w14:textId="77777777" w:rsidTr="003C2F5B">
        <w:trPr>
          <w:trHeight w:val="300"/>
        </w:trPr>
        <w:tc>
          <w:tcPr>
            <w:tcW w:w="1266" w:type="pct"/>
            <w:tcBorders>
              <w:top w:val="nil"/>
              <w:left w:val="nil"/>
              <w:bottom w:val="nil"/>
              <w:right w:val="nil"/>
            </w:tcBorders>
            <w:noWrap/>
            <w:vAlign w:val="bottom"/>
            <w:hideMark/>
          </w:tcPr>
          <w:p w14:paraId="1FCE8E92"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5240305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038C118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2F89A5F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07" w:type="pct"/>
            <w:tcBorders>
              <w:top w:val="nil"/>
              <w:left w:val="nil"/>
              <w:bottom w:val="nil"/>
              <w:right w:val="nil"/>
            </w:tcBorders>
            <w:noWrap/>
            <w:vAlign w:val="bottom"/>
            <w:hideMark/>
          </w:tcPr>
          <w:p w14:paraId="4EB19FF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35" w:type="pct"/>
            <w:tcBorders>
              <w:top w:val="nil"/>
              <w:left w:val="nil"/>
              <w:bottom w:val="nil"/>
              <w:right w:val="nil"/>
            </w:tcBorders>
            <w:noWrap/>
            <w:vAlign w:val="bottom"/>
            <w:hideMark/>
          </w:tcPr>
          <w:p w14:paraId="0F53BF4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735" w:type="pct"/>
            <w:tcBorders>
              <w:top w:val="nil"/>
              <w:left w:val="nil"/>
              <w:bottom w:val="nil"/>
              <w:right w:val="nil"/>
            </w:tcBorders>
            <w:noWrap/>
            <w:vAlign w:val="bottom"/>
            <w:hideMark/>
          </w:tcPr>
          <w:p w14:paraId="1ADCA3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F908AB" w:rsidRPr="00BE5472" w14:paraId="2956466C" w14:textId="77777777" w:rsidTr="003C2F5B">
        <w:trPr>
          <w:trHeight w:val="300"/>
        </w:trPr>
        <w:tc>
          <w:tcPr>
            <w:tcW w:w="1266" w:type="pct"/>
            <w:tcBorders>
              <w:top w:val="nil"/>
              <w:left w:val="nil"/>
              <w:bottom w:val="nil"/>
              <w:right w:val="nil"/>
            </w:tcBorders>
            <w:noWrap/>
            <w:vAlign w:val="bottom"/>
            <w:hideMark/>
          </w:tcPr>
          <w:p w14:paraId="2B19163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ROE</w:t>
            </w:r>
          </w:p>
        </w:tc>
        <w:tc>
          <w:tcPr>
            <w:tcW w:w="425" w:type="pct"/>
            <w:tcBorders>
              <w:top w:val="nil"/>
              <w:left w:val="nil"/>
              <w:bottom w:val="nil"/>
              <w:right w:val="nil"/>
            </w:tcBorders>
            <w:noWrap/>
            <w:vAlign w:val="bottom"/>
            <w:hideMark/>
          </w:tcPr>
          <w:p w14:paraId="7C76E5A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855C43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0D55257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07" w:type="pct"/>
            <w:tcBorders>
              <w:top w:val="nil"/>
              <w:left w:val="nil"/>
              <w:bottom w:val="nil"/>
              <w:right w:val="nil"/>
            </w:tcBorders>
            <w:noWrap/>
            <w:vAlign w:val="bottom"/>
            <w:hideMark/>
          </w:tcPr>
          <w:p w14:paraId="168ACB4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35" w:type="pct"/>
            <w:tcBorders>
              <w:top w:val="nil"/>
              <w:left w:val="nil"/>
              <w:bottom w:val="nil"/>
              <w:right w:val="nil"/>
            </w:tcBorders>
            <w:noWrap/>
            <w:vAlign w:val="bottom"/>
            <w:hideMark/>
          </w:tcPr>
          <w:p w14:paraId="65A4369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-0.27</w:t>
            </w:r>
          </w:p>
        </w:tc>
        <w:tc>
          <w:tcPr>
            <w:tcW w:w="735" w:type="pct"/>
            <w:tcBorders>
              <w:top w:val="nil"/>
              <w:left w:val="nil"/>
              <w:bottom w:val="nil"/>
              <w:right w:val="nil"/>
            </w:tcBorders>
            <w:noWrap/>
            <w:vAlign w:val="bottom"/>
            <w:hideMark/>
          </w:tcPr>
          <w:p w14:paraId="67CFC8C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r>
      <w:tr w:rsidR="00F908AB" w:rsidRPr="00BE5472" w14:paraId="48889E9E" w14:textId="77777777" w:rsidTr="003C2F5B">
        <w:trPr>
          <w:trHeight w:val="300"/>
        </w:trPr>
        <w:tc>
          <w:tcPr>
            <w:tcW w:w="1266" w:type="pct"/>
            <w:tcBorders>
              <w:top w:val="nil"/>
              <w:left w:val="nil"/>
              <w:bottom w:val="nil"/>
              <w:right w:val="nil"/>
            </w:tcBorders>
            <w:noWrap/>
            <w:vAlign w:val="bottom"/>
            <w:hideMark/>
          </w:tcPr>
          <w:p w14:paraId="6DD865B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1C2039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2B101B4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23F477A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707" w:type="pct"/>
            <w:tcBorders>
              <w:top w:val="nil"/>
              <w:left w:val="nil"/>
              <w:bottom w:val="nil"/>
              <w:right w:val="nil"/>
            </w:tcBorders>
            <w:noWrap/>
            <w:vAlign w:val="bottom"/>
            <w:hideMark/>
          </w:tcPr>
          <w:p w14:paraId="749FD06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35" w:type="pct"/>
            <w:tcBorders>
              <w:top w:val="nil"/>
              <w:left w:val="nil"/>
              <w:bottom w:val="nil"/>
              <w:right w:val="nil"/>
            </w:tcBorders>
            <w:noWrap/>
            <w:vAlign w:val="bottom"/>
            <w:hideMark/>
          </w:tcPr>
          <w:p w14:paraId="320A23B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-0.27</w:t>
            </w:r>
          </w:p>
        </w:tc>
        <w:tc>
          <w:tcPr>
            <w:tcW w:w="735" w:type="pct"/>
            <w:tcBorders>
              <w:top w:val="nil"/>
              <w:left w:val="nil"/>
              <w:bottom w:val="nil"/>
              <w:right w:val="nil"/>
            </w:tcBorders>
            <w:noWrap/>
            <w:vAlign w:val="bottom"/>
            <w:hideMark/>
          </w:tcPr>
          <w:p w14:paraId="4A08A40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r>
      <w:tr w:rsidR="00F908AB" w:rsidRPr="00BE5472" w14:paraId="55809F19" w14:textId="77777777" w:rsidTr="003C2F5B">
        <w:trPr>
          <w:trHeight w:val="300"/>
        </w:trPr>
        <w:tc>
          <w:tcPr>
            <w:tcW w:w="1266" w:type="pct"/>
            <w:tcBorders>
              <w:top w:val="nil"/>
              <w:left w:val="nil"/>
              <w:bottom w:val="nil"/>
              <w:right w:val="nil"/>
            </w:tcBorders>
            <w:noWrap/>
            <w:vAlign w:val="bottom"/>
            <w:hideMark/>
          </w:tcPr>
          <w:p w14:paraId="3C39EE96"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582CC8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55EC4CC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654B297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707" w:type="pct"/>
            <w:tcBorders>
              <w:top w:val="nil"/>
              <w:left w:val="nil"/>
              <w:bottom w:val="nil"/>
              <w:right w:val="nil"/>
            </w:tcBorders>
            <w:noWrap/>
            <w:vAlign w:val="bottom"/>
            <w:hideMark/>
          </w:tcPr>
          <w:p w14:paraId="0F81AD2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735" w:type="pct"/>
            <w:tcBorders>
              <w:top w:val="nil"/>
              <w:left w:val="nil"/>
              <w:bottom w:val="nil"/>
              <w:right w:val="nil"/>
            </w:tcBorders>
            <w:noWrap/>
            <w:vAlign w:val="bottom"/>
            <w:hideMark/>
          </w:tcPr>
          <w:p w14:paraId="7CDC16C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35" w:type="pct"/>
            <w:tcBorders>
              <w:top w:val="nil"/>
              <w:left w:val="nil"/>
              <w:bottom w:val="nil"/>
              <w:right w:val="nil"/>
            </w:tcBorders>
            <w:noWrap/>
            <w:vAlign w:val="bottom"/>
            <w:hideMark/>
          </w:tcPr>
          <w:p w14:paraId="226345F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r>
      <w:tr w:rsidR="00F908AB" w:rsidRPr="00BE5472" w14:paraId="7A82B9DF" w14:textId="77777777" w:rsidTr="003C2F5B">
        <w:trPr>
          <w:trHeight w:val="300"/>
        </w:trPr>
        <w:tc>
          <w:tcPr>
            <w:tcW w:w="1266" w:type="pct"/>
            <w:tcBorders>
              <w:top w:val="nil"/>
              <w:left w:val="nil"/>
              <w:bottom w:val="nil"/>
              <w:right w:val="nil"/>
            </w:tcBorders>
            <w:noWrap/>
            <w:vAlign w:val="bottom"/>
            <w:hideMark/>
          </w:tcPr>
          <w:p w14:paraId="42647805"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BRUTO PROFITNA MARŽA</w:t>
            </w:r>
          </w:p>
        </w:tc>
        <w:tc>
          <w:tcPr>
            <w:tcW w:w="425" w:type="pct"/>
            <w:tcBorders>
              <w:top w:val="nil"/>
              <w:left w:val="nil"/>
              <w:bottom w:val="nil"/>
              <w:right w:val="nil"/>
            </w:tcBorders>
            <w:noWrap/>
            <w:vAlign w:val="bottom"/>
            <w:hideMark/>
          </w:tcPr>
          <w:p w14:paraId="235D2DE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48B7122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3240E34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07" w:type="pct"/>
            <w:tcBorders>
              <w:top w:val="nil"/>
              <w:left w:val="nil"/>
              <w:bottom w:val="nil"/>
              <w:right w:val="nil"/>
            </w:tcBorders>
            <w:noWrap/>
            <w:vAlign w:val="bottom"/>
            <w:hideMark/>
          </w:tcPr>
          <w:p w14:paraId="7E5AC9B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w:t>
            </w:r>
          </w:p>
        </w:tc>
        <w:tc>
          <w:tcPr>
            <w:tcW w:w="735" w:type="pct"/>
            <w:tcBorders>
              <w:top w:val="nil"/>
              <w:left w:val="nil"/>
              <w:bottom w:val="nil"/>
              <w:right w:val="nil"/>
            </w:tcBorders>
            <w:noWrap/>
            <w:vAlign w:val="bottom"/>
            <w:hideMark/>
          </w:tcPr>
          <w:p w14:paraId="7BFA606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-1.55</w:t>
            </w:r>
          </w:p>
        </w:tc>
        <w:tc>
          <w:tcPr>
            <w:tcW w:w="735" w:type="pct"/>
            <w:tcBorders>
              <w:top w:val="nil"/>
              <w:left w:val="nil"/>
              <w:bottom w:val="nil"/>
              <w:right w:val="nil"/>
            </w:tcBorders>
            <w:noWrap/>
            <w:vAlign w:val="bottom"/>
            <w:hideMark/>
          </w:tcPr>
          <w:p w14:paraId="4F513C4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r>
      <w:tr w:rsidR="00F908AB" w:rsidRPr="00BE5472" w14:paraId="2F067075" w14:textId="77777777" w:rsidTr="003C2F5B">
        <w:trPr>
          <w:trHeight w:val="300"/>
        </w:trPr>
        <w:tc>
          <w:tcPr>
            <w:tcW w:w="1266" w:type="pct"/>
            <w:tcBorders>
              <w:top w:val="nil"/>
              <w:left w:val="nil"/>
              <w:bottom w:val="nil"/>
              <w:right w:val="nil"/>
            </w:tcBorders>
            <w:noWrap/>
            <w:vAlign w:val="bottom"/>
            <w:hideMark/>
          </w:tcPr>
          <w:p w14:paraId="04219BC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862974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19528B8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0EBED8B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707" w:type="pct"/>
            <w:tcBorders>
              <w:top w:val="nil"/>
              <w:left w:val="nil"/>
              <w:bottom w:val="nil"/>
              <w:right w:val="nil"/>
            </w:tcBorders>
            <w:noWrap/>
            <w:vAlign w:val="bottom"/>
            <w:hideMark/>
          </w:tcPr>
          <w:p w14:paraId="4A8C99D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c>
          <w:tcPr>
            <w:tcW w:w="735" w:type="pct"/>
            <w:tcBorders>
              <w:top w:val="nil"/>
              <w:left w:val="nil"/>
              <w:bottom w:val="nil"/>
              <w:right w:val="nil"/>
            </w:tcBorders>
            <w:noWrap/>
            <w:vAlign w:val="bottom"/>
            <w:hideMark/>
          </w:tcPr>
          <w:p w14:paraId="0EF6407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-1.55</w:t>
            </w:r>
          </w:p>
        </w:tc>
        <w:tc>
          <w:tcPr>
            <w:tcW w:w="735" w:type="pct"/>
            <w:tcBorders>
              <w:top w:val="nil"/>
              <w:left w:val="nil"/>
              <w:bottom w:val="nil"/>
              <w:right w:val="nil"/>
            </w:tcBorders>
            <w:noWrap/>
            <w:vAlign w:val="bottom"/>
            <w:hideMark/>
          </w:tcPr>
          <w:p w14:paraId="1813148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0.15</w:t>
            </w:r>
          </w:p>
        </w:tc>
      </w:tr>
      <w:tr w:rsidR="00F908AB" w:rsidRPr="00BE5472" w14:paraId="4391D9B1" w14:textId="77777777" w:rsidTr="003C2F5B">
        <w:trPr>
          <w:trHeight w:val="300"/>
        </w:trPr>
        <w:tc>
          <w:tcPr>
            <w:tcW w:w="1266" w:type="pct"/>
            <w:tcBorders>
              <w:top w:val="nil"/>
              <w:left w:val="nil"/>
              <w:bottom w:val="nil"/>
              <w:right w:val="nil"/>
            </w:tcBorders>
            <w:noWrap/>
            <w:vAlign w:val="bottom"/>
            <w:hideMark/>
          </w:tcPr>
          <w:p w14:paraId="2514F8F2"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309F177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6254B3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6665229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07" w:type="pct"/>
            <w:tcBorders>
              <w:top w:val="nil"/>
              <w:left w:val="nil"/>
              <w:bottom w:val="nil"/>
              <w:right w:val="nil"/>
            </w:tcBorders>
            <w:noWrap/>
            <w:vAlign w:val="bottom"/>
            <w:hideMark/>
          </w:tcPr>
          <w:p w14:paraId="50EC7E7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735" w:type="pct"/>
            <w:tcBorders>
              <w:top w:val="nil"/>
              <w:left w:val="nil"/>
              <w:bottom w:val="nil"/>
              <w:right w:val="nil"/>
            </w:tcBorders>
            <w:noWrap/>
            <w:vAlign w:val="bottom"/>
            <w:hideMark/>
          </w:tcPr>
          <w:p w14:paraId="1BBBF73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c>
          <w:tcPr>
            <w:tcW w:w="735" w:type="pct"/>
            <w:tcBorders>
              <w:top w:val="nil"/>
              <w:left w:val="nil"/>
              <w:bottom w:val="nil"/>
              <w:right w:val="nil"/>
            </w:tcBorders>
            <w:noWrap/>
            <w:vAlign w:val="bottom"/>
            <w:hideMark/>
          </w:tcPr>
          <w:p w14:paraId="1506DE7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r>
      <w:tr w:rsidR="00F908AB" w:rsidRPr="00BE5472" w14:paraId="3E9BB3BC" w14:textId="77777777" w:rsidTr="003C2F5B">
        <w:trPr>
          <w:trHeight w:val="300"/>
        </w:trPr>
        <w:tc>
          <w:tcPr>
            <w:tcW w:w="1266" w:type="pct"/>
            <w:tcBorders>
              <w:top w:val="nil"/>
              <w:left w:val="nil"/>
              <w:bottom w:val="nil"/>
              <w:right w:val="nil"/>
            </w:tcBorders>
            <w:noWrap/>
            <w:vAlign w:val="bottom"/>
            <w:hideMark/>
          </w:tcPr>
          <w:p w14:paraId="4D59404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NETO PROFITNA MARŽA</w:t>
            </w:r>
          </w:p>
        </w:tc>
        <w:tc>
          <w:tcPr>
            <w:tcW w:w="425" w:type="pct"/>
            <w:tcBorders>
              <w:top w:val="nil"/>
              <w:left w:val="nil"/>
              <w:bottom w:val="nil"/>
              <w:right w:val="nil"/>
            </w:tcBorders>
            <w:noWrap/>
            <w:vAlign w:val="bottom"/>
            <w:hideMark/>
          </w:tcPr>
          <w:p w14:paraId="7404C47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5F27BD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728613A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707" w:type="pct"/>
            <w:tcBorders>
              <w:top w:val="nil"/>
              <w:left w:val="nil"/>
              <w:bottom w:val="nil"/>
              <w:right w:val="nil"/>
            </w:tcBorders>
            <w:noWrap/>
            <w:vAlign w:val="bottom"/>
            <w:hideMark/>
          </w:tcPr>
          <w:p w14:paraId="1CAD46E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c>
          <w:tcPr>
            <w:tcW w:w="735" w:type="pct"/>
            <w:tcBorders>
              <w:top w:val="nil"/>
              <w:left w:val="nil"/>
              <w:bottom w:val="nil"/>
              <w:right w:val="nil"/>
            </w:tcBorders>
            <w:noWrap/>
            <w:vAlign w:val="bottom"/>
            <w:hideMark/>
          </w:tcPr>
          <w:p w14:paraId="3E853C1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-1.46</w:t>
            </w:r>
          </w:p>
        </w:tc>
        <w:tc>
          <w:tcPr>
            <w:tcW w:w="735" w:type="pct"/>
            <w:tcBorders>
              <w:top w:val="nil"/>
              <w:left w:val="nil"/>
              <w:bottom w:val="nil"/>
              <w:right w:val="nil"/>
            </w:tcBorders>
            <w:noWrap/>
            <w:vAlign w:val="bottom"/>
            <w:hideMark/>
          </w:tcPr>
          <w:p w14:paraId="186039F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r>
      <w:tr w:rsidR="00F908AB" w:rsidRPr="00BE5472" w14:paraId="4E20CA68" w14:textId="77777777" w:rsidTr="003C2F5B">
        <w:trPr>
          <w:trHeight w:val="300"/>
        </w:trPr>
        <w:tc>
          <w:tcPr>
            <w:tcW w:w="1266" w:type="pct"/>
            <w:tcBorders>
              <w:top w:val="nil"/>
              <w:left w:val="nil"/>
              <w:bottom w:val="nil"/>
              <w:right w:val="nil"/>
            </w:tcBorders>
            <w:noWrap/>
            <w:vAlign w:val="bottom"/>
            <w:hideMark/>
          </w:tcPr>
          <w:p w14:paraId="764AFD53"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35E544A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37886D8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07DD9A6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707" w:type="pct"/>
            <w:tcBorders>
              <w:top w:val="nil"/>
              <w:left w:val="nil"/>
              <w:bottom w:val="nil"/>
              <w:right w:val="nil"/>
            </w:tcBorders>
            <w:noWrap/>
            <w:vAlign w:val="bottom"/>
            <w:hideMark/>
          </w:tcPr>
          <w:p w14:paraId="5B78044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0.32</w:t>
            </w:r>
          </w:p>
        </w:tc>
        <w:tc>
          <w:tcPr>
            <w:tcW w:w="735" w:type="pct"/>
            <w:tcBorders>
              <w:top w:val="nil"/>
              <w:left w:val="nil"/>
              <w:bottom w:val="nil"/>
              <w:right w:val="nil"/>
            </w:tcBorders>
            <w:noWrap/>
            <w:vAlign w:val="bottom"/>
            <w:hideMark/>
          </w:tcPr>
          <w:p w14:paraId="2649FD5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-1.46</w:t>
            </w:r>
          </w:p>
        </w:tc>
        <w:tc>
          <w:tcPr>
            <w:tcW w:w="735" w:type="pct"/>
            <w:tcBorders>
              <w:top w:val="nil"/>
              <w:left w:val="nil"/>
              <w:bottom w:val="nil"/>
              <w:right w:val="nil"/>
            </w:tcBorders>
            <w:noWrap/>
            <w:vAlign w:val="bottom"/>
            <w:hideMark/>
          </w:tcPr>
          <w:p w14:paraId="7F89377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w:t>
            </w:r>
          </w:p>
        </w:tc>
      </w:tr>
      <w:tr w:rsidR="00F908AB" w:rsidRPr="00BE5472" w14:paraId="50878050" w14:textId="77777777" w:rsidTr="003C2F5B">
        <w:trPr>
          <w:trHeight w:val="300"/>
        </w:trPr>
        <w:tc>
          <w:tcPr>
            <w:tcW w:w="1266" w:type="pct"/>
            <w:tcBorders>
              <w:top w:val="nil"/>
              <w:left w:val="nil"/>
              <w:bottom w:val="nil"/>
              <w:right w:val="nil"/>
            </w:tcBorders>
            <w:noWrap/>
            <w:vAlign w:val="bottom"/>
            <w:hideMark/>
          </w:tcPr>
          <w:p w14:paraId="5B01E866"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33D6B1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1643447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2DA6C96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07" w:type="pct"/>
            <w:tcBorders>
              <w:top w:val="nil"/>
              <w:left w:val="nil"/>
              <w:bottom w:val="nil"/>
              <w:right w:val="nil"/>
            </w:tcBorders>
            <w:noWrap/>
            <w:vAlign w:val="bottom"/>
            <w:hideMark/>
          </w:tcPr>
          <w:p w14:paraId="728A0A8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735" w:type="pct"/>
            <w:tcBorders>
              <w:top w:val="nil"/>
              <w:left w:val="nil"/>
              <w:bottom w:val="nil"/>
              <w:right w:val="nil"/>
            </w:tcBorders>
            <w:noWrap/>
            <w:vAlign w:val="bottom"/>
            <w:hideMark/>
          </w:tcPr>
          <w:p w14:paraId="34C3A6A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w:t>
            </w:r>
          </w:p>
        </w:tc>
        <w:tc>
          <w:tcPr>
            <w:tcW w:w="735" w:type="pct"/>
            <w:tcBorders>
              <w:top w:val="nil"/>
              <w:left w:val="nil"/>
              <w:bottom w:val="nil"/>
              <w:right w:val="nil"/>
            </w:tcBorders>
            <w:noWrap/>
            <w:vAlign w:val="bottom"/>
            <w:hideMark/>
          </w:tcPr>
          <w:p w14:paraId="50DD300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r>
      <w:tr w:rsidR="00F908AB" w:rsidRPr="00BE5472" w14:paraId="0C439D8E" w14:textId="77777777" w:rsidTr="003C2F5B">
        <w:trPr>
          <w:trHeight w:val="300"/>
        </w:trPr>
        <w:tc>
          <w:tcPr>
            <w:tcW w:w="1266" w:type="pct"/>
            <w:tcBorders>
              <w:top w:val="nil"/>
              <w:left w:val="nil"/>
              <w:bottom w:val="nil"/>
              <w:right w:val="nil"/>
            </w:tcBorders>
            <w:noWrap/>
            <w:vAlign w:val="bottom"/>
            <w:hideMark/>
          </w:tcPr>
          <w:p w14:paraId="795250C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Pokazatelje tekuće likvidnost</w:t>
            </w:r>
          </w:p>
        </w:tc>
        <w:tc>
          <w:tcPr>
            <w:tcW w:w="425" w:type="pct"/>
            <w:tcBorders>
              <w:top w:val="nil"/>
              <w:left w:val="nil"/>
              <w:bottom w:val="nil"/>
              <w:right w:val="nil"/>
            </w:tcBorders>
            <w:noWrap/>
            <w:vAlign w:val="bottom"/>
            <w:hideMark/>
          </w:tcPr>
          <w:p w14:paraId="65F0F83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686E683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6EA0B57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1.24</w:t>
            </w:r>
          </w:p>
        </w:tc>
        <w:tc>
          <w:tcPr>
            <w:tcW w:w="707" w:type="pct"/>
            <w:tcBorders>
              <w:top w:val="nil"/>
              <w:left w:val="nil"/>
              <w:bottom w:val="nil"/>
              <w:right w:val="nil"/>
            </w:tcBorders>
            <w:noWrap/>
            <w:vAlign w:val="bottom"/>
            <w:hideMark/>
          </w:tcPr>
          <w:p w14:paraId="265F36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1.11</w:t>
            </w:r>
          </w:p>
        </w:tc>
        <w:tc>
          <w:tcPr>
            <w:tcW w:w="735" w:type="pct"/>
            <w:tcBorders>
              <w:top w:val="nil"/>
              <w:left w:val="nil"/>
              <w:bottom w:val="nil"/>
              <w:right w:val="nil"/>
            </w:tcBorders>
            <w:noWrap/>
            <w:vAlign w:val="bottom"/>
            <w:hideMark/>
          </w:tcPr>
          <w:p w14:paraId="2DA89E9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35" w:type="pct"/>
            <w:tcBorders>
              <w:top w:val="nil"/>
              <w:left w:val="nil"/>
              <w:bottom w:val="nil"/>
              <w:right w:val="nil"/>
            </w:tcBorders>
            <w:noWrap/>
            <w:vAlign w:val="bottom"/>
            <w:hideMark/>
          </w:tcPr>
          <w:p w14:paraId="38D9880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5.55</w:t>
            </w:r>
          </w:p>
        </w:tc>
      </w:tr>
      <w:tr w:rsidR="00F908AB" w:rsidRPr="00BE5472" w14:paraId="4CCE4D2E" w14:textId="77777777" w:rsidTr="003C2F5B">
        <w:trPr>
          <w:trHeight w:val="300"/>
        </w:trPr>
        <w:tc>
          <w:tcPr>
            <w:tcW w:w="1266" w:type="pct"/>
            <w:tcBorders>
              <w:top w:val="nil"/>
              <w:left w:val="nil"/>
              <w:bottom w:val="nil"/>
              <w:right w:val="nil"/>
            </w:tcBorders>
            <w:noWrap/>
            <w:vAlign w:val="bottom"/>
            <w:hideMark/>
          </w:tcPr>
          <w:p w14:paraId="1900087C"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315243DB"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3C01F4F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32204BE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w:t>
            </w:r>
          </w:p>
        </w:tc>
        <w:tc>
          <w:tcPr>
            <w:tcW w:w="707" w:type="pct"/>
            <w:tcBorders>
              <w:top w:val="nil"/>
              <w:left w:val="nil"/>
              <w:bottom w:val="nil"/>
              <w:right w:val="nil"/>
            </w:tcBorders>
            <w:noWrap/>
            <w:vAlign w:val="bottom"/>
            <w:hideMark/>
          </w:tcPr>
          <w:p w14:paraId="1C0BB28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1.37</w:t>
            </w:r>
          </w:p>
        </w:tc>
        <w:tc>
          <w:tcPr>
            <w:tcW w:w="735" w:type="pct"/>
            <w:tcBorders>
              <w:top w:val="nil"/>
              <w:left w:val="nil"/>
              <w:bottom w:val="nil"/>
              <w:right w:val="nil"/>
            </w:tcBorders>
            <w:noWrap/>
            <w:vAlign w:val="bottom"/>
            <w:hideMark/>
          </w:tcPr>
          <w:p w14:paraId="07CCE34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35" w:type="pct"/>
            <w:tcBorders>
              <w:top w:val="nil"/>
              <w:left w:val="nil"/>
              <w:bottom w:val="nil"/>
              <w:right w:val="nil"/>
            </w:tcBorders>
            <w:noWrap/>
            <w:vAlign w:val="bottom"/>
            <w:hideMark/>
          </w:tcPr>
          <w:p w14:paraId="5A38B6E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5.55</w:t>
            </w:r>
          </w:p>
        </w:tc>
      </w:tr>
      <w:tr w:rsidR="00F908AB" w:rsidRPr="00BE5472" w14:paraId="38791484" w14:textId="77777777" w:rsidTr="003C2F5B">
        <w:trPr>
          <w:trHeight w:val="300"/>
        </w:trPr>
        <w:tc>
          <w:tcPr>
            <w:tcW w:w="1266" w:type="pct"/>
            <w:tcBorders>
              <w:top w:val="nil"/>
              <w:left w:val="nil"/>
              <w:bottom w:val="nil"/>
              <w:right w:val="nil"/>
            </w:tcBorders>
            <w:noWrap/>
            <w:vAlign w:val="bottom"/>
            <w:hideMark/>
          </w:tcPr>
          <w:p w14:paraId="2173C89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1E1F08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03D5A8C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36B8176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w:t>
            </w:r>
          </w:p>
        </w:tc>
        <w:tc>
          <w:tcPr>
            <w:tcW w:w="707" w:type="pct"/>
            <w:tcBorders>
              <w:top w:val="nil"/>
              <w:left w:val="nil"/>
              <w:bottom w:val="nil"/>
              <w:right w:val="nil"/>
            </w:tcBorders>
            <w:noWrap/>
            <w:vAlign w:val="bottom"/>
            <w:hideMark/>
          </w:tcPr>
          <w:p w14:paraId="4F65DC9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0.93</w:t>
            </w:r>
          </w:p>
        </w:tc>
        <w:tc>
          <w:tcPr>
            <w:tcW w:w="735" w:type="pct"/>
            <w:tcBorders>
              <w:top w:val="nil"/>
              <w:left w:val="nil"/>
              <w:bottom w:val="nil"/>
              <w:right w:val="nil"/>
            </w:tcBorders>
            <w:noWrap/>
            <w:vAlign w:val="bottom"/>
            <w:hideMark/>
          </w:tcPr>
          <w:p w14:paraId="11CBC24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35" w:type="pct"/>
            <w:tcBorders>
              <w:top w:val="nil"/>
              <w:left w:val="nil"/>
              <w:bottom w:val="nil"/>
              <w:right w:val="nil"/>
            </w:tcBorders>
            <w:noWrap/>
            <w:vAlign w:val="bottom"/>
            <w:hideMark/>
          </w:tcPr>
          <w:p w14:paraId="50E9E81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w:t>
            </w:r>
          </w:p>
        </w:tc>
      </w:tr>
      <w:tr w:rsidR="00F908AB" w:rsidRPr="00BE5472" w14:paraId="69942894" w14:textId="77777777" w:rsidTr="003C2F5B">
        <w:trPr>
          <w:trHeight w:val="300"/>
        </w:trPr>
        <w:tc>
          <w:tcPr>
            <w:tcW w:w="1691" w:type="pct"/>
            <w:gridSpan w:val="2"/>
            <w:tcBorders>
              <w:top w:val="nil"/>
              <w:left w:val="nil"/>
              <w:bottom w:val="nil"/>
              <w:right w:val="nil"/>
            </w:tcBorders>
            <w:noWrap/>
            <w:vAlign w:val="bottom"/>
            <w:hideMark/>
          </w:tcPr>
          <w:p w14:paraId="1814F036" w14:textId="5257E03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Pokazatelj fina</w:t>
            </w:r>
            <w:r w:rsidR="00DB7AF5" w:rsidRPr="00BE5472">
              <w:rPr>
                <w:rFonts w:ascii="Times New Roman" w:eastAsia="Times New Roman" w:hAnsi="Times New Roman" w:cs="Times New Roman"/>
                <w:color w:val="000000"/>
                <w:sz w:val="24"/>
                <w:szCs w:val="24"/>
                <w:lang w:eastAsia="hr-HR"/>
              </w:rPr>
              <w:t>n</w:t>
            </w:r>
            <w:r w:rsidRPr="00BE5472">
              <w:rPr>
                <w:rFonts w:ascii="Times New Roman" w:eastAsia="Times New Roman" w:hAnsi="Times New Roman" w:cs="Times New Roman"/>
                <w:color w:val="000000"/>
                <w:sz w:val="24"/>
                <w:szCs w:val="24"/>
                <w:lang w:eastAsia="hr-HR"/>
              </w:rPr>
              <w:t>cijske stabilnosti</w:t>
            </w:r>
          </w:p>
        </w:tc>
        <w:tc>
          <w:tcPr>
            <w:tcW w:w="425" w:type="pct"/>
            <w:tcBorders>
              <w:top w:val="nil"/>
              <w:left w:val="nil"/>
              <w:bottom w:val="nil"/>
              <w:right w:val="nil"/>
            </w:tcBorders>
            <w:noWrap/>
            <w:vAlign w:val="bottom"/>
            <w:hideMark/>
          </w:tcPr>
          <w:p w14:paraId="764FFC7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7594570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1.02</w:t>
            </w:r>
          </w:p>
        </w:tc>
        <w:tc>
          <w:tcPr>
            <w:tcW w:w="707" w:type="pct"/>
            <w:tcBorders>
              <w:top w:val="nil"/>
              <w:left w:val="nil"/>
              <w:bottom w:val="nil"/>
              <w:right w:val="nil"/>
            </w:tcBorders>
            <w:noWrap/>
            <w:vAlign w:val="bottom"/>
            <w:hideMark/>
          </w:tcPr>
          <w:p w14:paraId="56DCDCC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0.21</w:t>
            </w:r>
          </w:p>
        </w:tc>
        <w:tc>
          <w:tcPr>
            <w:tcW w:w="735" w:type="pct"/>
            <w:tcBorders>
              <w:top w:val="nil"/>
              <w:left w:val="nil"/>
              <w:bottom w:val="nil"/>
              <w:right w:val="nil"/>
            </w:tcBorders>
            <w:noWrap/>
            <w:vAlign w:val="bottom"/>
            <w:hideMark/>
          </w:tcPr>
          <w:p w14:paraId="720D86C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735" w:type="pct"/>
            <w:tcBorders>
              <w:top w:val="nil"/>
              <w:left w:val="nil"/>
              <w:bottom w:val="nil"/>
              <w:right w:val="nil"/>
            </w:tcBorders>
            <w:noWrap/>
            <w:vAlign w:val="bottom"/>
            <w:hideMark/>
          </w:tcPr>
          <w:p w14:paraId="0BF8F9C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1.81</w:t>
            </w:r>
          </w:p>
        </w:tc>
      </w:tr>
      <w:tr w:rsidR="00F908AB" w:rsidRPr="00BE5472" w14:paraId="6CEA18C4" w14:textId="77777777" w:rsidTr="003C2F5B">
        <w:trPr>
          <w:trHeight w:val="300"/>
        </w:trPr>
        <w:tc>
          <w:tcPr>
            <w:tcW w:w="1266" w:type="pct"/>
            <w:tcBorders>
              <w:top w:val="nil"/>
              <w:left w:val="nil"/>
              <w:bottom w:val="nil"/>
              <w:right w:val="nil"/>
            </w:tcBorders>
            <w:noWrap/>
            <w:vAlign w:val="bottom"/>
            <w:hideMark/>
          </w:tcPr>
          <w:p w14:paraId="73E5A05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4B44022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0B12FA4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7217DEB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0.99</w:t>
            </w:r>
          </w:p>
        </w:tc>
        <w:tc>
          <w:tcPr>
            <w:tcW w:w="707" w:type="pct"/>
            <w:tcBorders>
              <w:top w:val="nil"/>
              <w:left w:val="nil"/>
              <w:bottom w:val="nil"/>
              <w:right w:val="nil"/>
            </w:tcBorders>
            <w:noWrap/>
            <w:vAlign w:val="bottom"/>
            <w:hideMark/>
          </w:tcPr>
          <w:p w14:paraId="18C7EE6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w:t>
            </w:r>
          </w:p>
        </w:tc>
        <w:tc>
          <w:tcPr>
            <w:tcW w:w="735" w:type="pct"/>
            <w:tcBorders>
              <w:top w:val="nil"/>
              <w:left w:val="nil"/>
              <w:bottom w:val="nil"/>
              <w:right w:val="nil"/>
            </w:tcBorders>
            <w:noWrap/>
            <w:vAlign w:val="bottom"/>
            <w:hideMark/>
          </w:tcPr>
          <w:p w14:paraId="491253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0.74</w:t>
            </w:r>
          </w:p>
        </w:tc>
        <w:tc>
          <w:tcPr>
            <w:tcW w:w="735" w:type="pct"/>
            <w:tcBorders>
              <w:top w:val="nil"/>
              <w:left w:val="nil"/>
              <w:bottom w:val="nil"/>
              <w:right w:val="nil"/>
            </w:tcBorders>
            <w:noWrap/>
            <w:vAlign w:val="bottom"/>
            <w:hideMark/>
          </w:tcPr>
          <w:p w14:paraId="5F2A181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1.14</w:t>
            </w:r>
          </w:p>
        </w:tc>
      </w:tr>
      <w:tr w:rsidR="00F908AB" w:rsidRPr="00BE5472" w14:paraId="00FE7201" w14:textId="77777777" w:rsidTr="003C2F5B">
        <w:trPr>
          <w:trHeight w:val="300"/>
        </w:trPr>
        <w:tc>
          <w:tcPr>
            <w:tcW w:w="1266" w:type="pct"/>
            <w:tcBorders>
              <w:top w:val="nil"/>
              <w:left w:val="nil"/>
              <w:bottom w:val="nil"/>
              <w:right w:val="nil"/>
            </w:tcBorders>
            <w:noWrap/>
            <w:vAlign w:val="bottom"/>
            <w:hideMark/>
          </w:tcPr>
          <w:p w14:paraId="6BC51A2D"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038A1DA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64A1038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1012680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1.04</w:t>
            </w:r>
          </w:p>
        </w:tc>
        <w:tc>
          <w:tcPr>
            <w:tcW w:w="707" w:type="pct"/>
            <w:tcBorders>
              <w:top w:val="nil"/>
              <w:left w:val="nil"/>
              <w:bottom w:val="nil"/>
              <w:right w:val="nil"/>
            </w:tcBorders>
            <w:noWrap/>
            <w:vAlign w:val="bottom"/>
            <w:hideMark/>
          </w:tcPr>
          <w:p w14:paraId="2D2CCD2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c>
          <w:tcPr>
            <w:tcW w:w="735" w:type="pct"/>
            <w:tcBorders>
              <w:top w:val="nil"/>
              <w:left w:val="nil"/>
              <w:bottom w:val="nil"/>
              <w:right w:val="nil"/>
            </w:tcBorders>
            <w:noWrap/>
            <w:vAlign w:val="bottom"/>
            <w:hideMark/>
          </w:tcPr>
          <w:p w14:paraId="2AC6FC0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735" w:type="pct"/>
            <w:tcBorders>
              <w:top w:val="nil"/>
              <w:left w:val="nil"/>
              <w:bottom w:val="nil"/>
              <w:right w:val="nil"/>
            </w:tcBorders>
            <w:noWrap/>
            <w:vAlign w:val="bottom"/>
            <w:hideMark/>
          </w:tcPr>
          <w:p w14:paraId="2EBF6E7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1.81</w:t>
            </w:r>
          </w:p>
        </w:tc>
      </w:tr>
      <w:tr w:rsidR="00F908AB" w:rsidRPr="00BE5472" w14:paraId="2FB1D27E" w14:textId="77777777" w:rsidTr="003C2F5B">
        <w:trPr>
          <w:trHeight w:val="300"/>
        </w:trPr>
        <w:tc>
          <w:tcPr>
            <w:tcW w:w="1266" w:type="pct"/>
            <w:tcBorders>
              <w:top w:val="nil"/>
              <w:left w:val="nil"/>
              <w:bottom w:val="nil"/>
              <w:right w:val="nil"/>
            </w:tcBorders>
            <w:noWrap/>
            <w:vAlign w:val="bottom"/>
            <w:hideMark/>
          </w:tcPr>
          <w:p w14:paraId="3C683381" w14:textId="10417B58"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Koeficijent zaduženost</w:t>
            </w:r>
            <w:r w:rsidR="00DB7AF5" w:rsidRPr="00BE5472">
              <w:rPr>
                <w:rFonts w:ascii="Times New Roman" w:eastAsia="Times New Roman" w:hAnsi="Times New Roman" w:cs="Times New Roman"/>
                <w:color w:val="000000"/>
                <w:sz w:val="24"/>
                <w:szCs w:val="24"/>
                <w:lang w:eastAsia="hr-HR"/>
              </w:rPr>
              <w:t>i</w:t>
            </w:r>
          </w:p>
        </w:tc>
        <w:tc>
          <w:tcPr>
            <w:tcW w:w="425" w:type="pct"/>
            <w:tcBorders>
              <w:top w:val="nil"/>
              <w:left w:val="nil"/>
              <w:bottom w:val="nil"/>
              <w:right w:val="nil"/>
            </w:tcBorders>
            <w:noWrap/>
            <w:vAlign w:val="bottom"/>
            <w:hideMark/>
          </w:tcPr>
          <w:p w14:paraId="048CBCF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63A6AF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2A2706D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0.43</w:t>
            </w:r>
          </w:p>
        </w:tc>
        <w:tc>
          <w:tcPr>
            <w:tcW w:w="707" w:type="pct"/>
            <w:tcBorders>
              <w:top w:val="nil"/>
              <w:left w:val="nil"/>
              <w:bottom w:val="nil"/>
              <w:right w:val="nil"/>
            </w:tcBorders>
            <w:noWrap/>
            <w:vAlign w:val="bottom"/>
            <w:hideMark/>
          </w:tcPr>
          <w:p w14:paraId="363D150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735" w:type="pct"/>
            <w:tcBorders>
              <w:top w:val="nil"/>
              <w:left w:val="nil"/>
              <w:bottom w:val="nil"/>
              <w:right w:val="nil"/>
            </w:tcBorders>
            <w:noWrap/>
            <w:vAlign w:val="bottom"/>
            <w:hideMark/>
          </w:tcPr>
          <w:p w14:paraId="605D9C7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35" w:type="pct"/>
            <w:tcBorders>
              <w:top w:val="nil"/>
              <w:left w:val="nil"/>
              <w:bottom w:val="nil"/>
              <w:right w:val="nil"/>
            </w:tcBorders>
            <w:noWrap/>
            <w:vAlign w:val="bottom"/>
            <w:hideMark/>
          </w:tcPr>
          <w:p w14:paraId="02486E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0.69</w:t>
            </w:r>
          </w:p>
        </w:tc>
      </w:tr>
      <w:tr w:rsidR="00F908AB" w:rsidRPr="00BE5472" w14:paraId="04E7002A" w14:textId="77777777" w:rsidTr="003C2F5B">
        <w:trPr>
          <w:trHeight w:val="300"/>
        </w:trPr>
        <w:tc>
          <w:tcPr>
            <w:tcW w:w="1266" w:type="pct"/>
            <w:tcBorders>
              <w:top w:val="nil"/>
              <w:left w:val="nil"/>
              <w:bottom w:val="nil"/>
              <w:right w:val="nil"/>
            </w:tcBorders>
            <w:noWrap/>
            <w:vAlign w:val="bottom"/>
            <w:hideMark/>
          </w:tcPr>
          <w:p w14:paraId="53E4FE5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2FE6D4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45B2370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60F6986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0.38</w:t>
            </w:r>
          </w:p>
        </w:tc>
        <w:tc>
          <w:tcPr>
            <w:tcW w:w="707" w:type="pct"/>
            <w:tcBorders>
              <w:top w:val="nil"/>
              <w:left w:val="nil"/>
              <w:bottom w:val="nil"/>
              <w:right w:val="nil"/>
            </w:tcBorders>
            <w:noWrap/>
            <w:vAlign w:val="bottom"/>
            <w:hideMark/>
          </w:tcPr>
          <w:p w14:paraId="6F42A25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735" w:type="pct"/>
            <w:tcBorders>
              <w:top w:val="nil"/>
              <w:left w:val="nil"/>
              <w:bottom w:val="nil"/>
              <w:right w:val="nil"/>
            </w:tcBorders>
            <w:noWrap/>
            <w:vAlign w:val="bottom"/>
            <w:hideMark/>
          </w:tcPr>
          <w:p w14:paraId="6A5A5FB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0.15</w:t>
            </w:r>
          </w:p>
        </w:tc>
        <w:tc>
          <w:tcPr>
            <w:tcW w:w="735" w:type="pct"/>
            <w:tcBorders>
              <w:top w:val="nil"/>
              <w:left w:val="nil"/>
              <w:bottom w:val="nil"/>
              <w:right w:val="nil"/>
            </w:tcBorders>
            <w:noWrap/>
            <w:vAlign w:val="bottom"/>
            <w:hideMark/>
          </w:tcPr>
          <w:p w14:paraId="281691E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0.55</w:t>
            </w:r>
          </w:p>
        </w:tc>
      </w:tr>
      <w:tr w:rsidR="00F908AB" w:rsidRPr="00BE5472" w14:paraId="077241FD" w14:textId="77777777" w:rsidTr="003C2F5B">
        <w:trPr>
          <w:trHeight w:val="300"/>
        </w:trPr>
        <w:tc>
          <w:tcPr>
            <w:tcW w:w="1266" w:type="pct"/>
            <w:tcBorders>
              <w:top w:val="nil"/>
              <w:left w:val="nil"/>
              <w:bottom w:val="nil"/>
              <w:right w:val="nil"/>
            </w:tcBorders>
            <w:noWrap/>
            <w:vAlign w:val="bottom"/>
            <w:hideMark/>
          </w:tcPr>
          <w:p w14:paraId="2CFE112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9E5642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60401B9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166F272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0.46</w:t>
            </w:r>
          </w:p>
        </w:tc>
        <w:tc>
          <w:tcPr>
            <w:tcW w:w="707" w:type="pct"/>
            <w:tcBorders>
              <w:top w:val="nil"/>
              <w:left w:val="nil"/>
              <w:bottom w:val="nil"/>
              <w:right w:val="nil"/>
            </w:tcBorders>
            <w:noWrap/>
            <w:vAlign w:val="bottom"/>
            <w:hideMark/>
          </w:tcPr>
          <w:p w14:paraId="413DDEF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735" w:type="pct"/>
            <w:tcBorders>
              <w:top w:val="nil"/>
              <w:left w:val="nil"/>
              <w:bottom w:val="nil"/>
              <w:right w:val="nil"/>
            </w:tcBorders>
            <w:noWrap/>
            <w:vAlign w:val="bottom"/>
            <w:hideMark/>
          </w:tcPr>
          <w:p w14:paraId="7D9F24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735" w:type="pct"/>
            <w:tcBorders>
              <w:top w:val="nil"/>
              <w:left w:val="nil"/>
              <w:bottom w:val="nil"/>
              <w:right w:val="nil"/>
            </w:tcBorders>
            <w:noWrap/>
            <w:vAlign w:val="bottom"/>
            <w:hideMark/>
          </w:tcPr>
          <w:p w14:paraId="5D364E9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0.69</w:t>
            </w:r>
          </w:p>
        </w:tc>
      </w:tr>
      <w:tr w:rsidR="00F908AB" w:rsidRPr="00BE5472" w14:paraId="2547528F" w14:textId="77777777" w:rsidTr="003C2F5B">
        <w:trPr>
          <w:trHeight w:val="300"/>
        </w:trPr>
        <w:tc>
          <w:tcPr>
            <w:tcW w:w="1266" w:type="pct"/>
            <w:tcBorders>
              <w:top w:val="nil"/>
              <w:left w:val="nil"/>
              <w:bottom w:val="nil"/>
              <w:right w:val="nil"/>
            </w:tcBorders>
            <w:noWrap/>
            <w:vAlign w:val="bottom"/>
            <w:hideMark/>
          </w:tcPr>
          <w:p w14:paraId="455A4AC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lastRenderedPageBreak/>
              <w:t>Tržišna vrijednost dionica</w:t>
            </w:r>
          </w:p>
        </w:tc>
        <w:tc>
          <w:tcPr>
            <w:tcW w:w="425" w:type="pct"/>
            <w:tcBorders>
              <w:top w:val="nil"/>
              <w:left w:val="nil"/>
              <w:bottom w:val="nil"/>
              <w:right w:val="nil"/>
            </w:tcBorders>
            <w:noWrap/>
            <w:vAlign w:val="bottom"/>
            <w:hideMark/>
          </w:tcPr>
          <w:p w14:paraId="33F43D5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3BE111A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72</w:t>
            </w:r>
          </w:p>
        </w:tc>
        <w:tc>
          <w:tcPr>
            <w:tcW w:w="707" w:type="pct"/>
            <w:tcBorders>
              <w:top w:val="nil"/>
              <w:left w:val="nil"/>
              <w:bottom w:val="nil"/>
              <w:right w:val="nil"/>
            </w:tcBorders>
            <w:noWrap/>
            <w:vAlign w:val="bottom"/>
            <w:hideMark/>
          </w:tcPr>
          <w:p w14:paraId="446F53F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3,144,989,353</w:t>
            </w:r>
          </w:p>
        </w:tc>
        <w:tc>
          <w:tcPr>
            <w:tcW w:w="707" w:type="pct"/>
            <w:tcBorders>
              <w:top w:val="nil"/>
              <w:left w:val="nil"/>
              <w:bottom w:val="nil"/>
              <w:right w:val="nil"/>
            </w:tcBorders>
            <w:noWrap/>
            <w:vAlign w:val="bottom"/>
            <w:hideMark/>
          </w:tcPr>
          <w:p w14:paraId="7DF40C5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2,379,246,918</w:t>
            </w:r>
          </w:p>
        </w:tc>
        <w:tc>
          <w:tcPr>
            <w:tcW w:w="735" w:type="pct"/>
            <w:tcBorders>
              <w:top w:val="nil"/>
              <w:left w:val="nil"/>
              <w:bottom w:val="nil"/>
              <w:right w:val="nil"/>
            </w:tcBorders>
            <w:noWrap/>
            <w:vAlign w:val="bottom"/>
            <w:hideMark/>
          </w:tcPr>
          <w:p w14:paraId="1689F32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358,650,225</w:t>
            </w:r>
          </w:p>
        </w:tc>
        <w:tc>
          <w:tcPr>
            <w:tcW w:w="735" w:type="pct"/>
            <w:tcBorders>
              <w:top w:val="nil"/>
              <w:left w:val="nil"/>
              <w:bottom w:val="nil"/>
              <w:right w:val="nil"/>
            </w:tcBorders>
            <w:noWrap/>
            <w:vAlign w:val="bottom"/>
            <w:hideMark/>
          </w:tcPr>
          <w:p w14:paraId="45428DD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9,078,384,000</w:t>
            </w:r>
          </w:p>
        </w:tc>
      </w:tr>
      <w:tr w:rsidR="00F908AB" w:rsidRPr="00BE5472" w14:paraId="40EC62D1" w14:textId="77777777" w:rsidTr="003C2F5B">
        <w:trPr>
          <w:trHeight w:val="300"/>
        </w:trPr>
        <w:tc>
          <w:tcPr>
            <w:tcW w:w="1266" w:type="pct"/>
            <w:tcBorders>
              <w:top w:val="nil"/>
              <w:left w:val="nil"/>
              <w:bottom w:val="nil"/>
              <w:right w:val="nil"/>
            </w:tcBorders>
            <w:noWrap/>
            <w:vAlign w:val="bottom"/>
            <w:hideMark/>
          </w:tcPr>
          <w:p w14:paraId="3C37044D"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5ACDB5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7367322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w:t>
            </w:r>
          </w:p>
        </w:tc>
        <w:tc>
          <w:tcPr>
            <w:tcW w:w="707" w:type="pct"/>
            <w:tcBorders>
              <w:top w:val="nil"/>
              <w:left w:val="nil"/>
              <w:bottom w:val="nil"/>
              <w:right w:val="nil"/>
            </w:tcBorders>
            <w:noWrap/>
            <w:vAlign w:val="bottom"/>
            <w:hideMark/>
          </w:tcPr>
          <w:p w14:paraId="58FC000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1,129,604,723</w:t>
            </w:r>
          </w:p>
        </w:tc>
        <w:tc>
          <w:tcPr>
            <w:tcW w:w="707" w:type="pct"/>
            <w:tcBorders>
              <w:top w:val="nil"/>
              <w:left w:val="nil"/>
              <w:bottom w:val="nil"/>
              <w:right w:val="nil"/>
            </w:tcBorders>
            <w:noWrap/>
            <w:vAlign w:val="bottom"/>
            <w:hideMark/>
          </w:tcPr>
          <w:p w14:paraId="569AAC3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459,268,847</w:t>
            </w:r>
          </w:p>
        </w:tc>
        <w:tc>
          <w:tcPr>
            <w:tcW w:w="735" w:type="pct"/>
            <w:tcBorders>
              <w:top w:val="nil"/>
              <w:left w:val="nil"/>
              <w:bottom w:val="nil"/>
              <w:right w:val="nil"/>
            </w:tcBorders>
            <w:noWrap/>
            <w:vAlign w:val="bottom"/>
            <w:hideMark/>
          </w:tcPr>
          <w:p w14:paraId="06CCB9D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358,650,225</w:t>
            </w:r>
          </w:p>
        </w:tc>
        <w:tc>
          <w:tcPr>
            <w:tcW w:w="735" w:type="pct"/>
            <w:tcBorders>
              <w:top w:val="nil"/>
              <w:left w:val="nil"/>
              <w:bottom w:val="nil"/>
              <w:right w:val="nil"/>
            </w:tcBorders>
            <w:noWrap/>
            <w:vAlign w:val="bottom"/>
            <w:hideMark/>
          </w:tcPr>
          <w:p w14:paraId="7702C92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2,491,554,243</w:t>
            </w:r>
          </w:p>
        </w:tc>
      </w:tr>
      <w:tr w:rsidR="00F908AB" w:rsidRPr="00BE5472" w14:paraId="3A809AD8" w14:textId="77777777" w:rsidTr="003C2F5B">
        <w:trPr>
          <w:trHeight w:val="300"/>
        </w:trPr>
        <w:tc>
          <w:tcPr>
            <w:tcW w:w="1266" w:type="pct"/>
            <w:tcBorders>
              <w:top w:val="nil"/>
              <w:left w:val="nil"/>
              <w:bottom w:val="nil"/>
              <w:right w:val="nil"/>
            </w:tcBorders>
            <w:noWrap/>
            <w:vAlign w:val="bottom"/>
            <w:hideMark/>
          </w:tcPr>
          <w:p w14:paraId="4797D0DB"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6342EB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3AF1BF9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w:t>
            </w:r>
          </w:p>
        </w:tc>
        <w:tc>
          <w:tcPr>
            <w:tcW w:w="707" w:type="pct"/>
            <w:tcBorders>
              <w:top w:val="nil"/>
              <w:left w:val="nil"/>
              <w:bottom w:val="nil"/>
              <w:right w:val="nil"/>
            </w:tcBorders>
            <w:noWrap/>
            <w:vAlign w:val="bottom"/>
            <w:hideMark/>
          </w:tcPr>
          <w:p w14:paraId="674F967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4,427,506,846</w:t>
            </w:r>
          </w:p>
        </w:tc>
        <w:tc>
          <w:tcPr>
            <w:tcW w:w="707" w:type="pct"/>
            <w:tcBorders>
              <w:top w:val="nil"/>
              <w:left w:val="nil"/>
              <w:bottom w:val="nil"/>
              <w:right w:val="nil"/>
            </w:tcBorders>
            <w:noWrap/>
            <w:vAlign w:val="bottom"/>
            <w:hideMark/>
          </w:tcPr>
          <w:p w14:paraId="734B225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2,210,544,082</w:t>
            </w:r>
          </w:p>
        </w:tc>
        <w:tc>
          <w:tcPr>
            <w:tcW w:w="735" w:type="pct"/>
            <w:tcBorders>
              <w:top w:val="nil"/>
              <w:left w:val="nil"/>
              <w:bottom w:val="nil"/>
              <w:right w:val="nil"/>
            </w:tcBorders>
            <w:noWrap/>
            <w:vAlign w:val="bottom"/>
            <w:hideMark/>
          </w:tcPr>
          <w:p w14:paraId="2470A99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894,704,618</w:t>
            </w:r>
          </w:p>
        </w:tc>
        <w:tc>
          <w:tcPr>
            <w:tcW w:w="735" w:type="pct"/>
            <w:tcBorders>
              <w:top w:val="nil"/>
              <w:left w:val="nil"/>
              <w:bottom w:val="nil"/>
              <w:right w:val="nil"/>
            </w:tcBorders>
            <w:noWrap/>
            <w:vAlign w:val="bottom"/>
            <w:hideMark/>
          </w:tcPr>
          <w:p w14:paraId="1127AF6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9,078,384,000</w:t>
            </w:r>
          </w:p>
        </w:tc>
      </w:tr>
      <w:tr w:rsidR="00F908AB" w:rsidRPr="00BE5472" w14:paraId="2857FAE6" w14:textId="77777777" w:rsidTr="003C2F5B">
        <w:trPr>
          <w:trHeight w:val="300"/>
        </w:trPr>
        <w:tc>
          <w:tcPr>
            <w:tcW w:w="1691" w:type="pct"/>
            <w:gridSpan w:val="2"/>
            <w:tcBorders>
              <w:top w:val="nil"/>
              <w:left w:val="nil"/>
              <w:bottom w:val="nil"/>
              <w:right w:val="nil"/>
            </w:tcBorders>
            <w:noWrap/>
            <w:vAlign w:val="bottom"/>
            <w:hideMark/>
          </w:tcPr>
          <w:p w14:paraId="72C1328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Tržišna vrijednost dionica (LOG)</w:t>
            </w:r>
          </w:p>
        </w:tc>
        <w:tc>
          <w:tcPr>
            <w:tcW w:w="425" w:type="pct"/>
            <w:tcBorders>
              <w:top w:val="nil"/>
              <w:left w:val="nil"/>
              <w:bottom w:val="nil"/>
              <w:right w:val="nil"/>
            </w:tcBorders>
            <w:noWrap/>
            <w:vAlign w:val="bottom"/>
            <w:hideMark/>
          </w:tcPr>
          <w:p w14:paraId="78BD1C2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09ED97E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7.66</w:t>
            </w:r>
          </w:p>
        </w:tc>
        <w:tc>
          <w:tcPr>
            <w:tcW w:w="707" w:type="pct"/>
            <w:tcBorders>
              <w:top w:val="nil"/>
              <w:left w:val="nil"/>
              <w:bottom w:val="nil"/>
              <w:right w:val="nil"/>
            </w:tcBorders>
            <w:noWrap/>
            <w:vAlign w:val="bottom"/>
            <w:hideMark/>
          </w:tcPr>
          <w:p w14:paraId="7AE83D8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3.65</w:t>
            </w:r>
          </w:p>
        </w:tc>
        <w:tc>
          <w:tcPr>
            <w:tcW w:w="735" w:type="pct"/>
            <w:tcBorders>
              <w:top w:val="nil"/>
              <w:left w:val="nil"/>
              <w:bottom w:val="nil"/>
              <w:right w:val="nil"/>
            </w:tcBorders>
            <w:noWrap/>
            <w:vAlign w:val="bottom"/>
            <w:hideMark/>
          </w:tcPr>
          <w:p w14:paraId="3A8D0CA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735" w:type="pct"/>
            <w:tcBorders>
              <w:top w:val="nil"/>
              <w:left w:val="nil"/>
              <w:bottom w:val="nil"/>
              <w:right w:val="nil"/>
            </w:tcBorders>
            <w:noWrap/>
            <w:vAlign w:val="bottom"/>
            <w:hideMark/>
          </w:tcPr>
          <w:p w14:paraId="502B4DE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9.96</w:t>
            </w:r>
          </w:p>
        </w:tc>
      </w:tr>
      <w:tr w:rsidR="00F908AB" w:rsidRPr="00BE5472" w14:paraId="7207FEDA" w14:textId="77777777" w:rsidTr="003C2F5B">
        <w:trPr>
          <w:trHeight w:val="300"/>
        </w:trPr>
        <w:tc>
          <w:tcPr>
            <w:tcW w:w="1266" w:type="pct"/>
            <w:tcBorders>
              <w:top w:val="nil"/>
              <w:left w:val="nil"/>
              <w:bottom w:val="nil"/>
              <w:right w:val="nil"/>
            </w:tcBorders>
            <w:noWrap/>
            <w:vAlign w:val="bottom"/>
            <w:hideMark/>
          </w:tcPr>
          <w:p w14:paraId="5240FF94"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299A92F"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7BFC306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14DB13A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7.65</w:t>
            </w:r>
          </w:p>
        </w:tc>
        <w:tc>
          <w:tcPr>
            <w:tcW w:w="707" w:type="pct"/>
            <w:tcBorders>
              <w:top w:val="nil"/>
              <w:left w:val="nil"/>
              <w:bottom w:val="nil"/>
              <w:right w:val="nil"/>
            </w:tcBorders>
            <w:noWrap/>
            <w:vAlign w:val="bottom"/>
            <w:hideMark/>
          </w:tcPr>
          <w:p w14:paraId="338DB4E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3.29</w:t>
            </w:r>
          </w:p>
        </w:tc>
        <w:tc>
          <w:tcPr>
            <w:tcW w:w="735" w:type="pct"/>
            <w:tcBorders>
              <w:top w:val="nil"/>
              <w:left w:val="nil"/>
              <w:bottom w:val="nil"/>
              <w:right w:val="nil"/>
            </w:tcBorders>
            <w:noWrap/>
            <w:vAlign w:val="bottom"/>
            <w:hideMark/>
          </w:tcPr>
          <w:p w14:paraId="5E62B7F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735" w:type="pct"/>
            <w:tcBorders>
              <w:top w:val="nil"/>
              <w:left w:val="nil"/>
              <w:bottom w:val="nil"/>
              <w:right w:val="nil"/>
            </w:tcBorders>
            <w:noWrap/>
            <w:vAlign w:val="bottom"/>
            <w:hideMark/>
          </w:tcPr>
          <w:p w14:paraId="0C38971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9.4</w:t>
            </w:r>
          </w:p>
        </w:tc>
      </w:tr>
      <w:tr w:rsidR="00F908AB" w:rsidRPr="00BE5472" w14:paraId="2526088F" w14:textId="77777777" w:rsidTr="003C2F5B">
        <w:trPr>
          <w:trHeight w:val="300"/>
        </w:trPr>
        <w:tc>
          <w:tcPr>
            <w:tcW w:w="1266" w:type="pct"/>
            <w:tcBorders>
              <w:top w:val="nil"/>
              <w:left w:val="nil"/>
              <w:bottom w:val="nil"/>
              <w:right w:val="nil"/>
            </w:tcBorders>
            <w:noWrap/>
            <w:vAlign w:val="bottom"/>
            <w:hideMark/>
          </w:tcPr>
          <w:p w14:paraId="37C8DA52"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F6C4FA3"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6937DD8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1F398E0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7.67</w:t>
            </w:r>
          </w:p>
        </w:tc>
        <w:tc>
          <w:tcPr>
            <w:tcW w:w="707" w:type="pct"/>
            <w:tcBorders>
              <w:top w:val="nil"/>
              <w:left w:val="nil"/>
              <w:bottom w:val="nil"/>
              <w:right w:val="nil"/>
            </w:tcBorders>
            <w:noWrap/>
            <w:vAlign w:val="bottom"/>
            <w:hideMark/>
          </w:tcPr>
          <w:p w14:paraId="7E0A9F8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3.88</w:t>
            </w:r>
          </w:p>
        </w:tc>
        <w:tc>
          <w:tcPr>
            <w:tcW w:w="735" w:type="pct"/>
            <w:tcBorders>
              <w:top w:val="nil"/>
              <w:left w:val="nil"/>
              <w:bottom w:val="nil"/>
              <w:right w:val="nil"/>
            </w:tcBorders>
            <w:noWrap/>
            <w:vAlign w:val="bottom"/>
            <w:hideMark/>
          </w:tcPr>
          <w:p w14:paraId="7896B09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735" w:type="pct"/>
            <w:tcBorders>
              <w:top w:val="nil"/>
              <w:left w:val="nil"/>
              <w:bottom w:val="nil"/>
              <w:right w:val="nil"/>
            </w:tcBorders>
            <w:noWrap/>
            <w:vAlign w:val="bottom"/>
            <w:hideMark/>
          </w:tcPr>
          <w:p w14:paraId="48028E9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9.96</w:t>
            </w:r>
          </w:p>
        </w:tc>
      </w:tr>
      <w:tr w:rsidR="00F908AB" w:rsidRPr="00BE5472" w14:paraId="3CBBDF96" w14:textId="77777777" w:rsidTr="003C2F5B">
        <w:trPr>
          <w:trHeight w:val="300"/>
        </w:trPr>
        <w:tc>
          <w:tcPr>
            <w:tcW w:w="1266" w:type="pct"/>
            <w:tcBorders>
              <w:top w:val="nil"/>
              <w:left w:val="nil"/>
              <w:bottom w:val="nil"/>
              <w:right w:val="nil"/>
            </w:tcBorders>
            <w:noWrap/>
            <w:vAlign w:val="bottom"/>
            <w:hideMark/>
          </w:tcPr>
          <w:p w14:paraId="3F232287"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dobit po dionici</w:t>
            </w:r>
          </w:p>
        </w:tc>
        <w:tc>
          <w:tcPr>
            <w:tcW w:w="425" w:type="pct"/>
            <w:tcBorders>
              <w:top w:val="nil"/>
              <w:left w:val="nil"/>
              <w:bottom w:val="nil"/>
              <w:right w:val="nil"/>
            </w:tcBorders>
            <w:noWrap/>
            <w:vAlign w:val="bottom"/>
            <w:hideMark/>
          </w:tcPr>
          <w:p w14:paraId="41F060F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3DC3FDD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87</w:t>
            </w:r>
          </w:p>
        </w:tc>
        <w:tc>
          <w:tcPr>
            <w:tcW w:w="707" w:type="pct"/>
            <w:tcBorders>
              <w:top w:val="nil"/>
              <w:left w:val="nil"/>
              <w:bottom w:val="nil"/>
              <w:right w:val="nil"/>
            </w:tcBorders>
            <w:noWrap/>
            <w:vAlign w:val="bottom"/>
            <w:hideMark/>
          </w:tcPr>
          <w:p w14:paraId="22ED86A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23.07</w:t>
            </w:r>
          </w:p>
        </w:tc>
        <w:tc>
          <w:tcPr>
            <w:tcW w:w="707" w:type="pct"/>
            <w:tcBorders>
              <w:top w:val="nil"/>
              <w:left w:val="nil"/>
              <w:bottom w:val="nil"/>
              <w:right w:val="nil"/>
            </w:tcBorders>
            <w:noWrap/>
            <w:vAlign w:val="bottom"/>
            <w:hideMark/>
          </w:tcPr>
          <w:p w14:paraId="0D53B04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98.17</w:t>
            </w:r>
          </w:p>
        </w:tc>
        <w:tc>
          <w:tcPr>
            <w:tcW w:w="735" w:type="pct"/>
            <w:tcBorders>
              <w:top w:val="nil"/>
              <w:left w:val="nil"/>
              <w:bottom w:val="nil"/>
              <w:right w:val="nil"/>
            </w:tcBorders>
            <w:noWrap/>
            <w:vAlign w:val="bottom"/>
            <w:hideMark/>
          </w:tcPr>
          <w:p w14:paraId="5E9F489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-533.26</w:t>
            </w:r>
          </w:p>
        </w:tc>
        <w:tc>
          <w:tcPr>
            <w:tcW w:w="735" w:type="pct"/>
            <w:tcBorders>
              <w:top w:val="nil"/>
              <w:left w:val="nil"/>
              <w:bottom w:val="nil"/>
              <w:right w:val="nil"/>
            </w:tcBorders>
            <w:noWrap/>
            <w:vAlign w:val="bottom"/>
            <w:hideMark/>
          </w:tcPr>
          <w:p w14:paraId="1FAFF7A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345.82</w:t>
            </w:r>
          </w:p>
        </w:tc>
      </w:tr>
      <w:tr w:rsidR="00F908AB" w:rsidRPr="00BE5472" w14:paraId="63F4F43A" w14:textId="77777777" w:rsidTr="003C2F5B">
        <w:trPr>
          <w:trHeight w:val="300"/>
        </w:trPr>
        <w:tc>
          <w:tcPr>
            <w:tcW w:w="1266" w:type="pct"/>
            <w:tcBorders>
              <w:top w:val="nil"/>
              <w:left w:val="nil"/>
              <w:bottom w:val="nil"/>
              <w:right w:val="nil"/>
            </w:tcBorders>
            <w:noWrap/>
            <w:vAlign w:val="bottom"/>
            <w:hideMark/>
          </w:tcPr>
          <w:p w14:paraId="0E7D6040"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7AE23A2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53DE189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w:t>
            </w:r>
          </w:p>
        </w:tc>
        <w:tc>
          <w:tcPr>
            <w:tcW w:w="707" w:type="pct"/>
            <w:tcBorders>
              <w:top w:val="nil"/>
              <w:left w:val="nil"/>
              <w:bottom w:val="nil"/>
              <w:right w:val="nil"/>
            </w:tcBorders>
            <w:noWrap/>
            <w:vAlign w:val="bottom"/>
            <w:hideMark/>
          </w:tcPr>
          <w:p w14:paraId="0A62A06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-14.61</w:t>
            </w:r>
          </w:p>
        </w:tc>
        <w:tc>
          <w:tcPr>
            <w:tcW w:w="707" w:type="pct"/>
            <w:tcBorders>
              <w:top w:val="nil"/>
              <w:left w:val="nil"/>
              <w:bottom w:val="nil"/>
              <w:right w:val="nil"/>
            </w:tcBorders>
            <w:noWrap/>
            <w:vAlign w:val="bottom"/>
            <w:hideMark/>
          </w:tcPr>
          <w:p w14:paraId="04AFEB0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116.08</w:t>
            </w:r>
          </w:p>
        </w:tc>
        <w:tc>
          <w:tcPr>
            <w:tcW w:w="735" w:type="pct"/>
            <w:tcBorders>
              <w:top w:val="nil"/>
              <w:left w:val="nil"/>
              <w:bottom w:val="nil"/>
              <w:right w:val="nil"/>
            </w:tcBorders>
            <w:noWrap/>
            <w:vAlign w:val="bottom"/>
            <w:hideMark/>
          </w:tcPr>
          <w:p w14:paraId="6BD7548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-533.26</w:t>
            </w:r>
          </w:p>
        </w:tc>
        <w:tc>
          <w:tcPr>
            <w:tcW w:w="735" w:type="pct"/>
            <w:tcBorders>
              <w:top w:val="nil"/>
              <w:left w:val="nil"/>
              <w:bottom w:val="nil"/>
              <w:right w:val="nil"/>
            </w:tcBorders>
            <w:noWrap/>
            <w:vAlign w:val="bottom"/>
            <w:hideMark/>
          </w:tcPr>
          <w:p w14:paraId="3ED3F1E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167.16</w:t>
            </w:r>
          </w:p>
        </w:tc>
      </w:tr>
      <w:tr w:rsidR="00F908AB" w:rsidRPr="00BE5472" w14:paraId="7BBF3429" w14:textId="77777777" w:rsidTr="003C2F5B">
        <w:trPr>
          <w:trHeight w:val="300"/>
        </w:trPr>
        <w:tc>
          <w:tcPr>
            <w:tcW w:w="1266" w:type="pct"/>
            <w:tcBorders>
              <w:top w:val="nil"/>
              <w:left w:val="nil"/>
              <w:bottom w:val="nil"/>
              <w:right w:val="nil"/>
            </w:tcBorders>
            <w:noWrap/>
            <w:vAlign w:val="bottom"/>
            <w:hideMark/>
          </w:tcPr>
          <w:p w14:paraId="474A3AD3"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05BF7DC2"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1E482B6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51B6FE6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44.99</w:t>
            </w:r>
          </w:p>
        </w:tc>
        <w:tc>
          <w:tcPr>
            <w:tcW w:w="707" w:type="pct"/>
            <w:tcBorders>
              <w:top w:val="nil"/>
              <w:left w:val="nil"/>
              <w:bottom w:val="nil"/>
              <w:right w:val="nil"/>
            </w:tcBorders>
            <w:noWrap/>
            <w:vAlign w:val="bottom"/>
            <w:hideMark/>
          </w:tcPr>
          <w:p w14:paraId="744A1D9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79.25</w:t>
            </w:r>
          </w:p>
        </w:tc>
        <w:tc>
          <w:tcPr>
            <w:tcW w:w="735" w:type="pct"/>
            <w:tcBorders>
              <w:top w:val="nil"/>
              <w:left w:val="nil"/>
              <w:bottom w:val="nil"/>
              <w:right w:val="nil"/>
            </w:tcBorders>
            <w:noWrap/>
            <w:vAlign w:val="bottom"/>
            <w:hideMark/>
          </w:tcPr>
          <w:p w14:paraId="5A5E0CD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-45.45</w:t>
            </w:r>
          </w:p>
        </w:tc>
        <w:tc>
          <w:tcPr>
            <w:tcW w:w="735" w:type="pct"/>
            <w:tcBorders>
              <w:top w:val="nil"/>
              <w:left w:val="nil"/>
              <w:bottom w:val="nil"/>
              <w:right w:val="nil"/>
            </w:tcBorders>
            <w:noWrap/>
            <w:vAlign w:val="bottom"/>
            <w:hideMark/>
          </w:tcPr>
          <w:p w14:paraId="651F45A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345.82</w:t>
            </w:r>
          </w:p>
        </w:tc>
      </w:tr>
      <w:tr w:rsidR="00F908AB" w:rsidRPr="00BE5472" w14:paraId="3033FF22" w14:textId="77777777" w:rsidTr="003C2F5B">
        <w:trPr>
          <w:trHeight w:val="300"/>
        </w:trPr>
        <w:tc>
          <w:tcPr>
            <w:tcW w:w="1266" w:type="pct"/>
            <w:tcBorders>
              <w:top w:val="nil"/>
              <w:left w:val="nil"/>
              <w:bottom w:val="nil"/>
              <w:right w:val="nil"/>
            </w:tcBorders>
            <w:noWrap/>
            <w:vAlign w:val="bottom"/>
            <w:hideMark/>
          </w:tcPr>
          <w:p w14:paraId="714100B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Dividenda do dionici</w:t>
            </w:r>
          </w:p>
        </w:tc>
        <w:tc>
          <w:tcPr>
            <w:tcW w:w="425" w:type="pct"/>
            <w:tcBorders>
              <w:top w:val="nil"/>
              <w:left w:val="nil"/>
              <w:bottom w:val="nil"/>
              <w:right w:val="nil"/>
            </w:tcBorders>
            <w:noWrap/>
            <w:vAlign w:val="bottom"/>
            <w:hideMark/>
          </w:tcPr>
          <w:p w14:paraId="65C4E450"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4D77B2B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w:t>
            </w:r>
          </w:p>
        </w:tc>
        <w:tc>
          <w:tcPr>
            <w:tcW w:w="707" w:type="pct"/>
            <w:tcBorders>
              <w:top w:val="nil"/>
              <w:left w:val="nil"/>
              <w:bottom w:val="nil"/>
              <w:right w:val="nil"/>
            </w:tcBorders>
            <w:noWrap/>
            <w:vAlign w:val="bottom"/>
            <w:hideMark/>
          </w:tcPr>
          <w:p w14:paraId="040F242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18.79</w:t>
            </w:r>
          </w:p>
        </w:tc>
        <w:tc>
          <w:tcPr>
            <w:tcW w:w="707" w:type="pct"/>
            <w:tcBorders>
              <w:top w:val="nil"/>
              <w:left w:val="nil"/>
              <w:bottom w:val="nil"/>
              <w:right w:val="nil"/>
            </w:tcBorders>
            <w:noWrap/>
            <w:vAlign w:val="bottom"/>
            <w:hideMark/>
          </w:tcPr>
          <w:p w14:paraId="53EA4BD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41.14</w:t>
            </w:r>
          </w:p>
        </w:tc>
        <w:tc>
          <w:tcPr>
            <w:tcW w:w="735" w:type="pct"/>
            <w:tcBorders>
              <w:top w:val="nil"/>
              <w:left w:val="nil"/>
              <w:bottom w:val="nil"/>
              <w:right w:val="nil"/>
            </w:tcBorders>
            <w:noWrap/>
            <w:vAlign w:val="bottom"/>
            <w:hideMark/>
          </w:tcPr>
          <w:p w14:paraId="5E6D9F3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35" w:type="pct"/>
            <w:tcBorders>
              <w:top w:val="nil"/>
              <w:left w:val="nil"/>
              <w:bottom w:val="nil"/>
              <w:right w:val="nil"/>
            </w:tcBorders>
            <w:noWrap/>
            <w:vAlign w:val="bottom"/>
            <w:hideMark/>
          </w:tcPr>
          <w:p w14:paraId="2E8144A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236.1</w:t>
            </w:r>
          </w:p>
        </w:tc>
      </w:tr>
      <w:tr w:rsidR="00F908AB" w:rsidRPr="00BE5472" w14:paraId="0F5C347F" w14:textId="77777777" w:rsidTr="003C2F5B">
        <w:trPr>
          <w:trHeight w:val="300"/>
        </w:trPr>
        <w:tc>
          <w:tcPr>
            <w:tcW w:w="1266" w:type="pct"/>
            <w:tcBorders>
              <w:top w:val="nil"/>
              <w:left w:val="nil"/>
              <w:bottom w:val="nil"/>
              <w:right w:val="nil"/>
            </w:tcBorders>
            <w:noWrap/>
            <w:vAlign w:val="bottom"/>
            <w:hideMark/>
          </w:tcPr>
          <w:p w14:paraId="55CF78DE"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35CBB5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678C82A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w:t>
            </w:r>
          </w:p>
        </w:tc>
        <w:tc>
          <w:tcPr>
            <w:tcW w:w="707" w:type="pct"/>
            <w:tcBorders>
              <w:top w:val="nil"/>
              <w:left w:val="nil"/>
              <w:bottom w:val="nil"/>
              <w:right w:val="nil"/>
            </w:tcBorders>
            <w:noWrap/>
            <w:vAlign w:val="bottom"/>
            <w:hideMark/>
          </w:tcPr>
          <w:p w14:paraId="147E00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2.03</w:t>
            </w:r>
          </w:p>
        </w:tc>
        <w:tc>
          <w:tcPr>
            <w:tcW w:w="707" w:type="pct"/>
            <w:tcBorders>
              <w:top w:val="nil"/>
              <w:left w:val="nil"/>
              <w:bottom w:val="nil"/>
              <w:right w:val="nil"/>
            </w:tcBorders>
            <w:noWrap/>
            <w:vAlign w:val="bottom"/>
            <w:hideMark/>
          </w:tcPr>
          <w:p w14:paraId="40F5D13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2.13</w:t>
            </w:r>
          </w:p>
        </w:tc>
        <w:tc>
          <w:tcPr>
            <w:tcW w:w="735" w:type="pct"/>
            <w:tcBorders>
              <w:top w:val="nil"/>
              <w:left w:val="nil"/>
              <w:bottom w:val="nil"/>
              <w:right w:val="nil"/>
            </w:tcBorders>
            <w:noWrap/>
            <w:vAlign w:val="bottom"/>
            <w:hideMark/>
          </w:tcPr>
          <w:p w14:paraId="316844B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0.31</w:t>
            </w:r>
          </w:p>
        </w:tc>
        <w:tc>
          <w:tcPr>
            <w:tcW w:w="735" w:type="pct"/>
            <w:tcBorders>
              <w:top w:val="nil"/>
              <w:left w:val="nil"/>
              <w:bottom w:val="nil"/>
              <w:right w:val="nil"/>
            </w:tcBorders>
            <w:noWrap/>
            <w:vAlign w:val="bottom"/>
            <w:hideMark/>
          </w:tcPr>
          <w:p w14:paraId="0821AFA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F908AB" w:rsidRPr="00BE5472" w14:paraId="63EE9719" w14:textId="77777777" w:rsidTr="003C2F5B">
        <w:trPr>
          <w:trHeight w:val="300"/>
        </w:trPr>
        <w:tc>
          <w:tcPr>
            <w:tcW w:w="1266" w:type="pct"/>
            <w:tcBorders>
              <w:top w:val="nil"/>
              <w:left w:val="nil"/>
              <w:bottom w:val="nil"/>
              <w:right w:val="nil"/>
            </w:tcBorders>
            <w:noWrap/>
            <w:vAlign w:val="bottom"/>
            <w:hideMark/>
          </w:tcPr>
          <w:p w14:paraId="5F56A0A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95E59E6"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53AB929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w:t>
            </w:r>
          </w:p>
        </w:tc>
        <w:tc>
          <w:tcPr>
            <w:tcW w:w="707" w:type="pct"/>
            <w:tcBorders>
              <w:top w:val="nil"/>
              <w:left w:val="nil"/>
              <w:bottom w:val="nil"/>
              <w:right w:val="nil"/>
            </w:tcBorders>
            <w:noWrap/>
            <w:vAlign w:val="bottom"/>
            <w:hideMark/>
          </w:tcPr>
          <w:p w14:paraId="7824648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20.71</w:t>
            </w:r>
          </w:p>
        </w:tc>
        <w:tc>
          <w:tcPr>
            <w:tcW w:w="707" w:type="pct"/>
            <w:tcBorders>
              <w:top w:val="nil"/>
              <w:left w:val="nil"/>
              <w:bottom w:val="nil"/>
              <w:right w:val="nil"/>
            </w:tcBorders>
            <w:noWrap/>
            <w:vAlign w:val="bottom"/>
            <w:hideMark/>
          </w:tcPr>
          <w:p w14:paraId="2730900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43.07</w:t>
            </w:r>
          </w:p>
        </w:tc>
        <w:tc>
          <w:tcPr>
            <w:tcW w:w="735" w:type="pct"/>
            <w:tcBorders>
              <w:top w:val="nil"/>
              <w:left w:val="nil"/>
              <w:bottom w:val="nil"/>
              <w:right w:val="nil"/>
            </w:tcBorders>
            <w:noWrap/>
            <w:vAlign w:val="bottom"/>
            <w:hideMark/>
          </w:tcPr>
          <w:p w14:paraId="0D12AE1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735" w:type="pct"/>
            <w:tcBorders>
              <w:top w:val="nil"/>
              <w:left w:val="nil"/>
              <w:bottom w:val="nil"/>
              <w:right w:val="nil"/>
            </w:tcBorders>
            <w:noWrap/>
            <w:vAlign w:val="bottom"/>
            <w:hideMark/>
          </w:tcPr>
          <w:p w14:paraId="20AE909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236.1</w:t>
            </w:r>
          </w:p>
        </w:tc>
      </w:tr>
      <w:tr w:rsidR="00F908AB" w:rsidRPr="00BE5472" w14:paraId="0D7316B8" w14:textId="77777777" w:rsidTr="003C2F5B">
        <w:trPr>
          <w:trHeight w:val="300"/>
        </w:trPr>
        <w:tc>
          <w:tcPr>
            <w:tcW w:w="1266" w:type="pct"/>
            <w:tcBorders>
              <w:top w:val="nil"/>
              <w:left w:val="nil"/>
              <w:bottom w:val="nil"/>
              <w:right w:val="nil"/>
            </w:tcBorders>
            <w:noWrap/>
            <w:vAlign w:val="bottom"/>
            <w:hideMark/>
          </w:tcPr>
          <w:p w14:paraId="53277F89"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tržišni udio</w:t>
            </w:r>
          </w:p>
        </w:tc>
        <w:tc>
          <w:tcPr>
            <w:tcW w:w="425" w:type="pct"/>
            <w:tcBorders>
              <w:top w:val="nil"/>
              <w:left w:val="nil"/>
              <w:bottom w:val="nil"/>
              <w:right w:val="nil"/>
            </w:tcBorders>
            <w:noWrap/>
            <w:vAlign w:val="bottom"/>
            <w:hideMark/>
          </w:tcPr>
          <w:p w14:paraId="2D54825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1E19EA3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633B6EA3"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5.26</w:t>
            </w:r>
          </w:p>
        </w:tc>
        <w:tc>
          <w:tcPr>
            <w:tcW w:w="707" w:type="pct"/>
            <w:tcBorders>
              <w:top w:val="nil"/>
              <w:left w:val="nil"/>
              <w:bottom w:val="nil"/>
              <w:right w:val="nil"/>
            </w:tcBorders>
            <w:noWrap/>
            <w:vAlign w:val="bottom"/>
            <w:hideMark/>
          </w:tcPr>
          <w:p w14:paraId="7A104C9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7.31</w:t>
            </w:r>
          </w:p>
        </w:tc>
        <w:tc>
          <w:tcPr>
            <w:tcW w:w="735" w:type="pct"/>
            <w:tcBorders>
              <w:top w:val="nil"/>
              <w:left w:val="nil"/>
              <w:bottom w:val="nil"/>
              <w:right w:val="nil"/>
            </w:tcBorders>
            <w:noWrap/>
            <w:vAlign w:val="bottom"/>
            <w:hideMark/>
          </w:tcPr>
          <w:p w14:paraId="5E5618F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35" w:type="pct"/>
            <w:tcBorders>
              <w:top w:val="nil"/>
              <w:left w:val="nil"/>
              <w:bottom w:val="nil"/>
              <w:right w:val="nil"/>
            </w:tcBorders>
            <w:noWrap/>
            <w:vAlign w:val="bottom"/>
            <w:hideMark/>
          </w:tcPr>
          <w:p w14:paraId="2809724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40.96</w:t>
            </w:r>
          </w:p>
        </w:tc>
      </w:tr>
      <w:tr w:rsidR="00F908AB" w:rsidRPr="00BE5472" w14:paraId="1750DD45" w14:textId="77777777" w:rsidTr="003C2F5B">
        <w:trPr>
          <w:trHeight w:val="300"/>
        </w:trPr>
        <w:tc>
          <w:tcPr>
            <w:tcW w:w="1266" w:type="pct"/>
            <w:tcBorders>
              <w:top w:val="nil"/>
              <w:left w:val="nil"/>
              <w:bottom w:val="nil"/>
              <w:right w:val="nil"/>
            </w:tcBorders>
            <w:noWrap/>
            <w:vAlign w:val="bottom"/>
            <w:hideMark/>
          </w:tcPr>
          <w:p w14:paraId="133B5867"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66BB2CCD"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35B295F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bottom w:val="nil"/>
              <w:right w:val="nil"/>
            </w:tcBorders>
            <w:noWrap/>
            <w:vAlign w:val="bottom"/>
            <w:hideMark/>
          </w:tcPr>
          <w:p w14:paraId="1F2F978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1.52</w:t>
            </w:r>
          </w:p>
        </w:tc>
        <w:tc>
          <w:tcPr>
            <w:tcW w:w="707" w:type="pct"/>
            <w:tcBorders>
              <w:top w:val="nil"/>
              <w:left w:val="nil"/>
              <w:bottom w:val="nil"/>
              <w:right w:val="nil"/>
            </w:tcBorders>
            <w:noWrap/>
            <w:vAlign w:val="bottom"/>
            <w:hideMark/>
          </w:tcPr>
          <w:p w14:paraId="7FD58A8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w:t>
            </w:r>
          </w:p>
        </w:tc>
        <w:tc>
          <w:tcPr>
            <w:tcW w:w="735" w:type="pct"/>
            <w:tcBorders>
              <w:top w:val="nil"/>
              <w:left w:val="nil"/>
              <w:bottom w:val="nil"/>
              <w:right w:val="nil"/>
            </w:tcBorders>
            <w:noWrap/>
            <w:vAlign w:val="bottom"/>
            <w:hideMark/>
          </w:tcPr>
          <w:p w14:paraId="3E3077D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0.62</w:t>
            </w:r>
          </w:p>
        </w:tc>
        <w:tc>
          <w:tcPr>
            <w:tcW w:w="735" w:type="pct"/>
            <w:tcBorders>
              <w:top w:val="nil"/>
              <w:left w:val="nil"/>
              <w:bottom w:val="nil"/>
              <w:right w:val="nil"/>
            </w:tcBorders>
            <w:noWrap/>
            <w:vAlign w:val="bottom"/>
            <w:hideMark/>
          </w:tcPr>
          <w:p w14:paraId="64727DC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2.78</w:t>
            </w:r>
          </w:p>
        </w:tc>
      </w:tr>
      <w:tr w:rsidR="00F908AB" w:rsidRPr="00BE5472" w14:paraId="3F96C6B3" w14:textId="77777777" w:rsidTr="003C2F5B">
        <w:trPr>
          <w:trHeight w:val="300"/>
        </w:trPr>
        <w:tc>
          <w:tcPr>
            <w:tcW w:w="1266" w:type="pct"/>
            <w:tcBorders>
              <w:top w:val="nil"/>
              <w:left w:val="nil"/>
              <w:bottom w:val="nil"/>
              <w:right w:val="nil"/>
            </w:tcBorders>
            <w:noWrap/>
            <w:vAlign w:val="bottom"/>
            <w:hideMark/>
          </w:tcPr>
          <w:p w14:paraId="1445519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42581088"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477F02D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nil"/>
              <w:right w:val="nil"/>
            </w:tcBorders>
            <w:noWrap/>
            <w:vAlign w:val="bottom"/>
            <w:hideMark/>
          </w:tcPr>
          <w:p w14:paraId="6E9D500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7.51</w:t>
            </w:r>
          </w:p>
        </w:tc>
        <w:tc>
          <w:tcPr>
            <w:tcW w:w="707" w:type="pct"/>
            <w:tcBorders>
              <w:top w:val="nil"/>
              <w:left w:val="nil"/>
              <w:bottom w:val="nil"/>
              <w:right w:val="nil"/>
            </w:tcBorders>
            <w:noWrap/>
            <w:vAlign w:val="bottom"/>
            <w:hideMark/>
          </w:tcPr>
          <w:p w14:paraId="2414909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w:t>
            </w:r>
          </w:p>
        </w:tc>
        <w:tc>
          <w:tcPr>
            <w:tcW w:w="735" w:type="pct"/>
            <w:tcBorders>
              <w:top w:val="nil"/>
              <w:left w:val="nil"/>
              <w:bottom w:val="nil"/>
              <w:right w:val="nil"/>
            </w:tcBorders>
            <w:noWrap/>
            <w:vAlign w:val="bottom"/>
            <w:hideMark/>
          </w:tcPr>
          <w:p w14:paraId="43FB953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c>
          <w:tcPr>
            <w:tcW w:w="735" w:type="pct"/>
            <w:tcBorders>
              <w:top w:val="nil"/>
              <w:left w:val="nil"/>
              <w:bottom w:val="nil"/>
              <w:right w:val="nil"/>
            </w:tcBorders>
            <w:noWrap/>
            <w:vAlign w:val="bottom"/>
            <w:hideMark/>
          </w:tcPr>
          <w:p w14:paraId="25977CAD"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40.96</w:t>
            </w:r>
          </w:p>
        </w:tc>
      </w:tr>
      <w:tr w:rsidR="00F908AB" w:rsidRPr="00BE5472" w14:paraId="02CA2577" w14:textId="77777777" w:rsidTr="003C2F5B">
        <w:trPr>
          <w:trHeight w:val="300"/>
        </w:trPr>
        <w:tc>
          <w:tcPr>
            <w:tcW w:w="1266" w:type="pct"/>
            <w:tcBorders>
              <w:top w:val="nil"/>
              <w:left w:val="nil"/>
              <w:bottom w:val="nil"/>
              <w:right w:val="nil"/>
            </w:tcBorders>
            <w:noWrap/>
            <w:vAlign w:val="bottom"/>
            <w:hideMark/>
          </w:tcPr>
          <w:p w14:paraId="1651904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MVA</w:t>
            </w:r>
          </w:p>
        </w:tc>
        <w:tc>
          <w:tcPr>
            <w:tcW w:w="425" w:type="pct"/>
            <w:tcBorders>
              <w:top w:val="nil"/>
              <w:left w:val="nil"/>
              <w:bottom w:val="nil"/>
              <w:right w:val="nil"/>
            </w:tcBorders>
            <w:noWrap/>
            <w:vAlign w:val="bottom"/>
            <w:hideMark/>
          </w:tcPr>
          <w:p w14:paraId="5219BA8E"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4016B89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72</w:t>
            </w:r>
          </w:p>
        </w:tc>
        <w:tc>
          <w:tcPr>
            <w:tcW w:w="707" w:type="pct"/>
            <w:tcBorders>
              <w:top w:val="nil"/>
              <w:left w:val="nil"/>
              <w:bottom w:val="nil"/>
              <w:right w:val="nil"/>
            </w:tcBorders>
            <w:noWrap/>
            <w:vAlign w:val="bottom"/>
            <w:hideMark/>
          </w:tcPr>
          <w:p w14:paraId="42B4855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217,480,378</w:t>
            </w:r>
          </w:p>
        </w:tc>
        <w:tc>
          <w:tcPr>
            <w:tcW w:w="707" w:type="pct"/>
            <w:tcBorders>
              <w:top w:val="nil"/>
              <w:left w:val="nil"/>
              <w:bottom w:val="nil"/>
              <w:right w:val="nil"/>
            </w:tcBorders>
            <w:noWrap/>
            <w:vAlign w:val="bottom"/>
            <w:hideMark/>
          </w:tcPr>
          <w:p w14:paraId="226C70E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1,461,187,281</w:t>
            </w:r>
          </w:p>
        </w:tc>
        <w:tc>
          <w:tcPr>
            <w:tcW w:w="735" w:type="pct"/>
            <w:tcBorders>
              <w:top w:val="nil"/>
              <w:left w:val="nil"/>
              <w:bottom w:val="nil"/>
              <w:right w:val="nil"/>
            </w:tcBorders>
            <w:noWrap/>
            <w:vAlign w:val="bottom"/>
            <w:hideMark/>
          </w:tcPr>
          <w:p w14:paraId="353482B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-3,932,896,959</w:t>
            </w:r>
          </w:p>
        </w:tc>
        <w:tc>
          <w:tcPr>
            <w:tcW w:w="735" w:type="pct"/>
            <w:tcBorders>
              <w:top w:val="nil"/>
              <w:left w:val="nil"/>
              <w:bottom w:val="nil"/>
              <w:right w:val="nil"/>
            </w:tcBorders>
            <w:noWrap/>
            <w:vAlign w:val="bottom"/>
            <w:hideMark/>
          </w:tcPr>
          <w:p w14:paraId="3A87B22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3,715,492,305</w:t>
            </w:r>
          </w:p>
        </w:tc>
      </w:tr>
      <w:tr w:rsidR="00F908AB" w:rsidRPr="00BE5472" w14:paraId="32171124" w14:textId="77777777" w:rsidTr="003C2F5B">
        <w:trPr>
          <w:trHeight w:val="300"/>
        </w:trPr>
        <w:tc>
          <w:tcPr>
            <w:tcW w:w="1266" w:type="pct"/>
            <w:tcBorders>
              <w:top w:val="nil"/>
              <w:left w:val="nil"/>
              <w:bottom w:val="nil"/>
              <w:right w:val="nil"/>
            </w:tcBorders>
            <w:noWrap/>
            <w:vAlign w:val="bottom"/>
            <w:hideMark/>
          </w:tcPr>
          <w:p w14:paraId="200BE88D"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03E5240C"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bottom w:val="nil"/>
              <w:right w:val="nil"/>
            </w:tcBorders>
            <w:noWrap/>
            <w:vAlign w:val="bottom"/>
            <w:hideMark/>
          </w:tcPr>
          <w:p w14:paraId="08A49B08"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w:t>
            </w:r>
          </w:p>
        </w:tc>
        <w:tc>
          <w:tcPr>
            <w:tcW w:w="707" w:type="pct"/>
            <w:tcBorders>
              <w:top w:val="nil"/>
              <w:left w:val="nil"/>
              <w:bottom w:val="nil"/>
              <w:right w:val="nil"/>
            </w:tcBorders>
            <w:noWrap/>
            <w:vAlign w:val="bottom"/>
            <w:hideMark/>
          </w:tcPr>
          <w:p w14:paraId="2DDC3E0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159,367,139</w:t>
            </w:r>
          </w:p>
        </w:tc>
        <w:tc>
          <w:tcPr>
            <w:tcW w:w="707" w:type="pct"/>
            <w:tcBorders>
              <w:top w:val="nil"/>
              <w:left w:val="nil"/>
              <w:bottom w:val="nil"/>
              <w:right w:val="nil"/>
            </w:tcBorders>
            <w:noWrap/>
            <w:vAlign w:val="bottom"/>
            <w:hideMark/>
          </w:tcPr>
          <w:p w14:paraId="75435366"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293,442,496</w:t>
            </w:r>
          </w:p>
        </w:tc>
        <w:tc>
          <w:tcPr>
            <w:tcW w:w="735" w:type="pct"/>
            <w:tcBorders>
              <w:top w:val="nil"/>
              <w:left w:val="nil"/>
              <w:bottom w:val="nil"/>
              <w:right w:val="nil"/>
            </w:tcBorders>
            <w:noWrap/>
            <w:vAlign w:val="bottom"/>
            <w:hideMark/>
          </w:tcPr>
          <w:p w14:paraId="32E3623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-325,112,028</w:t>
            </w:r>
          </w:p>
        </w:tc>
        <w:tc>
          <w:tcPr>
            <w:tcW w:w="735" w:type="pct"/>
            <w:tcBorders>
              <w:top w:val="nil"/>
              <w:left w:val="nil"/>
              <w:bottom w:val="nil"/>
              <w:right w:val="nil"/>
            </w:tcBorders>
            <w:noWrap/>
            <w:vAlign w:val="bottom"/>
            <w:hideMark/>
          </w:tcPr>
          <w:p w14:paraId="583CDDD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925,797,837</w:t>
            </w:r>
          </w:p>
        </w:tc>
      </w:tr>
      <w:tr w:rsidR="00F908AB" w:rsidRPr="00BE5472" w14:paraId="406F61A6" w14:textId="77777777" w:rsidTr="003C2F5B">
        <w:trPr>
          <w:trHeight w:val="300"/>
        </w:trPr>
        <w:tc>
          <w:tcPr>
            <w:tcW w:w="1266" w:type="pct"/>
            <w:tcBorders>
              <w:top w:val="nil"/>
              <w:left w:val="nil"/>
              <w:bottom w:val="nil"/>
              <w:right w:val="nil"/>
            </w:tcBorders>
            <w:noWrap/>
            <w:vAlign w:val="bottom"/>
            <w:hideMark/>
          </w:tcPr>
          <w:p w14:paraId="39F966F9"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FF0309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nil"/>
              <w:right w:val="nil"/>
            </w:tcBorders>
            <w:noWrap/>
            <w:vAlign w:val="bottom"/>
            <w:hideMark/>
          </w:tcPr>
          <w:p w14:paraId="2C847A9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w:t>
            </w:r>
          </w:p>
        </w:tc>
        <w:tc>
          <w:tcPr>
            <w:tcW w:w="707" w:type="pct"/>
            <w:tcBorders>
              <w:top w:val="nil"/>
              <w:left w:val="nil"/>
              <w:bottom w:val="nil"/>
              <w:right w:val="nil"/>
            </w:tcBorders>
            <w:noWrap/>
            <w:vAlign w:val="bottom"/>
            <w:hideMark/>
          </w:tcPr>
          <w:p w14:paraId="716041CE"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254,461,531</w:t>
            </w:r>
          </w:p>
        </w:tc>
        <w:tc>
          <w:tcPr>
            <w:tcW w:w="707" w:type="pct"/>
            <w:tcBorders>
              <w:top w:val="nil"/>
              <w:left w:val="nil"/>
              <w:bottom w:val="nil"/>
              <w:right w:val="nil"/>
            </w:tcBorders>
            <w:noWrap/>
            <w:vAlign w:val="bottom"/>
            <w:hideMark/>
          </w:tcPr>
          <w:p w14:paraId="14C9703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1,862,170,420</w:t>
            </w:r>
          </w:p>
        </w:tc>
        <w:tc>
          <w:tcPr>
            <w:tcW w:w="735" w:type="pct"/>
            <w:tcBorders>
              <w:top w:val="nil"/>
              <w:left w:val="nil"/>
              <w:bottom w:val="nil"/>
              <w:right w:val="nil"/>
            </w:tcBorders>
            <w:noWrap/>
            <w:vAlign w:val="bottom"/>
            <w:hideMark/>
          </w:tcPr>
          <w:p w14:paraId="0EE231D1"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-3,932,896,959</w:t>
            </w:r>
          </w:p>
        </w:tc>
        <w:tc>
          <w:tcPr>
            <w:tcW w:w="735" w:type="pct"/>
            <w:tcBorders>
              <w:top w:val="nil"/>
              <w:left w:val="nil"/>
              <w:bottom w:val="nil"/>
              <w:right w:val="nil"/>
            </w:tcBorders>
            <w:noWrap/>
            <w:vAlign w:val="bottom"/>
            <w:hideMark/>
          </w:tcPr>
          <w:p w14:paraId="169DD7E0"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3,715,492,305</w:t>
            </w:r>
          </w:p>
        </w:tc>
      </w:tr>
      <w:tr w:rsidR="00F908AB" w:rsidRPr="00BE5472" w14:paraId="71E7FFF8" w14:textId="77777777" w:rsidTr="003C2F5B">
        <w:trPr>
          <w:trHeight w:val="300"/>
        </w:trPr>
        <w:tc>
          <w:tcPr>
            <w:tcW w:w="1266" w:type="pct"/>
            <w:tcBorders>
              <w:top w:val="nil"/>
              <w:left w:val="nil"/>
              <w:bottom w:val="nil"/>
              <w:right w:val="nil"/>
            </w:tcBorders>
            <w:noWrap/>
            <w:vAlign w:val="bottom"/>
            <w:hideMark/>
          </w:tcPr>
          <w:p w14:paraId="0C01FCC4"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MVA (LOG)</w:t>
            </w:r>
          </w:p>
        </w:tc>
        <w:tc>
          <w:tcPr>
            <w:tcW w:w="425" w:type="pct"/>
            <w:tcBorders>
              <w:top w:val="nil"/>
              <w:left w:val="nil"/>
              <w:bottom w:val="nil"/>
              <w:right w:val="nil"/>
            </w:tcBorders>
            <w:noWrap/>
            <w:vAlign w:val="bottom"/>
            <w:hideMark/>
          </w:tcPr>
          <w:p w14:paraId="434AAE6A"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p>
        </w:tc>
        <w:tc>
          <w:tcPr>
            <w:tcW w:w="425" w:type="pct"/>
            <w:tcBorders>
              <w:top w:val="nil"/>
              <w:left w:val="nil"/>
              <w:bottom w:val="nil"/>
              <w:right w:val="nil"/>
            </w:tcBorders>
            <w:noWrap/>
            <w:vAlign w:val="bottom"/>
            <w:hideMark/>
          </w:tcPr>
          <w:p w14:paraId="2311EFBA"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c>
          <w:tcPr>
            <w:tcW w:w="707" w:type="pct"/>
            <w:tcBorders>
              <w:top w:val="nil"/>
              <w:left w:val="nil"/>
              <w:bottom w:val="nil"/>
              <w:right w:val="nil"/>
            </w:tcBorders>
            <w:noWrap/>
            <w:vAlign w:val="bottom"/>
            <w:hideMark/>
          </w:tcPr>
          <w:p w14:paraId="02267689"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2.78</w:t>
            </w:r>
          </w:p>
        </w:tc>
        <w:tc>
          <w:tcPr>
            <w:tcW w:w="707" w:type="pct"/>
            <w:tcBorders>
              <w:top w:val="nil"/>
              <w:left w:val="nil"/>
              <w:bottom w:val="nil"/>
              <w:right w:val="nil"/>
            </w:tcBorders>
            <w:noWrap/>
            <w:vAlign w:val="bottom"/>
            <w:hideMark/>
          </w:tcPr>
          <w:p w14:paraId="189E0F95"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7.47</w:t>
            </w:r>
          </w:p>
        </w:tc>
        <w:tc>
          <w:tcPr>
            <w:tcW w:w="735" w:type="pct"/>
            <w:tcBorders>
              <w:top w:val="nil"/>
              <w:left w:val="nil"/>
              <w:bottom w:val="nil"/>
              <w:right w:val="nil"/>
            </w:tcBorders>
            <w:noWrap/>
            <w:vAlign w:val="bottom"/>
            <w:hideMark/>
          </w:tcPr>
          <w:p w14:paraId="02C8883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-9.59</w:t>
            </w:r>
          </w:p>
        </w:tc>
        <w:tc>
          <w:tcPr>
            <w:tcW w:w="735" w:type="pct"/>
            <w:tcBorders>
              <w:top w:val="nil"/>
              <w:left w:val="nil"/>
              <w:bottom w:val="nil"/>
              <w:right w:val="nil"/>
            </w:tcBorders>
            <w:noWrap/>
            <w:vAlign w:val="bottom"/>
            <w:hideMark/>
          </w:tcPr>
          <w:p w14:paraId="621F9D72"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9.57</w:t>
            </w:r>
          </w:p>
        </w:tc>
      </w:tr>
      <w:tr w:rsidR="00F908AB" w:rsidRPr="00BE5472" w14:paraId="1190D4C8" w14:textId="77777777" w:rsidTr="003C2F5B">
        <w:trPr>
          <w:trHeight w:val="300"/>
        </w:trPr>
        <w:tc>
          <w:tcPr>
            <w:tcW w:w="1266" w:type="pct"/>
            <w:tcBorders>
              <w:top w:val="nil"/>
              <w:left w:val="nil"/>
              <w:right w:val="nil"/>
            </w:tcBorders>
            <w:noWrap/>
            <w:vAlign w:val="bottom"/>
            <w:hideMark/>
          </w:tcPr>
          <w:p w14:paraId="6C53D0F7"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right w:val="nil"/>
            </w:tcBorders>
            <w:noWrap/>
            <w:vAlign w:val="bottom"/>
            <w:hideMark/>
          </w:tcPr>
          <w:p w14:paraId="668487F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NE</w:t>
            </w:r>
          </w:p>
        </w:tc>
        <w:tc>
          <w:tcPr>
            <w:tcW w:w="425" w:type="pct"/>
            <w:tcBorders>
              <w:top w:val="nil"/>
              <w:left w:val="nil"/>
              <w:right w:val="nil"/>
            </w:tcBorders>
            <w:noWrap/>
            <w:vAlign w:val="bottom"/>
            <w:hideMark/>
          </w:tcPr>
          <w:p w14:paraId="05601E4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w:t>
            </w:r>
          </w:p>
        </w:tc>
        <w:tc>
          <w:tcPr>
            <w:tcW w:w="707" w:type="pct"/>
            <w:tcBorders>
              <w:top w:val="nil"/>
              <w:left w:val="nil"/>
              <w:right w:val="nil"/>
            </w:tcBorders>
            <w:noWrap/>
            <w:vAlign w:val="bottom"/>
            <w:hideMark/>
          </w:tcPr>
          <w:p w14:paraId="5375D7E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3.06</w:t>
            </w:r>
          </w:p>
        </w:tc>
        <w:tc>
          <w:tcPr>
            <w:tcW w:w="707" w:type="pct"/>
            <w:tcBorders>
              <w:top w:val="nil"/>
              <w:left w:val="nil"/>
              <w:right w:val="nil"/>
            </w:tcBorders>
            <w:noWrap/>
            <w:vAlign w:val="bottom"/>
            <w:hideMark/>
          </w:tcPr>
          <w:p w14:paraId="6AE820B7"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7.08</w:t>
            </w:r>
          </w:p>
        </w:tc>
        <w:tc>
          <w:tcPr>
            <w:tcW w:w="735" w:type="pct"/>
            <w:tcBorders>
              <w:top w:val="nil"/>
              <w:left w:val="nil"/>
              <w:right w:val="nil"/>
            </w:tcBorders>
            <w:noWrap/>
            <w:vAlign w:val="bottom"/>
            <w:hideMark/>
          </w:tcPr>
          <w:p w14:paraId="663BF2F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-8.51</w:t>
            </w:r>
          </w:p>
        </w:tc>
        <w:tc>
          <w:tcPr>
            <w:tcW w:w="735" w:type="pct"/>
            <w:tcBorders>
              <w:top w:val="nil"/>
              <w:left w:val="nil"/>
              <w:right w:val="nil"/>
            </w:tcBorders>
            <w:noWrap/>
            <w:vAlign w:val="bottom"/>
            <w:hideMark/>
          </w:tcPr>
          <w:p w14:paraId="24E5739B"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8.97</w:t>
            </w:r>
          </w:p>
        </w:tc>
      </w:tr>
      <w:tr w:rsidR="00F908AB" w:rsidRPr="00BE5472" w14:paraId="666A5A81" w14:textId="77777777" w:rsidTr="003C2F5B">
        <w:trPr>
          <w:trHeight w:val="300"/>
        </w:trPr>
        <w:tc>
          <w:tcPr>
            <w:tcW w:w="1266" w:type="pct"/>
            <w:tcBorders>
              <w:top w:val="nil"/>
              <w:left w:val="nil"/>
              <w:bottom w:val="single" w:sz="4" w:space="0" w:color="auto"/>
              <w:right w:val="nil"/>
            </w:tcBorders>
            <w:noWrap/>
            <w:vAlign w:val="bottom"/>
            <w:hideMark/>
          </w:tcPr>
          <w:p w14:paraId="7C3FBD77" w14:textId="77777777" w:rsidR="00F908AB" w:rsidRPr="00BE5472" w:rsidRDefault="00F908AB" w:rsidP="003C2F5B">
            <w:pPr>
              <w:spacing w:after="0" w:line="240" w:lineRule="auto"/>
              <w:jc w:val="right"/>
              <w:rPr>
                <w:rFonts w:ascii="Times New Roman" w:eastAsia="Times New Roman" w:hAnsi="Times New Roman" w:cs="Times New Roman"/>
                <w:color w:val="000000"/>
                <w:sz w:val="24"/>
                <w:szCs w:val="24"/>
                <w:lang w:eastAsia="hr-HR"/>
              </w:rPr>
            </w:pPr>
          </w:p>
        </w:tc>
        <w:tc>
          <w:tcPr>
            <w:tcW w:w="425" w:type="pct"/>
            <w:tcBorders>
              <w:top w:val="nil"/>
              <w:left w:val="nil"/>
              <w:bottom w:val="single" w:sz="4" w:space="0" w:color="auto"/>
              <w:right w:val="nil"/>
            </w:tcBorders>
            <w:noWrap/>
            <w:vAlign w:val="bottom"/>
            <w:hideMark/>
          </w:tcPr>
          <w:p w14:paraId="34548301" w14:textId="77777777" w:rsidR="00F908AB" w:rsidRPr="00BE5472" w:rsidRDefault="00F908AB" w:rsidP="003C2F5B">
            <w:pPr>
              <w:spacing w:after="0" w:line="24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DA</w:t>
            </w:r>
          </w:p>
        </w:tc>
        <w:tc>
          <w:tcPr>
            <w:tcW w:w="425" w:type="pct"/>
            <w:tcBorders>
              <w:top w:val="nil"/>
              <w:left w:val="nil"/>
              <w:bottom w:val="single" w:sz="4" w:space="0" w:color="auto"/>
              <w:right w:val="nil"/>
            </w:tcBorders>
            <w:noWrap/>
            <w:vAlign w:val="bottom"/>
            <w:hideMark/>
          </w:tcPr>
          <w:p w14:paraId="2932921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c>
          <w:tcPr>
            <w:tcW w:w="707" w:type="pct"/>
            <w:tcBorders>
              <w:top w:val="nil"/>
              <w:left w:val="nil"/>
              <w:bottom w:val="single" w:sz="4" w:space="0" w:color="auto"/>
              <w:right w:val="nil"/>
            </w:tcBorders>
            <w:noWrap/>
            <w:vAlign w:val="bottom"/>
            <w:hideMark/>
          </w:tcPr>
          <w:p w14:paraId="141C005C"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2.62</w:t>
            </w:r>
          </w:p>
        </w:tc>
        <w:tc>
          <w:tcPr>
            <w:tcW w:w="707" w:type="pct"/>
            <w:tcBorders>
              <w:top w:val="nil"/>
              <w:left w:val="nil"/>
              <w:bottom w:val="single" w:sz="4" w:space="0" w:color="auto"/>
              <w:right w:val="nil"/>
            </w:tcBorders>
            <w:noWrap/>
            <w:vAlign w:val="bottom"/>
            <w:hideMark/>
          </w:tcPr>
          <w:p w14:paraId="1146882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7.75</w:t>
            </w:r>
          </w:p>
        </w:tc>
        <w:tc>
          <w:tcPr>
            <w:tcW w:w="735" w:type="pct"/>
            <w:tcBorders>
              <w:top w:val="nil"/>
              <w:left w:val="nil"/>
              <w:bottom w:val="single" w:sz="4" w:space="0" w:color="auto"/>
              <w:right w:val="nil"/>
            </w:tcBorders>
            <w:noWrap/>
            <w:vAlign w:val="bottom"/>
            <w:hideMark/>
          </w:tcPr>
          <w:p w14:paraId="59E181D4"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-9.59</w:t>
            </w:r>
          </w:p>
        </w:tc>
        <w:tc>
          <w:tcPr>
            <w:tcW w:w="735" w:type="pct"/>
            <w:tcBorders>
              <w:top w:val="nil"/>
              <w:left w:val="nil"/>
              <w:bottom w:val="single" w:sz="4" w:space="0" w:color="auto"/>
              <w:right w:val="nil"/>
            </w:tcBorders>
            <w:noWrap/>
            <w:vAlign w:val="bottom"/>
            <w:hideMark/>
          </w:tcPr>
          <w:p w14:paraId="3B3E770F" w14:textId="77777777" w:rsidR="00F908AB" w:rsidRPr="00BE5472" w:rsidRDefault="00F908AB" w:rsidP="003C2F5B">
            <w:pPr>
              <w:spacing w:after="0" w:line="24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9.57</w:t>
            </w:r>
          </w:p>
        </w:tc>
      </w:tr>
    </w:tbl>
    <w:p w14:paraId="191F01D3" w14:textId="77777777" w:rsidR="00F908AB" w:rsidRPr="00BE5472" w:rsidRDefault="00F908AB" w:rsidP="00F908AB">
      <w:pPr>
        <w:spacing w:line="360" w:lineRule="auto"/>
        <w:rPr>
          <w:rFonts w:ascii="Times New Roman" w:hAnsi="Times New Roman" w:cs="Times New Roman"/>
          <w:kern w:val="2"/>
          <w:sz w:val="24"/>
          <w14:ligatures w14:val="standardContextual"/>
        </w:rPr>
      </w:pPr>
    </w:p>
    <w:p w14:paraId="6AD6B1DF" w14:textId="77777777" w:rsidR="00F908AB" w:rsidRPr="00BE5472" w:rsidRDefault="00F908AB" w:rsidP="00F908AB">
      <w:pPr>
        <w:spacing w:line="360" w:lineRule="auto"/>
        <w:rPr>
          <w:rFonts w:ascii="Times New Roman" w:hAnsi="Times New Roman" w:cs="Times New Roman"/>
          <w:kern w:val="2"/>
          <w:sz w:val="24"/>
          <w14:ligatures w14:val="standardContextual"/>
        </w:rPr>
        <w:sectPr w:rsidR="00F908AB" w:rsidRPr="00BE5472" w:rsidSect="00F908AB">
          <w:pgSz w:w="16834" w:h="11909" w:orient="landscape" w:code="9"/>
          <w:pgMar w:top="1440" w:right="1440" w:bottom="1440" w:left="1440" w:header="720" w:footer="720" w:gutter="0"/>
          <w:cols w:space="720"/>
          <w:docGrid w:linePitch="360"/>
        </w:sectPr>
      </w:pPr>
    </w:p>
    <w:p w14:paraId="512606E5" w14:textId="77CB1CFD" w:rsidR="00F908AB" w:rsidRPr="00BE5472" w:rsidRDefault="00F908AB" w:rsidP="001546F8">
      <w:pPr>
        <w:pStyle w:val="Heading2"/>
        <w:numPr>
          <w:ilvl w:val="1"/>
          <w:numId w:val="5"/>
        </w:numPr>
        <w:rPr>
          <w:rFonts w:ascii="Times New Roman" w:hAnsi="Times New Roman" w:cs="Times New Roman"/>
          <w:sz w:val="28"/>
          <w:szCs w:val="28"/>
        </w:rPr>
      </w:pPr>
      <w:bookmarkStart w:id="161" w:name="_Toc241865157"/>
      <w:r w:rsidRPr="00BE5472">
        <w:rPr>
          <w:rFonts w:ascii="Times New Roman" w:hAnsi="Times New Roman" w:cs="Times New Roman"/>
          <w:sz w:val="28"/>
          <w:szCs w:val="28"/>
        </w:rPr>
        <w:lastRenderedPageBreak/>
        <w:t>Istraživačke hipoteze i njihova metodološka operacionalizacija</w:t>
      </w:r>
      <w:bookmarkEnd w:id="161"/>
    </w:p>
    <w:p w14:paraId="04EC4977" w14:textId="77777777" w:rsidR="001546F8" w:rsidRPr="00BE5472" w:rsidRDefault="001546F8" w:rsidP="001546F8">
      <w:pPr>
        <w:rPr>
          <w:rFonts w:ascii="Times New Roman" w:hAnsi="Times New Roman" w:cs="Times New Roman"/>
        </w:rPr>
      </w:pPr>
    </w:p>
    <w:p w14:paraId="3AE37009" w14:textId="77777777" w:rsidR="00F908AB" w:rsidRPr="00BE5472" w:rsidRDefault="00F908AB" w:rsidP="00F908A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Na temelju definiranih istraživačkih ciljeva, teorijskog okvira i odabranog metodološkog pristupa, u ovom su istraživanju postavljene istraživačke hipoteze koje se odnose na ključne čimbenike uspješnosti procesa spajanja i preuzimanja u hrvatskom hotelijerstvu te na njihove učinke na poslovnu uspješnost poduzeća. Hipoteze su oblikovane u skladu s primijenjenim kvantitativnim i kvalitativnim metodama istraživanja, a njihovo testiranje i interpretacija prikazani su u poglavlju rezultata.</w:t>
      </w:r>
    </w:p>
    <w:p w14:paraId="424DD1E0" w14:textId="77777777" w:rsidR="00F908AB" w:rsidRPr="00BE5472" w:rsidRDefault="00F908AB" w:rsidP="00F908AB">
      <w:pPr>
        <w:spacing w:line="360" w:lineRule="auto"/>
        <w:jc w:val="both"/>
        <w:rPr>
          <w:rFonts w:ascii="Times New Roman" w:hAnsi="Times New Roman" w:cs="Times New Roman"/>
          <w:bCs/>
          <w:sz w:val="24"/>
          <w:szCs w:val="24"/>
        </w:rPr>
      </w:pPr>
      <w:r w:rsidRPr="00BE5472">
        <w:rPr>
          <w:rFonts w:ascii="Times New Roman" w:hAnsi="Times New Roman" w:cs="Times New Roman"/>
          <w:b/>
          <w:bCs/>
          <w:sz w:val="24"/>
          <w:szCs w:val="24"/>
        </w:rPr>
        <w:t>H1:</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Poznavanje i praćenje kritičnih čimbenika u svim fazama integracijskog procesa pozitivno utječe na uspješnost procesa spajanja i preuzimanja u hotelskom sektoru u Republici Hrvatskoj</w:t>
      </w:r>
      <w:r w:rsidRPr="00BE5472">
        <w:rPr>
          <w:rFonts w:ascii="Times New Roman" w:hAnsi="Times New Roman" w:cs="Times New Roman"/>
          <w:bCs/>
          <w:sz w:val="24"/>
          <w:szCs w:val="24"/>
        </w:rPr>
        <w:t>.</w:t>
      </w:r>
    </w:p>
    <w:p w14:paraId="3E795897" w14:textId="77777777" w:rsidR="00F908AB" w:rsidRPr="00BE5472" w:rsidRDefault="00F908AB" w:rsidP="00F908A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Hipoteza H1 ispitana je primjenom sekvencijalnog istraživačkog pristupa koji objedinjuje ekspertne i empirijske metode. U prvoj fazi, primjenom </w:t>
      </w:r>
      <w:r w:rsidRPr="00BE5472">
        <w:rPr>
          <w:rFonts w:ascii="Times New Roman" w:hAnsi="Times New Roman" w:cs="Times New Roman"/>
          <w:bCs/>
          <w:i/>
          <w:iCs/>
          <w:sz w:val="24"/>
          <w:szCs w:val="24"/>
        </w:rPr>
        <w:t>Delphi</w:t>
      </w:r>
      <w:r w:rsidRPr="00BE5472">
        <w:rPr>
          <w:rFonts w:ascii="Times New Roman" w:hAnsi="Times New Roman" w:cs="Times New Roman"/>
          <w:bCs/>
          <w:sz w:val="24"/>
          <w:szCs w:val="24"/>
        </w:rPr>
        <w:t xml:space="preserve"> metodologije, provedena je identifikacija i selekcija ključnih čimbenika uspješnosti procesa spajanja i preuzimanja na temelju konsenzusa stručnjaka. U drugoj fazi, isti skup čimbenika ispitan je empirijski na uzorku menadžera hotelskih poduzeća koja su sudjelovala u procesima spajanja i preuzimanja, primjenom anketnog upitnika temeljenog na Likertovoj ljestvici. U trećoj fazi, kroz polustrukturirane intervjue, rezultati kvantitativnog dijela dodatno su produbljeni i interpretirani u kontekstu konkretnih iskustava sudionika akvizicijskih procesa.</w:t>
      </w:r>
    </w:p>
    <w:p w14:paraId="50486701" w14:textId="77777777" w:rsidR="00F908AB" w:rsidRPr="00BE5472" w:rsidRDefault="00F908AB" w:rsidP="00F908AB">
      <w:pPr>
        <w:spacing w:line="360" w:lineRule="auto"/>
        <w:jc w:val="both"/>
        <w:rPr>
          <w:rFonts w:ascii="Times New Roman" w:hAnsi="Times New Roman" w:cs="Times New Roman"/>
          <w:bCs/>
          <w:i/>
          <w:sz w:val="24"/>
          <w:szCs w:val="24"/>
        </w:rPr>
      </w:pPr>
      <w:r w:rsidRPr="00BE5472">
        <w:rPr>
          <w:rFonts w:ascii="Times New Roman" w:hAnsi="Times New Roman" w:cs="Times New Roman"/>
          <w:b/>
          <w:bCs/>
          <w:sz w:val="24"/>
          <w:szCs w:val="24"/>
        </w:rPr>
        <w:t>H2:</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U hotelskom sektoru na području Republike Hrvatske dominantno su prisutne horizontalne razvojne strategije koje se provode procesima spajanja i preuzimanja.</w:t>
      </w:r>
    </w:p>
    <w:p w14:paraId="04A47C84" w14:textId="77777777" w:rsidR="00F908AB" w:rsidRPr="00BE5472" w:rsidRDefault="00F908AB" w:rsidP="00F908AB">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Hipoteza H2 usmjerena je na utvrđivanje strukturnih obilježja razvojnih strategija u hotelskom sektoru Republike Hrvatske koje se provode procesima spajanja i preuzimanja. Njezina operacionalizacija temelji se na deskriptivnoj analizi sekundarnih podataka o realiziranim transakcijama spajanja i preuzimanja u hrvatskom hotelijerstvu u promatranom razdoblju. Analiza obuhvaća klasifikaciju transakcija prema tipu razvojne strategije (horizontalna, vertikalna, konglomeratska), s ciljem identifikacije dominantnih obrazaca konsolidacije na tržištu. Budući da se hipoteza ispituje primjenom deskriptivne analize strukture tržišta, a ne statističkim testiranjem odnosa među varijablama, zaključci o hipotezi H2 odnose se na kontekstualno i strukturno sagledavanje procesa spajanja i preuzimanja u hrvatskom hotelijerstvu.</w:t>
      </w:r>
    </w:p>
    <w:p w14:paraId="35497DB0" w14:textId="77777777" w:rsidR="00F908AB" w:rsidRPr="00BE5472" w:rsidRDefault="00F908AB" w:rsidP="00F908AB">
      <w:pPr>
        <w:spacing w:line="360" w:lineRule="auto"/>
        <w:jc w:val="both"/>
        <w:rPr>
          <w:rFonts w:ascii="Times New Roman" w:hAnsi="Times New Roman" w:cs="Times New Roman"/>
          <w:bCs/>
          <w:sz w:val="24"/>
          <w:szCs w:val="24"/>
        </w:rPr>
      </w:pPr>
      <w:r w:rsidRPr="00BE5472">
        <w:rPr>
          <w:rFonts w:ascii="Times New Roman" w:hAnsi="Times New Roman" w:cs="Times New Roman"/>
          <w:b/>
          <w:bCs/>
          <w:sz w:val="24"/>
          <w:szCs w:val="24"/>
        </w:rPr>
        <w:lastRenderedPageBreak/>
        <w:t>H3:</w:t>
      </w:r>
      <w:r w:rsidRPr="00BE5472">
        <w:rPr>
          <w:rFonts w:ascii="Times New Roman" w:hAnsi="Times New Roman" w:cs="Times New Roman"/>
          <w:bCs/>
          <w:sz w:val="24"/>
          <w:szCs w:val="24"/>
        </w:rPr>
        <w:t xml:space="preserve"> </w:t>
      </w:r>
      <w:r w:rsidRPr="00BE5472">
        <w:rPr>
          <w:rFonts w:ascii="Times New Roman" w:hAnsi="Times New Roman" w:cs="Times New Roman"/>
          <w:bCs/>
          <w:i/>
          <w:sz w:val="24"/>
          <w:szCs w:val="24"/>
        </w:rPr>
        <w:t>Procesi spajanja i preuzimanja u hotelskom sektoru u Republici Hrvatskoj rezultirali su boljim ključnim pokazateljima uspješnosti (KPI) poduzeća preuzimatelja nakon završetka procesa u usporedbi s istim pokazateljima u razdoblju prije provedenog procesa.</w:t>
      </w:r>
    </w:p>
    <w:p w14:paraId="5F67A972" w14:textId="77777777" w:rsidR="00F908AB" w:rsidRPr="00BE5472" w:rsidRDefault="00F908AB" w:rsidP="00F908AB">
      <w:pPr>
        <w:spacing w:line="360" w:lineRule="auto"/>
        <w:jc w:val="both"/>
        <w:rPr>
          <w:rFonts w:ascii="Times New Roman" w:hAnsi="Times New Roman" w:cs="Times New Roman"/>
          <w:bCs/>
          <w:sz w:val="24"/>
          <w:szCs w:val="24"/>
          <w:lang w:val="en-US"/>
        </w:rPr>
      </w:pPr>
      <w:r w:rsidRPr="00BE5472">
        <w:rPr>
          <w:rFonts w:ascii="Times New Roman" w:hAnsi="Times New Roman" w:cs="Times New Roman"/>
          <w:b/>
          <w:bCs/>
          <w:sz w:val="24"/>
          <w:szCs w:val="24"/>
          <w:lang w:val="en-US"/>
        </w:rPr>
        <w:t>Podhipoteze:</w:t>
      </w:r>
    </w:p>
    <w:p w14:paraId="26DC5275" w14:textId="6F91D20F" w:rsidR="00F908AB" w:rsidRPr="00BE5472" w:rsidRDefault="00F908AB" w:rsidP="00120B4F">
      <w:pPr>
        <w:numPr>
          <w:ilvl w:val="0"/>
          <w:numId w:val="92"/>
        </w:numPr>
        <w:spacing w:line="360" w:lineRule="auto"/>
        <w:jc w:val="both"/>
        <w:rPr>
          <w:rFonts w:ascii="Times New Roman" w:hAnsi="Times New Roman" w:cs="Times New Roman"/>
          <w:bCs/>
          <w:sz w:val="24"/>
          <w:szCs w:val="24"/>
          <w:lang w:val="en-US"/>
        </w:rPr>
      </w:pPr>
      <w:r w:rsidRPr="00BE5472">
        <w:rPr>
          <w:rFonts w:ascii="Times New Roman" w:hAnsi="Times New Roman" w:cs="Times New Roman"/>
          <w:bCs/>
          <w:sz w:val="24"/>
          <w:szCs w:val="24"/>
          <w:lang w:val="en-US"/>
        </w:rPr>
        <w:t xml:space="preserve">H3a – </w:t>
      </w:r>
      <w:r w:rsidRPr="00BE5472">
        <w:rPr>
          <w:rFonts w:ascii="Times New Roman" w:hAnsi="Times New Roman" w:cs="Times New Roman"/>
          <w:bCs/>
          <w:i/>
          <w:sz w:val="24"/>
          <w:szCs w:val="24"/>
        </w:rPr>
        <w:t xml:space="preserve">Ključni financijski pokazatelji uspješnosti poduzeća preuzimatelja </w:t>
      </w:r>
      <w:r w:rsidR="00DB7AF5" w:rsidRPr="00BE5472">
        <w:rPr>
          <w:rFonts w:ascii="Times New Roman" w:hAnsi="Times New Roman" w:cs="Times New Roman"/>
          <w:bCs/>
          <w:i/>
          <w:sz w:val="24"/>
          <w:szCs w:val="24"/>
        </w:rPr>
        <w:t xml:space="preserve">bili </w:t>
      </w:r>
      <w:r w:rsidRPr="00BE5472">
        <w:rPr>
          <w:rFonts w:ascii="Times New Roman" w:hAnsi="Times New Roman" w:cs="Times New Roman"/>
          <w:bCs/>
          <w:i/>
          <w:sz w:val="24"/>
          <w:szCs w:val="24"/>
        </w:rPr>
        <w:t>su bolji nakon završetka procesa spajanja i preuzimanja u usporedbi s istim pokazateljima u razdoblju prije provedenog procesa.</w:t>
      </w:r>
    </w:p>
    <w:p w14:paraId="6D541663" w14:textId="2E411E11" w:rsidR="00F908AB" w:rsidRPr="00BE5472" w:rsidRDefault="00F908AB" w:rsidP="00120B4F">
      <w:pPr>
        <w:numPr>
          <w:ilvl w:val="0"/>
          <w:numId w:val="92"/>
        </w:numPr>
        <w:spacing w:line="360" w:lineRule="auto"/>
        <w:jc w:val="both"/>
        <w:rPr>
          <w:rFonts w:ascii="Times New Roman" w:hAnsi="Times New Roman" w:cs="Times New Roman"/>
          <w:b/>
          <w:bCs/>
          <w:sz w:val="24"/>
          <w:szCs w:val="24"/>
        </w:rPr>
      </w:pPr>
      <w:r w:rsidRPr="00BE5472">
        <w:rPr>
          <w:rFonts w:ascii="Times New Roman" w:hAnsi="Times New Roman" w:cs="Times New Roman"/>
          <w:bCs/>
          <w:sz w:val="24"/>
          <w:szCs w:val="24"/>
          <w:lang w:val="en-US"/>
        </w:rPr>
        <w:t xml:space="preserve">H3b - </w:t>
      </w:r>
      <w:r w:rsidRPr="00BE5472">
        <w:rPr>
          <w:rFonts w:ascii="Times New Roman" w:hAnsi="Times New Roman" w:cs="Times New Roman"/>
          <w:bCs/>
          <w:i/>
          <w:sz w:val="24"/>
          <w:szCs w:val="24"/>
        </w:rPr>
        <w:t xml:space="preserve">Ključni tržišni pokazatelji uspješnosti poduzeća preuzimatelja </w:t>
      </w:r>
      <w:r w:rsidR="00DB7AF5" w:rsidRPr="00BE5472">
        <w:rPr>
          <w:rFonts w:ascii="Times New Roman" w:hAnsi="Times New Roman" w:cs="Times New Roman"/>
          <w:bCs/>
          <w:i/>
          <w:sz w:val="24"/>
          <w:szCs w:val="24"/>
        </w:rPr>
        <w:t xml:space="preserve">bili </w:t>
      </w:r>
      <w:r w:rsidRPr="00BE5472">
        <w:rPr>
          <w:rFonts w:ascii="Times New Roman" w:hAnsi="Times New Roman" w:cs="Times New Roman"/>
          <w:bCs/>
          <w:i/>
          <w:sz w:val="24"/>
          <w:szCs w:val="24"/>
        </w:rPr>
        <w:t>su bolji nakon završetka procesa spajanja i preuzimanja u usporedbi s istim pokazateljima u razdoblju prije provedenog procesa.</w:t>
      </w:r>
    </w:p>
    <w:p w14:paraId="4DEBC388" w14:textId="51AF7530" w:rsidR="00F908AB" w:rsidRPr="00BE5472" w:rsidRDefault="00F908AB" w:rsidP="00F908AB">
      <w:pPr>
        <w:spacing w:line="360" w:lineRule="auto"/>
        <w:jc w:val="both"/>
        <w:rPr>
          <w:rFonts w:ascii="Times New Roman" w:hAnsi="Times New Roman" w:cs="Times New Roman"/>
          <w:bCs/>
          <w:sz w:val="24"/>
          <w:szCs w:val="24"/>
          <w:lang w:val="it-IT"/>
        </w:rPr>
      </w:pPr>
      <w:r w:rsidRPr="00BE5472">
        <w:rPr>
          <w:rFonts w:ascii="Times New Roman" w:hAnsi="Times New Roman" w:cs="Times New Roman"/>
          <w:bCs/>
          <w:sz w:val="24"/>
          <w:szCs w:val="24"/>
        </w:rPr>
        <w:br/>
        <w:t>Hipoteza H3 testirana je analizom longitudinalnih podataka o financijskim, hotelskim i tržišnim pokazateljima uspješnosti poduzeća preuzimatelja u razdoblju prije i nakon provedenih procesa spajanja i preuzimanja. Zbog ugnijež</w:t>
      </w:r>
      <w:r w:rsidR="009110E3" w:rsidRPr="00BE5472">
        <w:rPr>
          <w:rFonts w:ascii="Times New Roman" w:hAnsi="Times New Roman" w:cs="Times New Roman"/>
          <w:bCs/>
          <w:sz w:val="24"/>
          <w:szCs w:val="24"/>
        </w:rPr>
        <w:t>đ</w:t>
      </w:r>
      <w:r w:rsidRPr="00BE5472">
        <w:rPr>
          <w:rFonts w:ascii="Times New Roman" w:hAnsi="Times New Roman" w:cs="Times New Roman"/>
          <w:bCs/>
          <w:sz w:val="24"/>
          <w:szCs w:val="24"/>
        </w:rPr>
        <w:t xml:space="preserve">ene strukture podataka primijenjena je višerazinska linearna regresijska analiza, kojom su istodobno modelirane promjene unutar poduzeća kroz vrijeme i razlike između poduzeća. </w:t>
      </w:r>
      <w:r w:rsidRPr="00BE5472">
        <w:rPr>
          <w:rFonts w:ascii="Times New Roman" w:hAnsi="Times New Roman" w:cs="Times New Roman"/>
          <w:bCs/>
          <w:sz w:val="24"/>
          <w:szCs w:val="24"/>
          <w:lang w:val="it-IT"/>
        </w:rPr>
        <w:t>Posebna pažnja posvećena je testiranju učinka statusa preuzimanja te interakcije statusa i vremena.</w:t>
      </w:r>
    </w:p>
    <w:p w14:paraId="68B92413" w14:textId="77777777" w:rsidR="00F908AB" w:rsidRPr="00BE5472" w:rsidRDefault="00F908AB" w:rsidP="00F908AB">
      <w:pPr>
        <w:spacing w:line="360" w:lineRule="auto"/>
        <w:jc w:val="both"/>
        <w:rPr>
          <w:rFonts w:ascii="Times New Roman" w:hAnsi="Times New Roman" w:cs="Times New Roman"/>
          <w:bCs/>
          <w:sz w:val="24"/>
          <w:szCs w:val="24"/>
          <w:lang w:val="it-IT"/>
        </w:rPr>
      </w:pPr>
      <w:r w:rsidRPr="00BE5472">
        <w:rPr>
          <w:rFonts w:ascii="Times New Roman" w:hAnsi="Times New Roman" w:cs="Times New Roman"/>
          <w:b/>
          <w:bCs/>
          <w:sz w:val="24"/>
          <w:szCs w:val="24"/>
          <w:lang w:val="it-IT"/>
        </w:rPr>
        <w:t>H4:</w:t>
      </w:r>
      <w:r w:rsidRPr="00BE5472">
        <w:rPr>
          <w:rFonts w:ascii="Times New Roman" w:hAnsi="Times New Roman" w:cs="Times New Roman"/>
          <w:bCs/>
          <w:sz w:val="24"/>
          <w:szCs w:val="24"/>
          <w:lang w:val="it-IT"/>
        </w:rPr>
        <w:t xml:space="preserve"> </w:t>
      </w:r>
      <w:r w:rsidRPr="00BE5472">
        <w:rPr>
          <w:rFonts w:ascii="Times New Roman" w:hAnsi="Times New Roman" w:cs="Times New Roman"/>
          <w:bCs/>
          <w:i/>
          <w:sz w:val="24"/>
          <w:szCs w:val="24"/>
          <w:lang w:val="it-IT"/>
        </w:rPr>
        <w:t>Hotelska poduzeća koja su se odlučila za eksterni rast ostvarila su bolje ključne financijske pokazatelje uspješnosti od poduzeća koja su se odlučila za organski rast</w:t>
      </w:r>
      <w:r w:rsidRPr="00BE5472">
        <w:rPr>
          <w:rFonts w:ascii="Times New Roman" w:hAnsi="Times New Roman" w:cs="Times New Roman"/>
          <w:bCs/>
          <w:sz w:val="24"/>
          <w:szCs w:val="24"/>
          <w:lang w:val="it-IT"/>
        </w:rPr>
        <w:t>.</w:t>
      </w:r>
    </w:p>
    <w:p w14:paraId="21A9EDC8" w14:textId="77777777" w:rsidR="00F908AB" w:rsidRPr="00BE5472" w:rsidRDefault="00F908AB" w:rsidP="00F908AB">
      <w:pPr>
        <w:spacing w:line="360" w:lineRule="auto"/>
        <w:jc w:val="both"/>
        <w:rPr>
          <w:rFonts w:ascii="Times New Roman" w:hAnsi="Times New Roman" w:cs="Times New Roman"/>
          <w:bCs/>
          <w:sz w:val="24"/>
          <w:szCs w:val="24"/>
          <w:lang w:val="it-IT"/>
        </w:rPr>
      </w:pPr>
      <w:r w:rsidRPr="00BE5472">
        <w:rPr>
          <w:rFonts w:ascii="Times New Roman" w:hAnsi="Times New Roman" w:cs="Times New Roman"/>
          <w:bCs/>
          <w:sz w:val="24"/>
          <w:szCs w:val="24"/>
          <w:lang w:val="it-IT"/>
        </w:rPr>
        <w:br/>
        <w:t>Hipoteza H4 ispitana je usporedbom financijskih i tržišnih pokazatelja uspješnosti poduzeća koja su sudjelovala u procesima spajanja i preuzimanja s poduzećima koja su ostvarivala rast isključivo organskim putem. Analiza je provedena primjenom višerazinske regresijske analize, pri čemu je tip poduzeća (preuzimatelj / nepreuzimatelj) uključen kao nezavisna varijabla, uz kontrolu vremenskog trenda i početnih razlika među poduzećima.</w:t>
      </w:r>
    </w:p>
    <w:p w14:paraId="0F13D552" w14:textId="77777777" w:rsidR="00F908AB" w:rsidRPr="00BE5472" w:rsidRDefault="00F908AB" w:rsidP="00F908AB">
      <w:pPr>
        <w:spacing w:line="360" w:lineRule="auto"/>
        <w:jc w:val="both"/>
        <w:rPr>
          <w:rFonts w:ascii="Times New Roman" w:hAnsi="Times New Roman" w:cs="Times New Roman"/>
          <w:bCs/>
          <w:sz w:val="24"/>
          <w:szCs w:val="24"/>
          <w:lang w:val="it-IT"/>
        </w:rPr>
      </w:pPr>
    </w:p>
    <w:p w14:paraId="06EB5F18" w14:textId="77777777" w:rsidR="00F908AB" w:rsidRPr="00BE5472" w:rsidRDefault="00F908AB" w:rsidP="00F908AB">
      <w:pPr>
        <w:spacing w:line="360" w:lineRule="auto"/>
        <w:jc w:val="both"/>
        <w:rPr>
          <w:rFonts w:ascii="Times New Roman" w:hAnsi="Times New Roman" w:cs="Times New Roman"/>
          <w:bCs/>
          <w:sz w:val="24"/>
          <w:szCs w:val="24"/>
          <w:lang w:val="it-IT"/>
        </w:rPr>
      </w:pPr>
    </w:p>
    <w:p w14:paraId="0EABC6F5" w14:textId="77777777" w:rsidR="00F908AB" w:rsidRPr="00BE5472" w:rsidRDefault="00F908AB" w:rsidP="00F908AB">
      <w:pPr>
        <w:spacing w:line="360" w:lineRule="auto"/>
        <w:jc w:val="both"/>
        <w:rPr>
          <w:rFonts w:ascii="Times New Roman" w:hAnsi="Times New Roman" w:cs="Times New Roman"/>
          <w:bCs/>
          <w:sz w:val="24"/>
          <w:szCs w:val="24"/>
          <w:lang w:val="it-IT"/>
        </w:rPr>
      </w:pPr>
    </w:p>
    <w:p w14:paraId="04C0F982" w14:textId="77777777" w:rsidR="0091310A" w:rsidRPr="00BE5472" w:rsidRDefault="0091310A" w:rsidP="0091310A">
      <w:pPr>
        <w:rPr>
          <w:rFonts w:ascii="Times New Roman" w:hAnsi="Times New Roman" w:cs="Times New Roman"/>
        </w:rPr>
        <w:sectPr w:rsidR="0091310A" w:rsidRPr="00BE5472" w:rsidSect="00D03C2F">
          <w:pgSz w:w="12240" w:h="15840"/>
          <w:pgMar w:top="1440" w:right="1440" w:bottom="1440" w:left="1440" w:header="708" w:footer="708" w:gutter="0"/>
          <w:cols w:space="708"/>
          <w:docGrid w:linePitch="360"/>
        </w:sectPr>
      </w:pPr>
    </w:p>
    <w:p w14:paraId="77E0C3B5" w14:textId="727D131C" w:rsidR="0091310A" w:rsidRPr="00BE5472" w:rsidRDefault="00D811DF" w:rsidP="00D811DF">
      <w:pPr>
        <w:pStyle w:val="Heading1"/>
        <w:numPr>
          <w:ilvl w:val="0"/>
          <w:numId w:val="5"/>
        </w:numPr>
        <w:rPr>
          <w:rFonts w:ascii="Times New Roman" w:hAnsi="Times New Roman" w:cs="Times New Roman"/>
        </w:rPr>
      </w:pPr>
      <w:bookmarkStart w:id="162" w:name="_Toc241865158"/>
      <w:r w:rsidRPr="00BE5472">
        <w:rPr>
          <w:rFonts w:ascii="Times New Roman" w:hAnsi="Times New Roman" w:cs="Times New Roman"/>
        </w:rPr>
        <w:lastRenderedPageBreak/>
        <w:t>REZULTATI EMPIRIJSKOG ISTRAŽIVANJA</w:t>
      </w:r>
      <w:bookmarkEnd w:id="162"/>
    </w:p>
    <w:p w14:paraId="6DE43D0B" w14:textId="77777777" w:rsidR="008C330A" w:rsidRPr="00BE5472" w:rsidRDefault="008C330A" w:rsidP="008C330A">
      <w:pPr>
        <w:rPr>
          <w:rFonts w:ascii="Times New Roman" w:hAnsi="Times New Roman" w:cs="Times New Roman"/>
        </w:rPr>
      </w:pPr>
    </w:p>
    <w:p w14:paraId="6F8F79D5" w14:textId="5F26BECE" w:rsidR="00D1669A" w:rsidRPr="00BE5472" w:rsidRDefault="00D1669A" w:rsidP="00D1669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Središnji dio ovog rada posvećen je prezentaciji, analizi i interpretaciji rezultata prikupljenih kroz opsežno empirijsko istraživanje procesa spajanja i preuzimanja u hrvatskom hotelijerstvu. Polazeći od teorijskih postavki i postavljenih istraživačkih hipoteza, ovo poglavlje pruž</w:t>
      </w:r>
      <w:r w:rsidR="00F1453B" w:rsidRPr="00BE5472">
        <w:rPr>
          <w:rFonts w:ascii="Times New Roman" w:hAnsi="Times New Roman" w:cs="Times New Roman"/>
          <w:sz w:val="24"/>
          <w:szCs w:val="24"/>
        </w:rPr>
        <w:t>a</w:t>
      </w:r>
      <w:r w:rsidRPr="00BE5472">
        <w:rPr>
          <w:rFonts w:ascii="Times New Roman" w:hAnsi="Times New Roman" w:cs="Times New Roman"/>
          <w:sz w:val="24"/>
          <w:szCs w:val="24"/>
        </w:rPr>
        <w:t xml:space="preserve"> cjelovit odgovor na kompleksno pitanje determinanti uspješnosti </w:t>
      </w:r>
      <w:r w:rsidRPr="00BE5472">
        <w:rPr>
          <w:rFonts w:ascii="Times New Roman" w:hAnsi="Times New Roman" w:cs="Times New Roman"/>
          <w:i/>
          <w:iCs/>
          <w:sz w:val="24"/>
          <w:szCs w:val="24"/>
        </w:rPr>
        <w:t>M&amp;A</w:t>
      </w:r>
      <w:r w:rsidRPr="00BE5472">
        <w:rPr>
          <w:rFonts w:ascii="Times New Roman" w:hAnsi="Times New Roman" w:cs="Times New Roman"/>
          <w:sz w:val="24"/>
          <w:szCs w:val="24"/>
        </w:rPr>
        <w:t xml:space="preserve"> procesa u specifičnom kontekstu nacionalnog turističkog sektora.</w:t>
      </w:r>
    </w:p>
    <w:p w14:paraId="6E41DEC8" w14:textId="77777777" w:rsidR="00D1669A" w:rsidRPr="00BE5472" w:rsidRDefault="00D1669A" w:rsidP="00D1669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Istraživački proces strukturiran je kroz tri metodološka stupa čiji se rezultati u ovom poglavlju sukcesivno izlažu:</w:t>
      </w:r>
    </w:p>
    <w:p w14:paraId="7CF57167" w14:textId="567AAB09" w:rsidR="00BB1EAA" w:rsidRPr="00BE5472" w:rsidRDefault="00BB1EAA" w:rsidP="00BB1EAA">
      <w:pPr>
        <w:numPr>
          <w:ilvl w:val="0"/>
          <w:numId w:val="10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Kvantitativna faza (Opisna istraživanja): Obuhvaća rezultate dobivene kroz dva ciklusa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s ekspertima, istraživanje stavova menadžmenta hotelskih poduzeća te detaljnu usporedbu tih dviju perspektiva. Ova faza omogućuje preciznu identifikaciju i rangiranje ključnih motiva i čimbenika uspjeha.</w:t>
      </w:r>
    </w:p>
    <w:p w14:paraId="700C88FA" w14:textId="3CE8D210" w:rsidR="00D1669A" w:rsidRPr="00BE5472" w:rsidRDefault="00D1669A" w:rsidP="00D1669A">
      <w:pPr>
        <w:numPr>
          <w:ilvl w:val="0"/>
          <w:numId w:val="10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Kvalitativna faza (Izviđajna istraživanja): Temelji se na dubinskim intervjuima s ključnim akterima M&amp;A transakcija. Cilj </w:t>
      </w:r>
      <w:r w:rsidR="000C6459" w:rsidRPr="00BE5472">
        <w:rPr>
          <w:rFonts w:ascii="Times New Roman" w:hAnsi="Times New Roman" w:cs="Times New Roman"/>
          <w:sz w:val="24"/>
          <w:szCs w:val="24"/>
        </w:rPr>
        <w:t xml:space="preserve">je </w:t>
      </w:r>
      <w:r w:rsidRPr="00BE5472">
        <w:rPr>
          <w:rFonts w:ascii="Times New Roman" w:hAnsi="Times New Roman" w:cs="Times New Roman"/>
          <w:sz w:val="24"/>
          <w:szCs w:val="24"/>
        </w:rPr>
        <w:t xml:space="preserve">ove faze dekonstrukcija iskustvenih obrazaca, od strateškog promišljanja i </w:t>
      </w:r>
      <w:r w:rsidRPr="00BE5472">
        <w:rPr>
          <w:rFonts w:ascii="Times New Roman" w:hAnsi="Times New Roman" w:cs="Times New Roman"/>
          <w:i/>
          <w:iCs/>
          <w:sz w:val="24"/>
          <w:szCs w:val="24"/>
        </w:rPr>
        <w:t>due diligencea</w:t>
      </w:r>
      <w:r w:rsidRPr="00BE5472">
        <w:rPr>
          <w:rFonts w:ascii="Times New Roman" w:hAnsi="Times New Roman" w:cs="Times New Roman"/>
          <w:sz w:val="24"/>
          <w:szCs w:val="24"/>
        </w:rPr>
        <w:t xml:space="preserve"> do osjetljivih pitanja postakvizicijske integracije i organizacijske kulture.</w:t>
      </w:r>
    </w:p>
    <w:p w14:paraId="2ADBCB7B" w14:textId="77777777" w:rsidR="00D1669A" w:rsidRPr="00BE5472" w:rsidRDefault="00D1669A" w:rsidP="00D1669A">
      <w:pPr>
        <w:numPr>
          <w:ilvl w:val="0"/>
          <w:numId w:val="10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Analiza poslovne uspješnosti (KPI analiza): Donosi egzaktne financijske i tržišne pokazatelje. Usporednom analizom poduzeća prije i nakon akvizicije, kao i usporedbom s poduzećima koja nisu prolazila kroz te procese, provjerava se stvarni ekonomski učinak spajanja i preuzimanja.</w:t>
      </w:r>
    </w:p>
    <w:p w14:paraId="42B56858" w14:textId="32872234" w:rsidR="008F0FE2" w:rsidRPr="00BE5472" w:rsidRDefault="00D1669A" w:rsidP="008C330A">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Nakon detaljnog prikaza rezultata, poglavlje donosi </w:t>
      </w:r>
      <w:r w:rsidR="008C330A" w:rsidRPr="00BE5472">
        <w:rPr>
          <w:rFonts w:ascii="Times New Roman" w:hAnsi="Times New Roman" w:cs="Times New Roman"/>
          <w:sz w:val="24"/>
          <w:szCs w:val="24"/>
        </w:rPr>
        <w:t>r</w:t>
      </w:r>
      <w:r w:rsidRPr="00BE5472">
        <w:rPr>
          <w:rFonts w:ascii="Times New Roman" w:hAnsi="Times New Roman" w:cs="Times New Roman"/>
          <w:sz w:val="24"/>
          <w:szCs w:val="24"/>
        </w:rPr>
        <w:t>aspravu i kritički osvrt, gdje se dobivene spoznajne vrijednosti sučeljavaju s dosadašnjim znanstvenim spoznajama i testiranim hipotezama. Završni dijelovi poglavlja sintetiziraju znanstveni i praktični doprinos rada, uz jasno definiranje ograničenja istraživanja i smjernic</w:t>
      </w:r>
      <w:r w:rsidR="00585620" w:rsidRPr="00BE5472">
        <w:rPr>
          <w:rFonts w:ascii="Times New Roman" w:hAnsi="Times New Roman" w:cs="Times New Roman"/>
          <w:sz w:val="24"/>
          <w:szCs w:val="24"/>
        </w:rPr>
        <w:t>e</w:t>
      </w:r>
      <w:r w:rsidRPr="00BE5472">
        <w:rPr>
          <w:rFonts w:ascii="Times New Roman" w:hAnsi="Times New Roman" w:cs="Times New Roman"/>
          <w:sz w:val="24"/>
          <w:szCs w:val="24"/>
        </w:rPr>
        <w:t xml:space="preserve"> za buduće znanstvene </w:t>
      </w:r>
      <w:r w:rsidR="00DF7741" w:rsidRPr="00BE5472">
        <w:rPr>
          <w:rFonts w:ascii="Times New Roman" w:hAnsi="Times New Roman" w:cs="Times New Roman"/>
          <w:sz w:val="24"/>
          <w:szCs w:val="24"/>
        </w:rPr>
        <w:t>izazove</w:t>
      </w:r>
      <w:r w:rsidRPr="00BE5472">
        <w:rPr>
          <w:rFonts w:ascii="Times New Roman" w:hAnsi="Times New Roman" w:cs="Times New Roman"/>
          <w:sz w:val="24"/>
          <w:szCs w:val="24"/>
        </w:rPr>
        <w:t xml:space="preserve"> u ovom području</w:t>
      </w:r>
      <w:r w:rsidR="008062F0" w:rsidRPr="00BE5472">
        <w:rPr>
          <w:rFonts w:ascii="Times New Roman" w:hAnsi="Times New Roman" w:cs="Times New Roman"/>
          <w:sz w:val="24"/>
          <w:szCs w:val="24"/>
        </w:rPr>
        <w:t>.</w:t>
      </w:r>
    </w:p>
    <w:p w14:paraId="3EF33385" w14:textId="77777777" w:rsidR="00D1669A" w:rsidRPr="00BE5472" w:rsidRDefault="00D1669A" w:rsidP="008F0FE2">
      <w:pPr>
        <w:rPr>
          <w:rFonts w:ascii="Times New Roman" w:hAnsi="Times New Roman" w:cs="Times New Roman"/>
        </w:rPr>
      </w:pPr>
    </w:p>
    <w:p w14:paraId="411352A3" w14:textId="3DA37202" w:rsidR="004E7981" w:rsidRPr="00BE5472" w:rsidRDefault="00120B4F" w:rsidP="004E7981">
      <w:pPr>
        <w:pStyle w:val="Heading2"/>
        <w:numPr>
          <w:ilvl w:val="1"/>
          <w:numId w:val="5"/>
        </w:numPr>
        <w:rPr>
          <w:rFonts w:ascii="Times New Roman" w:hAnsi="Times New Roman" w:cs="Times New Roman"/>
        </w:rPr>
      </w:pPr>
      <w:bookmarkStart w:id="163" w:name="_Toc241865159"/>
      <w:r w:rsidRPr="00BE5472">
        <w:rPr>
          <w:rFonts w:ascii="Times New Roman" w:hAnsi="Times New Roman" w:cs="Times New Roman"/>
        </w:rPr>
        <w:t>Rezultati izviđajnih (kvalitativnih) istraživanja</w:t>
      </w:r>
      <w:bookmarkEnd w:id="163"/>
    </w:p>
    <w:p w14:paraId="00A18123" w14:textId="77777777" w:rsidR="004E7981" w:rsidRPr="00BE5472" w:rsidRDefault="004E7981" w:rsidP="004E7981">
      <w:pPr>
        <w:rPr>
          <w:rFonts w:ascii="Times New Roman" w:hAnsi="Times New Roman" w:cs="Times New Roman"/>
        </w:rPr>
      </w:pPr>
    </w:p>
    <w:p w14:paraId="18292A1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ovom poglavlju prikazani su rezultati kvalitativnog istraživanja temeljenog na polustrukturiranim intervjuima s ključnim dionicima uključenima u procese spajanja i </w:t>
      </w:r>
      <w:r w:rsidRPr="00BE5472">
        <w:rPr>
          <w:rFonts w:ascii="Times New Roman" w:hAnsi="Times New Roman" w:cs="Times New Roman"/>
          <w:sz w:val="24"/>
          <w:szCs w:val="24"/>
        </w:rPr>
        <w:lastRenderedPageBreak/>
        <w:t>preuzimanja u hrvatskom hotelijerstvu. Analiza podataka provedena je induktivnim pristupom, kroz inicijalno kodiranje, grupiranje kodova u podteme te njihovo objedinjavanje u glavne tematske cjeline. Identificirane teme odražavaju ključne faze i izazove procesa spajanja i preuzimanja, od strateške logike i procjene ciljnog društva do postakvizicijske integracije, upravljanja ljudskim i kulturnim aspektima te iskustvenog učenja.</w:t>
      </w:r>
    </w:p>
    <w:p w14:paraId="7E41AE1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Analiza odgovora ispitanika započela je inicijalnim (otvorenim) kodiranjem, tijekom kojeg su identificirani smisleni dijelovi teksta koji odražavaju iskustva, percepcije i procjene sudionika o procesima spajanja i preuzimanja u hrvatskom hotelijerstvu. Kodiranje je provedeno induktivno, pri čemu su kodovi razvijeni izravno iz sadržaja odgovora ispitanika, bez unaprijed definiranih kategorija.</w:t>
      </w:r>
    </w:p>
    <w:p w14:paraId="38BFB4F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Kodovi su dodjeljivani na razini cjelokupnog skupa podataka, neovisno o pojedinim pitanjima, što je omogućilo prepoznavanje ponavljajućih obrazaca i značenja kroz različite kontekste. Ovakav pristup poslužio je kao temelj za daljnje grupiranje kodova u podteme i glavne tematske cjeline, koje su prikazane u nastavku poglavlja.</w:t>
      </w:r>
    </w:p>
    <w:p w14:paraId="4708BD9B" w14:textId="11DB72D1" w:rsidR="00120B4F" w:rsidRPr="003D0534"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temelju inicijalnog kodiranja i daljnje analize podataka identificirano je nekoliko tematskih cjelina koje odražavaju ključne aspekte procesa spajanja i preuzimanja u hrvatskom hotelijerstvu. </w:t>
      </w:r>
      <w:r w:rsidRPr="00BE5472">
        <w:rPr>
          <w:rFonts w:ascii="Times New Roman" w:hAnsi="Times New Roman" w:cs="Times New Roman"/>
          <w:sz w:val="24"/>
          <w:szCs w:val="24"/>
          <w:lang w:val="it-IT"/>
        </w:rPr>
        <w:t xml:space="preserve">U nastavku poglavlja rezultati su prikazani kroz glavne teme i pripadajuće podteme, pri čemu se svaka tema analizira i ilustrira odabranim izjavama ispitanika. Detaljan pregled inicijalnih kodova i njihove pripadnosti podtemama prikazan u Prilogu </w:t>
      </w:r>
      <w:r w:rsidR="00F459EF" w:rsidRPr="00BE5472">
        <w:rPr>
          <w:rFonts w:ascii="Times New Roman" w:hAnsi="Times New Roman" w:cs="Times New Roman"/>
          <w:sz w:val="24"/>
          <w:szCs w:val="24"/>
          <w:lang w:val="it-IT"/>
        </w:rPr>
        <w:t>5</w:t>
      </w:r>
      <w:r w:rsidRPr="00BE5472">
        <w:rPr>
          <w:rFonts w:ascii="Times New Roman" w:hAnsi="Times New Roman" w:cs="Times New Roman"/>
          <w:sz w:val="24"/>
          <w:szCs w:val="24"/>
          <w:lang w:val="it-IT"/>
        </w:rPr>
        <w:t xml:space="preserve">. Slijedi </w:t>
      </w:r>
      <w:r w:rsidR="009110E3" w:rsidRPr="00BE5472">
        <w:rPr>
          <w:rFonts w:ascii="Times New Roman" w:hAnsi="Times New Roman" w:cs="Times New Roman"/>
          <w:sz w:val="24"/>
          <w:szCs w:val="24"/>
          <w:lang w:val="it-IT"/>
        </w:rPr>
        <w:t>interpretacija</w:t>
      </w:r>
      <w:r w:rsidRPr="00BE5472">
        <w:rPr>
          <w:rFonts w:ascii="Times New Roman" w:hAnsi="Times New Roman" w:cs="Times New Roman"/>
          <w:sz w:val="24"/>
          <w:szCs w:val="24"/>
          <w:lang w:val="it-IT"/>
        </w:rPr>
        <w:t xml:space="preserve"> prve teme.</w:t>
      </w:r>
    </w:p>
    <w:p w14:paraId="4FC57803" w14:textId="46DEB6A5" w:rsidR="004E7981" w:rsidRDefault="00120B4F" w:rsidP="004E7981">
      <w:pPr>
        <w:pStyle w:val="Heading3"/>
        <w:numPr>
          <w:ilvl w:val="2"/>
          <w:numId w:val="5"/>
        </w:numPr>
        <w:rPr>
          <w:rFonts w:ascii="Times New Roman" w:hAnsi="Times New Roman" w:cs="Times New Roman"/>
          <w:lang w:val="it-IT"/>
        </w:rPr>
      </w:pPr>
      <w:bookmarkStart w:id="164" w:name="_Toc241865160"/>
      <w:r w:rsidRPr="00BE5472">
        <w:rPr>
          <w:rFonts w:ascii="Times New Roman" w:hAnsi="Times New Roman" w:cs="Times New Roman"/>
          <w:lang w:val="it-IT"/>
        </w:rPr>
        <w:t>Strateška logika i ekonomska opravdanost M&amp;A procesa</w:t>
      </w:r>
      <w:bookmarkEnd w:id="164"/>
    </w:p>
    <w:p w14:paraId="5C7516AB" w14:textId="77777777" w:rsidR="00111B12" w:rsidRPr="00111B12" w:rsidRDefault="00111B12" w:rsidP="00111B12">
      <w:pPr>
        <w:rPr>
          <w:lang w:val="it-IT"/>
        </w:rPr>
      </w:pPr>
    </w:p>
    <w:p w14:paraId="0E406FD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Procesi spajanja i preuzimanja u hrvatskom hotelijerstvu, prema iskustvima ispitanika, predstavljaju prvenstveno strateški usmjerene poslovne odluke, a ne </w:t>
      </w:r>
      <w:r w:rsidRPr="00BE5472">
        <w:rPr>
          <w:rFonts w:ascii="Times New Roman" w:hAnsi="Times New Roman" w:cs="Times New Roman"/>
          <w:i/>
          <w:sz w:val="24"/>
          <w:szCs w:val="24"/>
          <w:lang w:val="it-IT"/>
        </w:rPr>
        <w:t>ad hoc</w:t>
      </w:r>
      <w:r w:rsidRPr="00BE5472">
        <w:rPr>
          <w:rFonts w:ascii="Times New Roman" w:hAnsi="Times New Roman" w:cs="Times New Roman"/>
          <w:sz w:val="24"/>
          <w:szCs w:val="24"/>
          <w:lang w:val="it-IT"/>
        </w:rPr>
        <w:t xml:space="preserve"> reakcije na povoljne tržišne okolnosti. Analiza odgovora pokazuje da se odluke o ulasku u procese spajanja i preuzimanja temelje na dugoročnim razvojnim ciljevima poduzeća, pri čemu se naglasak stavlja na jačanje tržišne pozicije, širenje portfelja te ostvarivanje sinergijskih učinaka unutar postojećih poslovnih sustava.</w:t>
      </w:r>
    </w:p>
    <w:p w14:paraId="590F5C8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Ispitanici dosljedno naglašavaju da ekonomska opravdanost procesa spajanja i preuzimanja ne proizlazi isključivo iz financijskih pokazatelja u trenutku preuzimanja, već iz procjene buduće dodane vrijednosti i održivosti poslovanja. U tom se kontekstu odluke o preuzimanju povezuju s mogućnošću ulaska u atraktivne turističke destinacije (turističke meke), optimizacije </w:t>
      </w:r>
      <w:r w:rsidRPr="00BE5472">
        <w:rPr>
          <w:rFonts w:ascii="Times New Roman" w:hAnsi="Times New Roman" w:cs="Times New Roman"/>
          <w:sz w:val="24"/>
          <w:szCs w:val="24"/>
          <w:lang w:val="it-IT"/>
        </w:rPr>
        <w:lastRenderedPageBreak/>
        <w:t>postojećih resursa te jačanja konkurentske pozicije na domaćem i međunarodnom tržištu. Procesi spajanja i preuzimanja percipiraju se kao instrument strateškog rasta koji omogućuje organizacijama prilagodbu dinamičnim tržišnim uvjetima i dugoročno pozicioniranje unutar sektora.</w:t>
      </w:r>
    </w:p>
    <w:p w14:paraId="3D5E7812" w14:textId="7D78E44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okviru ove tematske cjeline posebno se ističe važnost sustavne procjene ciljnog poduzeća (mete), koja nadilazi klasične financijske analize te uključuje interne projekcije, scenarijsko planiranje i usporedbe temeljene na iskustvima iz postojećeg portfelja. Ispitanici navode kako su u procesima donošenja odluka ključnu ulogu imali elementi poput vrijednosti i potencijala destinacije, kvalitete imovine, razine razvijenosti operativnih procesa te mogućnosti budućeg razvoja.</w:t>
      </w:r>
    </w:p>
    <w:p w14:paraId="346A2D9E" w14:textId="36AD8A8B"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Razvidno je da rezultati jasno pokazuju da se strateška logika i ekonomska opravdanost procesa spajanja i preuzimanja u hrvatskom hotelijerstvu ne promatraju izolirano, već kao međusobno povezani elementi jednog jedinstvenog procesa odlučivanja. Upravo takav pristup čini temelj za razumijevanje daljnjih faza procesa spajanja i preuzimanja, osobito operativne i organizacijske integracije, koja se razmatra u sljedećoj tematskoj cjelini, a koje su od iznimnog značaj</w:t>
      </w:r>
      <w:r w:rsidR="000C6459" w:rsidRPr="00BE5472">
        <w:rPr>
          <w:rFonts w:ascii="Times New Roman" w:hAnsi="Times New Roman" w:cs="Times New Roman"/>
          <w:sz w:val="24"/>
          <w:szCs w:val="24"/>
          <w:lang w:val="it-IT"/>
        </w:rPr>
        <w:t>a</w:t>
      </w:r>
      <w:r w:rsidRPr="00BE5472">
        <w:rPr>
          <w:rFonts w:ascii="Times New Roman" w:hAnsi="Times New Roman" w:cs="Times New Roman"/>
          <w:sz w:val="24"/>
          <w:szCs w:val="24"/>
          <w:lang w:val="it-IT"/>
        </w:rPr>
        <w:t>.</w:t>
      </w:r>
      <w:r w:rsidR="00467C59">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Slijedi obrazloženje razvijenih podtema unutar prve teme.</w:t>
      </w:r>
    </w:p>
    <w:p w14:paraId="6864DCF0" w14:textId="49CA3AA2" w:rsidR="00120B4F" w:rsidRPr="00BE5472" w:rsidRDefault="00120B4F" w:rsidP="00160364">
      <w:pPr>
        <w:rPr>
          <w:rFonts w:ascii="Times New Roman" w:hAnsi="Times New Roman" w:cs="Times New Roman"/>
          <w:sz w:val="24"/>
          <w:szCs w:val="24"/>
          <w:lang w:val="it-IT"/>
        </w:rPr>
      </w:pPr>
      <w:r w:rsidRPr="00BE5472">
        <w:rPr>
          <w:rFonts w:ascii="Times New Roman" w:hAnsi="Times New Roman" w:cs="Times New Roman"/>
          <w:sz w:val="24"/>
          <w:szCs w:val="24"/>
          <w:lang w:val="it-IT"/>
        </w:rPr>
        <w:t>Strateški motivi i racionalnost M&amp;A</w:t>
      </w:r>
    </w:p>
    <w:p w14:paraId="007CDB8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Analiza odgovora ispitanika pokazuje da su motivi za pokretanje procesa spajanja i preuzimanja u hrvatskom hotelijerstvu prvenstveno strateške prirode. Ispitanici ističu kako proces spajanja i preuzimanja nije promatran kao jednokratna poslovna prilika, već kao sredstvo za dugoročno (održivo) pozicioniranje na turističkom tržištu, širenje postojećeg portfelja i ostvarivanje sinergijskih učinaka unutar poslovnih sustava.</w:t>
      </w:r>
    </w:p>
    <w:p w14:paraId="50FE729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Poseban naglasak stavlja se na mogućnost ulaska u nove ili atraktivne destinacije (na Jadranu, ali i na Alpama) te jačanje tržišne prisutnosti, pri čemu se strateška dimenzija procesa jasno razlikuje od isključivo financijskog promišljanja:</w:t>
      </w:r>
    </w:p>
    <w:p w14:paraId="4C7E7BDF" w14:textId="1CC5F8D2" w:rsidR="00120B4F" w:rsidRPr="00BE5472" w:rsidRDefault="00120B4F" w:rsidP="00C36010">
      <w:pPr>
        <w:spacing w:after="120" w:line="360" w:lineRule="auto"/>
        <w:ind w:left="851" w:right="454"/>
        <w:rPr>
          <w:rFonts w:ascii="Times New Roman" w:hAnsi="Times New Roman" w:cs="Times New Roman"/>
          <w:lang w:val="it-IT"/>
        </w:rPr>
      </w:pPr>
      <w:r w:rsidRPr="00BE5472">
        <w:rPr>
          <w:rFonts w:ascii="Times New Roman" w:hAnsi="Times New Roman" w:cs="Times New Roman"/>
          <w:i/>
          <w:lang w:val="it-IT"/>
        </w:rPr>
        <w:t xml:space="preserve">Prvi motiv bio je širenje portfelja na druge destinacije </w:t>
      </w:r>
      <w:r w:rsidRPr="00BE5472">
        <w:rPr>
          <w:rFonts w:ascii="Times New Roman" w:hAnsi="Times New Roman" w:cs="Times New Roman"/>
          <w:lang w:val="it-IT"/>
        </w:rPr>
        <w:t>(I1)</w:t>
      </w:r>
    </w:p>
    <w:p w14:paraId="2B62F2BA" w14:textId="54529782"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…mogli smo povećati prisutnost na destinacijama koje dobro poznajemo jer smo tamo već imali nekoliko svojih hotela.</w:t>
      </w:r>
      <w:r w:rsidRPr="00BE5472">
        <w:rPr>
          <w:rFonts w:ascii="Times New Roman" w:hAnsi="Times New Roman" w:cs="Times New Roman"/>
          <w:lang w:val="it-IT"/>
        </w:rPr>
        <w:t xml:space="preserve"> (I2)</w:t>
      </w:r>
    </w:p>
    <w:p w14:paraId="0E06A5CF"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Sličan pogled prisutan je i kod drugih ispitanika, koji naglašavaju stvaranje dodane vrijednosti kao ključni element odluke o preuzimanju:</w:t>
      </w:r>
    </w:p>
    <w:p w14:paraId="3013C0AE" w14:textId="24E27D32"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lastRenderedPageBreak/>
        <w:t>Prilike za kreiranje dodane vrijednosti…nije se radilo samo o financijama ili nekakvoj dobiti….</w:t>
      </w:r>
      <w:r w:rsidRPr="00BE5472">
        <w:rPr>
          <w:rFonts w:ascii="Times New Roman" w:hAnsi="Times New Roman" w:cs="Times New Roman"/>
          <w:lang w:val="it-IT"/>
        </w:rPr>
        <w:t>. (I3)</w:t>
      </w:r>
    </w:p>
    <w:p w14:paraId="00D39BD2" w14:textId="5FE9D6BB"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Cilj nije bio samo preuzimanje, nego integracija koja stvara veću vrijednost nego samostalno poslovanje. </w:t>
      </w:r>
      <w:r w:rsidRPr="00BE5472">
        <w:rPr>
          <w:rFonts w:ascii="Times New Roman" w:hAnsi="Times New Roman" w:cs="Times New Roman"/>
          <w:lang w:val="it-IT"/>
        </w:rPr>
        <w:t>(I4)</w:t>
      </w:r>
    </w:p>
    <w:p w14:paraId="510D7B24" w14:textId="28EAA19E"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Uvijek postoji nekakav motiv da bi stvari bile bolje, da bi optimizirao postojeće, odnosno da bi ostvario nekakvu mogućnost, odnosno došao u poziciju da možeš rasti, da bi dao neku dodanu vrijednost. To je ključni razlog.</w:t>
      </w:r>
      <w:r w:rsidRPr="00BE5472">
        <w:rPr>
          <w:rFonts w:ascii="Times New Roman" w:hAnsi="Times New Roman" w:cs="Times New Roman"/>
          <w:lang w:val="it-IT"/>
        </w:rPr>
        <w:t xml:space="preserve"> (I5)</w:t>
      </w:r>
    </w:p>
    <w:p w14:paraId="0D39E23C"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Ovakve izjave ukazuju na to da se procesi spajanja i preuzimanja u hrvatskom hotelijerstvu promatraju kao strateški alat rasta, kojim se nastoji osigurati dugoročna i odgovorna održivost i konkurentska prednost. Ispitanici pritom ističu da su financijski razlozi važni, ali rijetko presudni bez jasnog strateškog opravdanja:</w:t>
      </w:r>
    </w:p>
    <w:p w14:paraId="00A8C1B0" w14:textId="57419A75"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Spajanje se dogodilo zbog kombinacije tržišnog širenja, odnosno jačanja prisutnosti u regiji</w:t>
      </w:r>
      <w:r w:rsidRPr="00BE5472">
        <w:rPr>
          <w:rFonts w:ascii="Times New Roman" w:hAnsi="Times New Roman" w:cs="Times New Roman"/>
          <w:lang w:val="it-IT"/>
        </w:rPr>
        <w:t>. (I6)</w:t>
      </w:r>
    </w:p>
    <w:p w14:paraId="651B1EA7" w14:textId="51112C8D"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Spajanje se dogodilo</w:t>
      </w:r>
      <w:r w:rsidRPr="00BE5472">
        <w:rPr>
          <w:rFonts w:ascii="Times New Roman" w:hAnsi="Times New Roman" w:cs="Times New Roman"/>
          <w:lang w:val="it-IT"/>
        </w:rPr>
        <w:t xml:space="preserve"> p</w:t>
      </w:r>
      <w:r w:rsidRPr="00BE5472">
        <w:rPr>
          <w:rFonts w:ascii="Times New Roman" w:hAnsi="Times New Roman" w:cs="Times New Roman"/>
          <w:i/>
          <w:lang w:val="it-IT"/>
        </w:rPr>
        <w:t xml:space="preserve">rije svega, radi tržišnog širenja, željeli smo povećati prisutnost na ključnim destinacijama u kojima već poslujemo i ojačati svoj tržišni udio. Drugo, tu su bile sinergije kroz bolje upravljanje resursima, koordinaciju timova i operativne procese mogli smo postići učinkovitije poslovanje. I treće, financijski razlozi, preuzimanje je omogućilo ostvarenje dodatne vrijednosti kroz optimizaciju i bolje iskorištavanje postojeće imovine. </w:t>
      </w:r>
      <w:r w:rsidRPr="00BE5472">
        <w:rPr>
          <w:rFonts w:ascii="Times New Roman" w:hAnsi="Times New Roman" w:cs="Times New Roman"/>
          <w:lang w:val="it-IT"/>
        </w:rPr>
        <w:t>(I7)</w:t>
      </w:r>
    </w:p>
    <w:p w14:paraId="5C73E2D4" w14:textId="2A7B68A8"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Ciljevi spajanja bili su tržišno širenje, sinergija, ekonomija razmjera, investicijske prilike sa visokim povratom, diverzifikacija portfelja. Sinergije smo vidjeli prvenstveno u operativnom i financijskom dijelu kroz zajedničku nabavu, centralizaciju financija i kontrolinga, objedinjene IT sustave te prodaju i marketing. </w:t>
      </w:r>
      <w:r w:rsidRPr="00BE5472">
        <w:rPr>
          <w:rFonts w:ascii="Times New Roman" w:hAnsi="Times New Roman" w:cs="Times New Roman"/>
          <w:lang w:val="it-IT"/>
        </w:rPr>
        <w:t>(I8)</w:t>
      </w:r>
    </w:p>
    <w:p w14:paraId="64D1D57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Ovi rezultati jasno potvrđuju da je racionalnost procesa spajanja i preuzimanja u hrvatskom hotelijerstvu ukorijenjena u širem strateškom okviru, unutar kojeg se ekonomski aspekti promatraju kao sastavni dio dugoročnih razvojnih ciljeva organizacije što implicira i širu društvenu-odgovornost poduzeća. </w:t>
      </w:r>
    </w:p>
    <w:p w14:paraId="60F789D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Druga podtema unutar ove tematske cjeline odnosi se na način na koji su ispitanici procjenjivali vrijednost i rizike ciljnog društva prije donošenja odluke o preuzimanju.</w:t>
      </w:r>
    </w:p>
    <w:p w14:paraId="136F620F" w14:textId="77777777" w:rsidR="00120B4F" w:rsidRPr="00BE5472" w:rsidRDefault="00120B4F" w:rsidP="00120B4F">
      <w:pPr>
        <w:spacing w:line="360" w:lineRule="auto"/>
        <w:jc w:val="both"/>
        <w:rPr>
          <w:rFonts w:ascii="Times New Roman" w:hAnsi="Times New Roman" w:cs="Times New Roman"/>
          <w:sz w:val="24"/>
          <w:szCs w:val="24"/>
          <w:lang w:val="it-IT"/>
        </w:rPr>
      </w:pPr>
    </w:p>
    <w:p w14:paraId="66E49E25" w14:textId="77777777" w:rsidR="007C596F" w:rsidRDefault="007C596F" w:rsidP="00662850">
      <w:pPr>
        <w:rPr>
          <w:rFonts w:ascii="Times New Roman" w:hAnsi="Times New Roman" w:cs="Times New Roman"/>
          <w:sz w:val="24"/>
          <w:szCs w:val="24"/>
          <w:lang w:val="it-IT"/>
        </w:rPr>
      </w:pPr>
    </w:p>
    <w:p w14:paraId="206BB503" w14:textId="77777777" w:rsidR="007C596F" w:rsidRDefault="007C596F" w:rsidP="00662850">
      <w:pPr>
        <w:rPr>
          <w:rFonts w:ascii="Times New Roman" w:hAnsi="Times New Roman" w:cs="Times New Roman"/>
          <w:sz w:val="24"/>
          <w:szCs w:val="24"/>
          <w:lang w:val="it-IT"/>
        </w:rPr>
      </w:pPr>
    </w:p>
    <w:p w14:paraId="67A56D00" w14:textId="77777777" w:rsidR="007C596F" w:rsidRDefault="007C596F" w:rsidP="00662850">
      <w:pPr>
        <w:rPr>
          <w:rFonts w:ascii="Times New Roman" w:hAnsi="Times New Roman" w:cs="Times New Roman"/>
          <w:sz w:val="24"/>
          <w:szCs w:val="24"/>
          <w:lang w:val="it-IT"/>
        </w:rPr>
      </w:pPr>
    </w:p>
    <w:p w14:paraId="33119D56" w14:textId="5F0BED8F" w:rsidR="00120B4F" w:rsidRPr="00BE5472" w:rsidRDefault="00120B4F" w:rsidP="00662850">
      <w:pPr>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Procjena vrijednosti i rizika ciljnog društva</w:t>
      </w:r>
    </w:p>
    <w:p w14:paraId="7FB6C202" w14:textId="48C5F539"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Analiza pokazuje da se procjena nije temeljila isključivo na financijskim pokazateljima, već je uključivala niz kvalitativnih i strateških elemenata, osobito vezanih uz destinaciju, imovinu i razvojni potencijal.</w:t>
      </w:r>
      <w:r w:rsidR="007C596F">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Ispitanici kao ključne čimbenike procjene navode vrijednost lokacije i dugoročni potencijal rasta, što se jasno očituje u njihovim izjavama:</w:t>
      </w:r>
    </w:p>
    <w:p w14:paraId="213DC0A3" w14:textId="2A8C5E53"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Prvo, vrijednost destinacije. Zatim potencijal rasta, a tek onda financijski pokazatelji</w:t>
      </w:r>
      <w:r w:rsidRPr="00BE5472">
        <w:rPr>
          <w:rFonts w:ascii="Times New Roman" w:hAnsi="Times New Roman" w:cs="Times New Roman"/>
          <w:lang w:val="it-IT"/>
        </w:rPr>
        <w:t>. (I1)</w:t>
      </w:r>
    </w:p>
    <w:p w14:paraId="5913F51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Financijske analize i prethodne procjene pritom se opisuju kao nužne, ali nedovoljne, osobito bez detaljne dubinske analize:</w:t>
      </w:r>
    </w:p>
    <w:p w14:paraId="6DAD94CB" w14:textId="5DDA4BB5"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Prethodne procjene i financijske analize bile su izuzetno korisne i neophodne za donošenje odluke, ali bez due dilligencea ne bismo imali potpunu sliku</w:t>
      </w:r>
      <w:r w:rsidRPr="00BE5472">
        <w:rPr>
          <w:rFonts w:ascii="Times New Roman" w:hAnsi="Times New Roman" w:cs="Times New Roman"/>
          <w:lang w:val="it-IT"/>
        </w:rPr>
        <w:t>. (I2)</w:t>
      </w:r>
    </w:p>
    <w:p w14:paraId="3732271C" w14:textId="2504B825"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Ključni čimbenik bila je procjena budućih novčanih tijekova </w:t>
      </w:r>
      <w:r w:rsidR="00F87611" w:rsidRPr="00BE5472">
        <w:rPr>
          <w:rFonts w:ascii="Times New Roman" w:hAnsi="Times New Roman" w:cs="Times New Roman"/>
          <w:i/>
          <w:lang w:val="it-IT"/>
        </w:rPr>
        <w:t>tijekom</w:t>
      </w:r>
      <w:r w:rsidRPr="00BE5472">
        <w:rPr>
          <w:rFonts w:ascii="Times New Roman" w:hAnsi="Times New Roman" w:cs="Times New Roman"/>
          <w:i/>
          <w:lang w:val="it-IT"/>
        </w:rPr>
        <w:t xml:space="preserve"> nekoliko scenarija. Projekcije su pripremali interni timovi (odjel fina</w:t>
      </w:r>
      <w:r w:rsidR="006170A1" w:rsidRPr="00BE5472">
        <w:rPr>
          <w:rFonts w:ascii="Times New Roman" w:hAnsi="Times New Roman" w:cs="Times New Roman"/>
          <w:i/>
          <w:lang w:val="it-IT"/>
        </w:rPr>
        <w:t>n</w:t>
      </w:r>
      <w:r w:rsidRPr="00BE5472">
        <w:rPr>
          <w:rFonts w:ascii="Times New Roman" w:hAnsi="Times New Roman" w:cs="Times New Roman"/>
          <w:i/>
          <w:lang w:val="it-IT"/>
        </w:rPr>
        <w:t xml:space="preserve">cija, kontroling...) uz podršku Uprave, a po potrebi i vanjskih savjetnika. </w:t>
      </w:r>
      <w:r w:rsidRPr="00BE5472">
        <w:rPr>
          <w:rFonts w:ascii="Times New Roman" w:hAnsi="Times New Roman" w:cs="Times New Roman"/>
          <w:lang w:val="it-IT"/>
        </w:rPr>
        <w:t>(I3)</w:t>
      </w:r>
    </w:p>
    <w:p w14:paraId="1A131E4A" w14:textId="21300201"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…Vanjske procjene služile su kao referenca, ali odluka se temeljila na našim DCF </w:t>
      </w:r>
      <w:r w:rsidR="001568A2">
        <w:rPr>
          <w:rFonts w:ascii="Times New Roman" w:hAnsi="Times New Roman" w:cs="Times New Roman"/>
          <w:i/>
          <w:lang w:val="it-IT"/>
        </w:rPr>
        <w:t>(Discounted Cash Flow)</w:t>
      </w:r>
      <w:r w:rsidR="001568A2" w:rsidRPr="00CB5DA6">
        <w:rPr>
          <w:rFonts w:ascii="Times New Roman" w:hAnsi="Times New Roman" w:cs="Times New Roman"/>
          <w:i/>
          <w:lang w:val="it-IT"/>
        </w:rPr>
        <w:t xml:space="preserve"> </w:t>
      </w:r>
      <w:r w:rsidRPr="00BE5472">
        <w:rPr>
          <w:rFonts w:ascii="Times New Roman" w:hAnsi="Times New Roman" w:cs="Times New Roman"/>
          <w:i/>
          <w:lang w:val="it-IT"/>
        </w:rPr>
        <w:t xml:space="preserve">modelima, scenarijskim analizama i procjeni kako se objekt uklapa u portfelj i dugoročnu strategiju poduzeća. </w:t>
      </w:r>
      <w:r w:rsidRPr="00BE5472">
        <w:rPr>
          <w:rFonts w:ascii="Times New Roman" w:hAnsi="Times New Roman" w:cs="Times New Roman"/>
          <w:lang w:val="it-IT"/>
        </w:rPr>
        <w:t>(I4)</w:t>
      </w:r>
    </w:p>
    <w:p w14:paraId="6A7DAA7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su također naglasili da su im procjene omogućile prepoznavanje važnih sinergijskih učinaka procesa spajanja i preuzimanja:</w:t>
      </w:r>
    </w:p>
    <w:p w14:paraId="7200754F" w14:textId="0323769D"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Na temelju analiza mogli smo prepoznati sinergijske učinke, primjerice gdje se kroz zajedničku nabavu, prodaju, IT sustave ili organizaciju rada mogu smanjiti troškovi i pojednostavniti procesi. </w:t>
      </w:r>
      <w:r w:rsidRPr="00BE5472">
        <w:rPr>
          <w:rFonts w:ascii="Times New Roman" w:hAnsi="Times New Roman" w:cs="Times New Roman"/>
          <w:lang w:val="it-IT"/>
        </w:rPr>
        <w:t>(I5)</w:t>
      </w:r>
    </w:p>
    <w:p w14:paraId="16A143C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Osim formalnih financijskih modela i vanjskih procjena, ispitanici ističu važnost internog benchmarkinga kao ključnog elementa procjene vrijednosti ciljnog društva. Procjene se pritom nisu temeljile isključivo na teorijskim ili tržišnim usporedbama, već na usporedbi s postojećim objektima unutar vlastitog portfelja, često u istoj ili vrlo sličnoj destinaciji. Takav pristup omogućio je realističniju procjenu budućih performansi i povećao vjerodostojnost projekcija, osobito u komunikaciji s financijskim institucijama.</w:t>
      </w:r>
    </w:p>
    <w:p w14:paraId="43B0CD87" w14:textId="0AC26F12"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“Naše su analize bile, pod navodnicima, „genijalne“ iz dva razloga. Prvi je taj što su matematički savršeno točne, što je minimum minimuma. Ali prava vrijednost dolazi iz onoga što zovemo benchmarking. Kad ja bankama predstavljam neki veliki projekt od preko 100 milijuna eura, ne branim ga pričama o nekom hotelu na Bahamima koji slično posluje. Mi koristimo naše interne podatke iz portfelja u krugu od par stotina metara. To naše brojke čini </w:t>
      </w:r>
      <w:r w:rsidRPr="00BE5472">
        <w:rPr>
          <w:rFonts w:ascii="Times New Roman" w:hAnsi="Times New Roman" w:cs="Times New Roman"/>
          <w:i/>
          <w:lang w:val="it-IT"/>
        </w:rPr>
        <w:lastRenderedPageBreak/>
        <w:t>uvjerljivima jer su utemeljene na stvarnom iskustvu i ogromnoj bazi podataka koju smo godinama "roštali”.</w:t>
      </w:r>
      <w:r w:rsidR="00953045" w:rsidRPr="00BE5472">
        <w:rPr>
          <w:rFonts w:ascii="Times New Roman" w:hAnsi="Times New Roman" w:cs="Times New Roman"/>
          <w:i/>
          <w:lang w:val="it-IT"/>
        </w:rPr>
        <w:t xml:space="preserve"> </w:t>
      </w:r>
      <w:r w:rsidRPr="00BE5472">
        <w:rPr>
          <w:rFonts w:ascii="Times New Roman" w:hAnsi="Times New Roman" w:cs="Times New Roman"/>
          <w:lang w:val="it-IT"/>
        </w:rPr>
        <w:t>(I6)</w:t>
      </w:r>
    </w:p>
    <w:p w14:paraId="70C9976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Ponovno, ovakav pristup ukazuje na to da se procjena vrijednosti u procesima spajanja i preuzimanja ne oslanja isključivo na standardizirane financijske alate, već i na organizacijsko znanje i iskustvo akvizitera. Time procjena vrijednosti postaje dio šire strateške kompetencije poduzeća, a ne samo tehnički financijski zadatak.</w:t>
      </w:r>
    </w:p>
    <w:p w14:paraId="00C1F85A" w14:textId="04D98A16"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Uloga dubinske analize ističe se kao ključna za identifikaciju rizika koji često nisu vidljivi u početnim fazama procesa:</w:t>
      </w:r>
    </w:p>
    <w:p w14:paraId="2C615583" w14:textId="0ABDE124"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lang w:val="it-IT"/>
        </w:rPr>
        <w:t>“</w:t>
      </w:r>
      <w:r w:rsidRPr="00BE5472">
        <w:rPr>
          <w:rFonts w:ascii="Times New Roman" w:hAnsi="Times New Roman" w:cs="Times New Roman"/>
          <w:i/>
          <w:lang w:val="it-IT"/>
        </w:rPr>
        <w:t>Due dilligence</w:t>
      </w:r>
      <w:r w:rsidR="00953045" w:rsidRPr="00BE5472">
        <w:rPr>
          <w:rFonts w:ascii="Times New Roman" w:hAnsi="Times New Roman" w:cs="Times New Roman"/>
          <w:i/>
          <w:lang w:val="it-IT"/>
        </w:rPr>
        <w:t>”</w:t>
      </w:r>
      <w:r w:rsidRPr="00BE5472">
        <w:rPr>
          <w:rFonts w:ascii="Times New Roman" w:hAnsi="Times New Roman" w:cs="Times New Roman"/>
          <w:i/>
          <w:lang w:val="it-IT"/>
        </w:rPr>
        <w:t>, posebno tehnički i operativni, bio je presudan jer su se stvarni izazovi pokazali tek nakon preuzimanja</w:t>
      </w:r>
      <w:r w:rsidRPr="00BE5472">
        <w:rPr>
          <w:rFonts w:ascii="Times New Roman" w:hAnsi="Times New Roman" w:cs="Times New Roman"/>
          <w:lang w:val="it-IT"/>
        </w:rPr>
        <w:t>. (I7)</w:t>
      </w:r>
    </w:p>
    <w:p w14:paraId="2D1A3AA4" w14:textId="68F9EC0F" w:rsidR="00120B4F" w:rsidRPr="00BE5472" w:rsidRDefault="00120B4F" w:rsidP="00C36010">
      <w:pPr>
        <w:spacing w:after="120" w:line="360" w:lineRule="auto"/>
        <w:ind w:left="851"/>
        <w:jc w:val="both"/>
        <w:rPr>
          <w:rFonts w:ascii="Times New Roman" w:hAnsi="Times New Roman" w:cs="Times New Roman"/>
          <w:i/>
          <w:lang w:val="it-IT"/>
        </w:rPr>
      </w:pPr>
      <w:r w:rsidRPr="00BE5472">
        <w:rPr>
          <w:rFonts w:ascii="Times New Roman" w:hAnsi="Times New Roman" w:cs="Times New Roman"/>
          <w:i/>
          <w:lang w:val="it-IT"/>
        </w:rPr>
        <w:t xml:space="preserve">Ključni čimbenici u procjeni poduzeća mete prije preuzimanja obuhvaćali su rezultate analize </w:t>
      </w:r>
      <w:r w:rsidR="00953045" w:rsidRPr="00BE5472">
        <w:rPr>
          <w:rFonts w:ascii="Times New Roman" w:hAnsi="Times New Roman" w:cs="Times New Roman"/>
          <w:i/>
          <w:lang w:val="it-IT"/>
        </w:rPr>
        <w:t>“</w:t>
      </w:r>
      <w:r w:rsidRPr="00BE5472">
        <w:rPr>
          <w:rFonts w:ascii="Times New Roman" w:hAnsi="Times New Roman" w:cs="Times New Roman"/>
          <w:i/>
          <w:lang w:val="it-IT"/>
        </w:rPr>
        <w:t>due dilligence</w:t>
      </w:r>
      <w:r w:rsidR="00953045" w:rsidRPr="00BE5472">
        <w:rPr>
          <w:rFonts w:ascii="Times New Roman" w:hAnsi="Times New Roman" w:cs="Times New Roman"/>
          <w:i/>
          <w:lang w:val="it-IT"/>
        </w:rPr>
        <w:t>”</w:t>
      </w:r>
      <w:r w:rsidRPr="00BE5472">
        <w:rPr>
          <w:rFonts w:ascii="Times New Roman" w:hAnsi="Times New Roman" w:cs="Times New Roman"/>
          <w:i/>
          <w:lang w:val="it-IT"/>
        </w:rPr>
        <w:t xml:space="preserve">, isplativost kupnje, izradu feasibility studije te procjenu povoljne kupnje s obzirom na performanse koji se mogu isporučiti nakon preuzimanja. </w:t>
      </w:r>
      <w:r w:rsidRPr="00BE5472">
        <w:rPr>
          <w:rFonts w:ascii="Times New Roman" w:hAnsi="Times New Roman" w:cs="Times New Roman"/>
          <w:lang w:val="it-IT"/>
        </w:rPr>
        <w:t>(I8)</w:t>
      </w:r>
    </w:p>
    <w:p w14:paraId="62485F7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također naglašavaju važnost scenarijskog planiranja i procjene budućeg poslovanja, čime se procjena ciljnog društva proširuje s kratkoročne financijske perspektive na dugoročnu održivost, uz naglasak na rizike koje nosi eventualna loša procjena:</w:t>
      </w:r>
    </w:p>
    <w:p w14:paraId="0D8304B4" w14:textId="34FBF8CD"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Procjena budućeg poslovanja bila je ključna – gledali smo gdje objekt može biti za pet do deset godina</w:t>
      </w:r>
      <w:r w:rsidRPr="00BE5472">
        <w:rPr>
          <w:rFonts w:ascii="Times New Roman" w:hAnsi="Times New Roman" w:cs="Times New Roman"/>
          <w:lang w:val="it-IT"/>
        </w:rPr>
        <w:t>. (I9)</w:t>
      </w:r>
    </w:p>
    <w:p w14:paraId="76582C7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pritom naglašavaju da ni najdetaljnije analize ne uklanjaju inherentnu neizvjesnost procesa spajanja i preuzimanja, već služe kao alat za upravljanje rizicima i pripremu organizacije za fazu nakon preuzimanja.</w:t>
      </w:r>
    </w:p>
    <w:p w14:paraId="2FAF4247" w14:textId="1698527E"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 Ali ono što je najvažnije, a ujedno i najopasnije, jest trenutak kad projiciramo budućnost. Tu je šansa da sami sebe prevarimo, ne namjerno nego kroz neku vlastitu dioptriju, ogromna. </w:t>
      </w:r>
      <w:r w:rsidRPr="00BE5472">
        <w:rPr>
          <w:rFonts w:ascii="Times New Roman" w:hAnsi="Times New Roman" w:cs="Times New Roman"/>
          <w:lang w:val="it-IT"/>
        </w:rPr>
        <w:t>(I10)</w:t>
      </w:r>
    </w:p>
    <w:p w14:paraId="718E5E4E" w14:textId="05F54A3F"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Na kraju, ta procjena je stvarno važna – ako se pogriješi, gubi se potencijal koji dolazi s preuzimanjem.</w:t>
      </w:r>
      <w:r w:rsidRPr="00BE5472">
        <w:rPr>
          <w:rFonts w:ascii="Times New Roman" w:hAnsi="Times New Roman" w:cs="Times New Roman"/>
          <w:lang w:val="it-IT"/>
        </w:rPr>
        <w:t xml:space="preserve"> (I11)</w:t>
      </w:r>
    </w:p>
    <w:p w14:paraId="7DC4BF3B" w14:textId="34610A5C" w:rsidR="00120B4F" w:rsidRPr="00BE5472" w:rsidRDefault="00120B4F" w:rsidP="00C36010">
      <w:pPr>
        <w:spacing w:after="120"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 Iskreno, dobra analiza ne uklanja rizik, ali jasno pokaže gdje su granice prihvatljivog i na što se treba posebno pripremiti nakon preuzimanja. </w:t>
      </w:r>
      <w:r w:rsidRPr="00BE5472">
        <w:rPr>
          <w:rFonts w:ascii="Times New Roman" w:hAnsi="Times New Roman" w:cs="Times New Roman"/>
          <w:lang w:val="it-IT"/>
        </w:rPr>
        <w:t>(I12)</w:t>
      </w:r>
    </w:p>
    <w:p w14:paraId="33303D4E" w14:textId="70CC0AF5"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konačnici, zaključuje se da rezultati ukazuju na to da se procjena vrijednosti i rizika u procesima spajanja i preuzimanja u hrvatskom hotelijerstvu odvija kao višedimenzionalan proces, u kojem se financijski, operativni i strateški aspekti međusobno nadopunjuju. Takav </w:t>
      </w:r>
      <w:r w:rsidRPr="00BE5472">
        <w:rPr>
          <w:rFonts w:ascii="Times New Roman" w:hAnsi="Times New Roman" w:cs="Times New Roman"/>
          <w:sz w:val="24"/>
          <w:szCs w:val="24"/>
          <w:lang w:val="it-IT"/>
        </w:rPr>
        <w:lastRenderedPageBreak/>
        <w:t>pristup omogućuje informiranije donošenje odluka, ali istodobno otkriva složenost i neizvjesnost kojom se mogu opisati ovi procesi.</w:t>
      </w:r>
      <w:r w:rsidR="00090FC4">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Slijedi razrada i opis druge identificirane teme.</w:t>
      </w:r>
    </w:p>
    <w:p w14:paraId="5CACAD2E" w14:textId="77777777" w:rsidR="00120B4F" w:rsidRDefault="00120B4F" w:rsidP="006A5320">
      <w:pPr>
        <w:pStyle w:val="Heading3"/>
        <w:rPr>
          <w:rFonts w:ascii="Times New Roman" w:hAnsi="Times New Roman" w:cs="Times New Roman"/>
          <w:lang w:val="it-IT"/>
        </w:rPr>
      </w:pPr>
      <w:bookmarkStart w:id="165" w:name="_Toc241865161"/>
      <w:r w:rsidRPr="00BE5472">
        <w:rPr>
          <w:rFonts w:ascii="Times New Roman" w:hAnsi="Times New Roman" w:cs="Times New Roman"/>
          <w:lang w:val="it-IT"/>
        </w:rPr>
        <w:t>5.1.2. Operativna i organizacijska integracija nakon akvizicije</w:t>
      </w:r>
      <w:bookmarkEnd w:id="165"/>
    </w:p>
    <w:p w14:paraId="1F637D2F" w14:textId="77777777" w:rsidR="000A7098" w:rsidRPr="000A7098" w:rsidRDefault="000A7098" w:rsidP="000A7098">
      <w:pPr>
        <w:rPr>
          <w:lang w:val="it-IT"/>
        </w:rPr>
      </w:pPr>
    </w:p>
    <w:p w14:paraId="677CA15D" w14:textId="10E5E8C2"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Operativna i organizacijska integracija nakon preuzimanja predstavlja jednu od najzahtjevnijih faza procesa spajanja i preuzimanja u hrvatskom hotelijerstvu. Analiza odgovora ispitanika pokazuje da se upravo u ovoj fazi strateške odluke pretočene u formalne ugovore suočavaju s praktičnim izazovima provedbe, pri čemu uspješnost</w:t>
      </w:r>
      <w:r w:rsidR="009F6899" w:rsidRPr="00BE5472">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integracije u velikoj mjeri određuje stvarne učinke spajanja ili preuzimanja.</w:t>
      </w:r>
    </w:p>
    <w:p w14:paraId="33475CF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Ispitanici integraciju opisuju kao složen i višeslojan proces koji obuhvaća usklađivanje organizacijskih struktura, operativnih procedura, upravljačkih modela i poslovnih standarda. Poseban naglasak stavlja se na potrebu jasnog definiranja odgovornosti, hijerarhije i načina donošenja odluka u novonastalom organizacijskom okruženju. Neujednačeni procesi, nejasne uloge i nedovoljna koordinacija između organizacijskih razina identificirani su kao čimbenici koji mogu značajno otežati provedbu integracije. </w:t>
      </w:r>
    </w:p>
    <w:p w14:paraId="53C5D342" w14:textId="452D9DE6"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Odgovori ispitanika upućuju i na važnost tempa integracije, pri čemu se ističe potreba za ravnotežom između brzine implementacije i sposobnosti organizacije da apsorbira organizacijske i operativne promjene. Prebrza integracija percipira se kao potencijalni izvor operativnih poremećaja, dok prespora integracija može dovesti do gubitka fokusa, neučinkovitosti i zadržavanja paralelnih struktura</w:t>
      </w:r>
      <w:r w:rsidR="009F6899"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što je potencijalno veliki rizik i predstavalja opasnost za poduzeće.</w:t>
      </w:r>
    </w:p>
    <w:p w14:paraId="674663E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tom kontekstu, operativna i organizacijska integracija ne promatra se kao jednokratni događaj, već kao kontinuirani proces prilagodbe, koji zahtijeva sustavno upravljanje, jasnu komunikaciju i aktivnu ulogu menadžmenta. Ovi rezultati govore da se stvarna vrijednost procesa spajanja i preuzimanja u velikoj mjeri realizira upravo kroz kvalitetu provedbe integracijskih aktivnosti, što ovu fazu čini ključnom za dugoročnu uspješnost preuzimanja.</w:t>
      </w:r>
    </w:p>
    <w:p w14:paraId="1273F92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okviru ove tematske cjeline identificirana je podtema koja se odnosi na postakvizicijsku organizacijsku integraciju, a koja se u nastavku detaljnije razrađuje.</w:t>
      </w:r>
    </w:p>
    <w:p w14:paraId="062A0B4A" w14:textId="77777777" w:rsidR="00120B4F" w:rsidRPr="00BE5472" w:rsidRDefault="00120B4F" w:rsidP="00120B4F">
      <w:pPr>
        <w:spacing w:line="360" w:lineRule="auto"/>
        <w:jc w:val="both"/>
        <w:rPr>
          <w:rFonts w:ascii="Times New Roman" w:hAnsi="Times New Roman" w:cs="Times New Roman"/>
          <w:sz w:val="24"/>
          <w:szCs w:val="24"/>
          <w:lang w:val="it-IT"/>
        </w:rPr>
      </w:pPr>
    </w:p>
    <w:p w14:paraId="3FB29824" w14:textId="77777777" w:rsidR="00D6389F" w:rsidRDefault="00D6389F" w:rsidP="006A5320">
      <w:pPr>
        <w:pStyle w:val="Heading4"/>
        <w:rPr>
          <w:rFonts w:ascii="Times New Roman" w:hAnsi="Times New Roman" w:cs="Times New Roman"/>
          <w:lang w:val="it-IT"/>
        </w:rPr>
        <w:sectPr w:rsidR="00D6389F" w:rsidSect="00120B4F">
          <w:pgSz w:w="11909" w:h="16834" w:code="9"/>
          <w:pgMar w:top="1440" w:right="1440" w:bottom="1440" w:left="1440" w:header="720" w:footer="720" w:gutter="0"/>
          <w:cols w:space="720"/>
          <w:docGrid w:linePitch="360"/>
        </w:sectPr>
      </w:pPr>
    </w:p>
    <w:p w14:paraId="15FFB940" w14:textId="77777777" w:rsidR="00120B4F" w:rsidRDefault="00120B4F" w:rsidP="006A5320">
      <w:pPr>
        <w:pStyle w:val="Heading4"/>
        <w:rPr>
          <w:rFonts w:ascii="Times New Roman" w:hAnsi="Times New Roman" w:cs="Times New Roman"/>
          <w:lang w:val="it-IT"/>
        </w:rPr>
      </w:pPr>
      <w:bookmarkStart w:id="166" w:name="_Toc241865162"/>
      <w:r w:rsidRPr="00BE5472">
        <w:rPr>
          <w:rFonts w:ascii="Times New Roman" w:hAnsi="Times New Roman" w:cs="Times New Roman"/>
          <w:lang w:val="it-IT"/>
        </w:rPr>
        <w:lastRenderedPageBreak/>
        <w:t>5.1.2.1. Postakvizicijska organizacijska integracija</w:t>
      </w:r>
      <w:bookmarkEnd w:id="166"/>
    </w:p>
    <w:p w14:paraId="26782A2F" w14:textId="77777777" w:rsidR="00D6389F" w:rsidRPr="00D6389F" w:rsidRDefault="00D6389F" w:rsidP="00D6389F">
      <w:pPr>
        <w:rPr>
          <w:lang w:val="it-IT"/>
        </w:rPr>
      </w:pPr>
    </w:p>
    <w:p w14:paraId="0E729BE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Analiza odgovora ispitanika pokazuje da se postakvizicijska organizacijska integracija percipira kao ključna faza u kojoj se strateške odluke operacionaliziraju kroz konkretne organizacijske i upravljačke promjene. Ispitanici ističu da integracija započinje jasnim postavljanjem organizacijske strukture, upravljačkih mehanizama i razvojnih planova, pri čemu se naglasak stavlja na usklađivanje poslovnih procesa i standarda unutar novonastalog poslovnog sustava.</w:t>
      </w:r>
    </w:p>
    <w:p w14:paraId="5DD3A39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tom kontekstu, više ispitanika naglašava važnost ranog definiranja organizacije i odgovornosti:</w:t>
      </w:r>
    </w:p>
    <w:p w14:paraId="1B38AECE" w14:textId="108EE482"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Ključno je prvo postaviti pravu organizaciju… ili bolje rečeno, strukturu koja stvarno funkcionira za novu kompaniju…</w:t>
      </w:r>
      <w:r w:rsidRPr="00BE5472">
        <w:rPr>
          <w:rFonts w:ascii="Times New Roman" w:hAnsi="Times New Roman" w:cs="Times New Roman"/>
          <w:lang w:val="it-IT"/>
        </w:rPr>
        <w:t xml:space="preserve"> </w:t>
      </w:r>
      <w:r w:rsidRPr="00BE5472">
        <w:rPr>
          <w:rFonts w:ascii="Times New Roman" w:hAnsi="Times New Roman" w:cs="Times New Roman"/>
          <w:i/>
          <w:lang w:val="it-IT"/>
        </w:rPr>
        <w:t>Kad kažem „prava organizacija“, mislim na to da svatko zna svoje uloge, odgovornosti i kako se odluke donose. Da se stvari ne gube u birokraciji i da timovi mogu brzo reagirat</w:t>
      </w:r>
      <w:r w:rsidR="009F6899" w:rsidRPr="00BE5472">
        <w:rPr>
          <w:rFonts w:ascii="Times New Roman" w:hAnsi="Times New Roman" w:cs="Times New Roman"/>
          <w:i/>
          <w:lang w:val="it-IT"/>
        </w:rPr>
        <w:t xml:space="preserve">i.  </w:t>
      </w:r>
      <w:r w:rsidRPr="00BE5472">
        <w:rPr>
          <w:rFonts w:ascii="Times New Roman" w:hAnsi="Times New Roman" w:cs="Times New Roman"/>
          <w:lang w:val="it-IT"/>
        </w:rPr>
        <w:t>(I1)</w:t>
      </w:r>
    </w:p>
    <w:p w14:paraId="6896D679" w14:textId="5348A8DF"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 Postavljanje prave organizacije i strategije… </w:t>
      </w:r>
      <w:r w:rsidR="009F6899" w:rsidRPr="00BE5472">
        <w:rPr>
          <w:rFonts w:ascii="Times New Roman" w:hAnsi="Times New Roman" w:cs="Times New Roman"/>
          <w:i/>
          <w:lang w:val="it-IT"/>
        </w:rPr>
        <w:t>I</w:t>
      </w:r>
      <w:r w:rsidRPr="00BE5472">
        <w:rPr>
          <w:rFonts w:ascii="Times New Roman" w:hAnsi="Times New Roman" w:cs="Times New Roman"/>
          <w:i/>
          <w:lang w:val="it-IT"/>
        </w:rPr>
        <w:t>nvesticijski plan, plan razvoja imovine i organizacija upravljanja bili su ključni</w:t>
      </w:r>
      <w:r w:rsidRPr="00BE5472">
        <w:rPr>
          <w:rFonts w:ascii="Times New Roman" w:hAnsi="Times New Roman" w:cs="Times New Roman"/>
          <w:lang w:val="it-IT"/>
        </w:rPr>
        <w:t>. (I2)</w:t>
      </w:r>
    </w:p>
    <w:p w14:paraId="7DAEBE4A" w14:textId="3BFC7847"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Prvo smo sagledali postojeće procese i strukture u oba društva, kako bi se vidjelo što funkcionira, a što treba uskladiti. </w:t>
      </w:r>
      <w:r w:rsidRPr="00BE5472">
        <w:rPr>
          <w:rFonts w:ascii="Times New Roman" w:hAnsi="Times New Roman" w:cs="Times New Roman"/>
          <w:lang w:val="it-IT"/>
        </w:rPr>
        <w:t>(I3)</w:t>
      </w:r>
    </w:p>
    <w:p w14:paraId="33C7110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Slično tome, integracija se opisuje kao proces koji zahtijeva vrlo detaljno planiranje svih operativnih koraka, pri čemu se uspješnost integracije izravno povezuje s razinom pripreme:</w:t>
      </w:r>
    </w:p>
    <w:p w14:paraId="76E4DBA2" w14:textId="5F300F52"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Kod integracije nam je uvijek bilo jasno da bez dobrog plana nema uspjeha. Dobro planiranje svih koraka operativnog spajanja bilo je ključno</w:t>
      </w:r>
      <w:r w:rsidRPr="00BE5472">
        <w:rPr>
          <w:rFonts w:ascii="Times New Roman" w:hAnsi="Times New Roman" w:cs="Times New Roman"/>
          <w:lang w:val="it-IT"/>
        </w:rPr>
        <w:t>. (I4)</w:t>
      </w:r>
    </w:p>
    <w:p w14:paraId="44CAC87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dodatno ističu kako je organizacijska integracija obuhvaćala i standardizaciju poslovnih procesa te analizu i restrukturiranje funkcija, osobito na razini korporativnih službi:</w:t>
      </w:r>
    </w:p>
    <w:p w14:paraId="327A6051" w14:textId="6A8AD88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Integracija standarda, analiza zaposlenih, poglavito kod korporativnih funkcija, promjena </w:t>
      </w:r>
      <w:r w:rsidR="009F6899" w:rsidRPr="00BE5472">
        <w:rPr>
          <w:rFonts w:ascii="Times New Roman" w:hAnsi="Times New Roman" w:cs="Times New Roman"/>
          <w:i/>
          <w:lang w:val="it-IT"/>
        </w:rPr>
        <w:t>‘</w:t>
      </w:r>
      <w:r w:rsidRPr="00BE5472">
        <w:rPr>
          <w:rFonts w:ascii="Times New Roman" w:hAnsi="Times New Roman" w:cs="Times New Roman"/>
          <w:i/>
          <w:lang w:val="it-IT"/>
        </w:rPr>
        <w:t>sales mixa</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i implementacija </w:t>
      </w:r>
      <w:r w:rsidR="009F6899" w:rsidRPr="00BE5472">
        <w:rPr>
          <w:rFonts w:ascii="Times New Roman" w:hAnsi="Times New Roman" w:cs="Times New Roman"/>
          <w:i/>
          <w:lang w:val="it-IT"/>
        </w:rPr>
        <w:t>‘</w:t>
      </w:r>
      <w:r w:rsidRPr="00BE5472">
        <w:rPr>
          <w:rFonts w:ascii="Times New Roman" w:hAnsi="Times New Roman" w:cs="Times New Roman"/>
          <w:i/>
          <w:lang w:val="it-IT"/>
        </w:rPr>
        <w:t>revenue management</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taktika bili su ključni koraci.</w:t>
      </w:r>
      <w:r w:rsidRPr="00BE5472">
        <w:rPr>
          <w:rFonts w:ascii="Times New Roman" w:hAnsi="Times New Roman" w:cs="Times New Roman"/>
          <w:lang w:val="it-IT"/>
        </w:rPr>
        <w:t xml:space="preserve"> (I5)</w:t>
      </w:r>
    </w:p>
    <w:p w14:paraId="1BCDD56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naglašavaju da integracija nije podrazumijevala jednostrano nametanje postojećih organizacijskih i operativnih rješenja društva preuzimatelja, već selektivan pristup usmjeren na preuzimanje i objedinjavanje najboljih praksi iz oba sustava:</w:t>
      </w:r>
    </w:p>
    <w:p w14:paraId="428078F4" w14:textId="7A80D765" w:rsidR="00120B4F" w:rsidRPr="00BE5472" w:rsidRDefault="00120B4F" w:rsidP="009F6899">
      <w:pPr>
        <w:spacing w:line="360" w:lineRule="auto"/>
        <w:jc w:val="both"/>
        <w:rPr>
          <w:rFonts w:ascii="Times New Roman" w:hAnsi="Times New Roman" w:cs="Times New Roman"/>
          <w:lang w:val="it-IT"/>
        </w:rPr>
      </w:pPr>
      <w:r w:rsidRPr="00BE5472">
        <w:rPr>
          <w:rFonts w:ascii="Times New Roman" w:hAnsi="Times New Roman" w:cs="Times New Roman"/>
          <w:i/>
          <w:lang w:val="it-IT"/>
        </w:rPr>
        <w:t>Zatim je uslijedila implementacija najboljih praksi</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uzeli smo ono što je dobro u društvu preuzimatelju i ono što je vrijedno iz target društva te pokušali spojiti u jedan učinkovit sustav.</w:t>
      </w:r>
      <w:r w:rsidRPr="00BE5472">
        <w:rPr>
          <w:rFonts w:ascii="Times New Roman" w:hAnsi="Times New Roman" w:cs="Times New Roman"/>
          <w:lang w:val="it-IT"/>
        </w:rPr>
        <w:t xml:space="preserve"> (I6)</w:t>
      </w:r>
    </w:p>
    <w:p w14:paraId="55AD0CB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 xml:space="preserve">Navedeno upućuje na integraciju kao proces organizacijskog učenja i prilagodbe, u kojem se nova struktura oblikuje kroz kombiniranje postojećih znanja i praksi, a ne kroz njihovu potpunu zamjenu. </w:t>
      </w:r>
    </w:p>
    <w:p w14:paraId="6ACEC8A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okviru operativne integracije, ispitanici posebno ističu važnost brze integracije prodajnih i marketinških funkcija, budući da se upravo kroz prodajne kanale vrlo brzo ostvaruju planirani sinergijski učinci.</w:t>
      </w:r>
    </w:p>
    <w:p w14:paraId="19F3F979" w14:textId="31E7CEAF"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Brza implementacija u prodajne kanale značila je da novi objekti odmah počnu prodavati svoje kapacitete preko postojećih kanala poduzeća, dakle preko web stranice, online platformi i direktne prodaje. To je uključivalo koordinaciju s timovima prodaje i marketinga, uvođenje zajedničkog sustava rezervacija i usklađivanje cijena i ponuda.</w:t>
      </w:r>
      <w:r w:rsidR="009F6899" w:rsidRPr="00BE5472">
        <w:rPr>
          <w:rFonts w:ascii="Times New Roman" w:hAnsi="Times New Roman" w:cs="Times New Roman"/>
          <w:i/>
          <w:lang w:val="it-IT"/>
        </w:rPr>
        <w:t xml:space="preserve"> </w:t>
      </w:r>
      <w:r w:rsidRPr="00BE5472">
        <w:rPr>
          <w:rFonts w:ascii="Times New Roman" w:hAnsi="Times New Roman" w:cs="Times New Roman"/>
          <w:lang w:val="it-IT"/>
        </w:rPr>
        <w:t>(I7)</w:t>
      </w:r>
    </w:p>
    <w:p w14:paraId="3FB64BEF" w14:textId="0AE414CA"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…Objekti su zatim uključeni u interne prodajne kanale: centralni rezervacijski sustav, </w:t>
      </w:r>
      <w:r w:rsidR="009F6899" w:rsidRPr="00BE5472">
        <w:rPr>
          <w:rFonts w:ascii="Times New Roman" w:hAnsi="Times New Roman" w:cs="Times New Roman"/>
          <w:i/>
          <w:lang w:val="it-IT"/>
        </w:rPr>
        <w:t>‘</w:t>
      </w:r>
      <w:r w:rsidRPr="00BE5472">
        <w:rPr>
          <w:rFonts w:ascii="Times New Roman" w:hAnsi="Times New Roman" w:cs="Times New Roman"/>
          <w:i/>
          <w:lang w:val="it-IT"/>
        </w:rPr>
        <w:t>revenue management</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i prodajne platforme, čime su postali dostupni svim tržištima i kanalima grupe. </w:t>
      </w:r>
      <w:r w:rsidRPr="00BE5472">
        <w:rPr>
          <w:rFonts w:ascii="Times New Roman" w:hAnsi="Times New Roman" w:cs="Times New Roman"/>
          <w:lang w:val="it-IT"/>
        </w:rPr>
        <w:t>(I8)</w:t>
      </w:r>
    </w:p>
    <w:p w14:paraId="4F8BD36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Spomenuto upućuje na to da se prodajna integracija percipira kao jedna od najbržih i najkonkretnijih poluga ostvarivanja sinergija nakon preuzimanja.</w:t>
      </w:r>
    </w:p>
    <w:p w14:paraId="423A36D7" w14:textId="6AFE2D92"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Unutar operativne i organizacijske integracije, ispitanici su kao posebno zahtjevan aspekt istaknuli usklađivanje i integraciju informacijskih sustava i IT platformi. Razlike u postojećim sustavima, razini digitalizacije i načinu korištenja tehnologije</w:t>
      </w:r>
      <w:r w:rsidR="009F6899"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često su predstavljale operativni izazov koji je imao izravan utjecaj na učinkovitost integracije poslovnih procesa.</w:t>
      </w:r>
    </w:p>
    <w:p w14:paraId="4E56ABD3" w14:textId="1AC3BEBD"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Oni su bili na kompletnoj na drugačijoj IT platformi. To je kompletna infrastruktura koja je bila drugačija. Mi dan danas imamo u paraleli dva različita sustava, recimo, dva različita PMS-a</w:t>
      </w:r>
      <w:r w:rsidR="00E47985">
        <w:rPr>
          <w:rFonts w:ascii="Times New Roman" w:hAnsi="Times New Roman" w:cs="Times New Roman"/>
          <w:i/>
          <w:lang w:val="it-IT"/>
        </w:rPr>
        <w:t xml:space="preserve"> (Property Management System)</w:t>
      </w:r>
      <w:r w:rsidRPr="00BE5472">
        <w:rPr>
          <w:rFonts w:ascii="Times New Roman" w:hAnsi="Times New Roman" w:cs="Times New Roman"/>
          <w:i/>
          <w:lang w:val="it-IT"/>
        </w:rPr>
        <w:t xml:space="preserve">. Mi smo na </w:t>
      </w:r>
      <w:r w:rsidR="009F6899" w:rsidRPr="00BE5472">
        <w:rPr>
          <w:rFonts w:ascii="Times New Roman" w:hAnsi="Times New Roman" w:cs="Times New Roman"/>
          <w:i/>
          <w:lang w:val="it-IT"/>
        </w:rPr>
        <w:t>‘</w:t>
      </w:r>
      <w:r w:rsidRPr="00BE5472">
        <w:rPr>
          <w:rFonts w:ascii="Times New Roman" w:hAnsi="Times New Roman" w:cs="Times New Roman"/>
          <w:i/>
          <w:lang w:val="it-IT"/>
        </w:rPr>
        <w:t>Laser Lineu</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a oni su na </w:t>
      </w:r>
      <w:r w:rsidR="009F6899" w:rsidRPr="00BE5472">
        <w:rPr>
          <w:rFonts w:ascii="Times New Roman" w:hAnsi="Times New Roman" w:cs="Times New Roman"/>
          <w:i/>
          <w:lang w:val="it-IT"/>
        </w:rPr>
        <w:t>‘</w:t>
      </w:r>
      <w:r w:rsidRPr="00BE5472">
        <w:rPr>
          <w:rFonts w:ascii="Times New Roman" w:hAnsi="Times New Roman" w:cs="Times New Roman"/>
          <w:i/>
          <w:lang w:val="it-IT"/>
        </w:rPr>
        <w:t>Operi</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Nama je trebalo dosta vremena da mi njih prebacimo na naš sustav. Dakle, one gdje smo morali, smo zadržali, odnosno, nismo morali, smo integrirali i prebacili na naš sustav. Tako uglavnom je to neko naslijeđeno stanje koje imaš, koje je vezano uz praktički infrastrukturu, procese koje ne možeš promijeniti, koji su opet ugovorno vezani za nekoga, pa ti treba neko neko vrijeme da bi se promijenilo. </w:t>
      </w:r>
      <w:r w:rsidRPr="00BE5472">
        <w:rPr>
          <w:rFonts w:ascii="Times New Roman" w:hAnsi="Times New Roman" w:cs="Times New Roman"/>
          <w:lang w:val="it-IT"/>
        </w:rPr>
        <w:t>(I9)</w:t>
      </w:r>
    </w:p>
    <w:p w14:paraId="6E0A8FB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Poseban naglasak stavlja se i na upravljanje ljudskim resursima unutar organizacijske integracije, pri čemu se identificiranje ključnih zaposlenika i jasno definiranje upravljačke strukture navode kao preduvjeti stabilnosti novog sustava:</w:t>
      </w:r>
    </w:p>
    <w:p w14:paraId="26379BE6" w14:textId="064D8032"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Identifikacija ključnih zaposlenika i implementacija upravljačke strukture s jasnom komunikacijom zaposlenicima bile su nužne za ujednačavanje procesa</w:t>
      </w:r>
      <w:r w:rsidRPr="00BE5472">
        <w:rPr>
          <w:rFonts w:ascii="Times New Roman" w:hAnsi="Times New Roman" w:cs="Times New Roman"/>
          <w:lang w:val="it-IT"/>
        </w:rPr>
        <w:t>. (I10)</w:t>
      </w:r>
    </w:p>
    <w:p w14:paraId="3E648053" w14:textId="4BB0346E"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lastRenderedPageBreak/>
        <w:t>Nije bilo dovoljno samo reći</w:t>
      </w:r>
      <w:r w:rsidR="009F6899" w:rsidRPr="00BE5472">
        <w:rPr>
          <w:rFonts w:ascii="Times New Roman" w:hAnsi="Times New Roman" w:cs="Times New Roman"/>
          <w:i/>
          <w:lang w:val="it-IT"/>
        </w:rPr>
        <w:t>:</w:t>
      </w:r>
      <w:r w:rsidRPr="00BE5472">
        <w:rPr>
          <w:rFonts w:ascii="Times New Roman" w:hAnsi="Times New Roman" w:cs="Times New Roman"/>
          <w:i/>
          <w:lang w:val="it-IT"/>
        </w:rPr>
        <w:t xml:space="preserve"> „</w:t>
      </w:r>
      <w:r w:rsidR="009F6899" w:rsidRPr="00BE5472">
        <w:rPr>
          <w:rFonts w:ascii="Times New Roman" w:hAnsi="Times New Roman" w:cs="Times New Roman"/>
          <w:i/>
          <w:lang w:val="it-IT"/>
        </w:rPr>
        <w:t>S</w:t>
      </w:r>
      <w:r w:rsidRPr="00BE5472">
        <w:rPr>
          <w:rFonts w:ascii="Times New Roman" w:hAnsi="Times New Roman" w:cs="Times New Roman"/>
          <w:i/>
          <w:lang w:val="it-IT"/>
        </w:rPr>
        <w:t xml:space="preserve">ad radite po našim pravilima“, nego smo to radili kroz treninge, radionice i nadzor, korak po korak. </w:t>
      </w:r>
      <w:r w:rsidRPr="00BE5472">
        <w:rPr>
          <w:rFonts w:ascii="Times New Roman" w:hAnsi="Times New Roman" w:cs="Times New Roman"/>
          <w:lang w:val="it-IT"/>
        </w:rPr>
        <w:t>(I11)</w:t>
      </w:r>
    </w:p>
    <w:p w14:paraId="309BCBB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Ispitanici su naglasili da je uspješnost postakvizicijske integracije u velikoj mjeri ovisila o </w:t>
      </w:r>
      <w:r w:rsidRPr="00BE5472">
        <w:rPr>
          <w:rFonts w:ascii="Times New Roman" w:hAnsi="Times New Roman" w:cs="Times New Roman"/>
          <w:bCs/>
          <w:sz w:val="24"/>
          <w:szCs w:val="24"/>
          <w:lang w:val="it-IT"/>
        </w:rPr>
        <w:t>načinu i tempu provedbe promjena</w:t>
      </w:r>
      <w:r w:rsidRPr="00BE5472">
        <w:rPr>
          <w:rFonts w:ascii="Times New Roman" w:hAnsi="Times New Roman" w:cs="Times New Roman"/>
          <w:sz w:val="24"/>
          <w:szCs w:val="24"/>
          <w:lang w:val="it-IT"/>
        </w:rPr>
        <w:t>, pri čemu se pristup integraciji temeljio na postupnom i kontroliranom uvođenju novih organizacijskih i operativnih rješenja. Ispitanici ističu da odgađanje ključnih odluka može produljiti razdoblje neizvjesnosti i otežati prilagodbu organizacije:</w:t>
      </w:r>
    </w:p>
    <w:p w14:paraId="63E303F8" w14:textId="21700527"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Važno je da se promjene događaju odmah, bez odmaka, jer produžavanje procesa samo stvara dodatne izazove</w:t>
      </w:r>
      <w:r w:rsidRPr="00BE5472">
        <w:rPr>
          <w:rFonts w:ascii="Times New Roman" w:hAnsi="Times New Roman" w:cs="Times New Roman"/>
          <w:lang w:val="it-IT"/>
        </w:rPr>
        <w:t>. (I12)</w:t>
      </w:r>
    </w:p>
    <w:p w14:paraId="171C2ECB" w14:textId="63707D5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S druge strane, sve ono što si sebi zacrtao u glavi, svi oni sinergijski efekti o kojima smo pričali – to se mora zaista i ostvariti. Ali pazi, to se ne ostvaruje na duge staze, kroz neke puste godine. To se mora početi realizirati od prvog dana. Čim uđeš unutra, krećeš u egzekuciju. Ne znam kako bih ti to drukčije rekao – ili odmah kreneš raditi to što si planirao, ili se cijela priča razvodni. </w:t>
      </w:r>
      <w:r w:rsidRPr="00BE5472">
        <w:rPr>
          <w:rFonts w:ascii="Times New Roman" w:hAnsi="Times New Roman" w:cs="Times New Roman"/>
          <w:lang w:val="it-IT"/>
        </w:rPr>
        <w:t>(I13)</w:t>
      </w:r>
    </w:p>
    <w:p w14:paraId="2F3BD23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Iako su ispitanici naglašavali važnost brzog započinjanja integracijskog procesa nakon akvizicije, to se nije odnosilo na istovremenu provedbu svih promjena. Naprotiv, integracija je započinjala odmah nakon preuzimanja, ali se operativne i organizacijske promjene uvodile postupno i kontrolirano, uz jasno definirane prioritete. Takav pristup omogućio je smanjenje neizvjesnosti i uspostavu upravljačkog okvira, istodobno ostavljajući organizaciji dovoljno vremena za prilagodbu.</w:t>
      </w:r>
    </w:p>
    <w:p w14:paraId="24FCC28E" w14:textId="5A755BA5"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Organizacija je potencijalnom otporu prema promjenama pristupila pragmatično, kroz postupnu i kontroliranu integraciju, bez naglih rezova u svakodnevnom poslovanju. Umjesto sveobuhvatnih zahvata u kratkom roku, fokus je bio usmjeren na strateški najvažnije procese i funkcije, koji su se prvi usklađivali s grupnim standardima. Ključni procesi, poput financijskog izvještavanja, planiranja i kontrole, preuzimani su relativno brzo kako bi se uspostavila jasna upravljačka struktura. Istodobno su identificirani ključni zaposlenici i članovi menadžmenta u preuzetim društvima te uključeni u integracijske timove, čime se smanjivao osjećaj nametnutih promjena. Edukacija je pritom imala važnu ulogu, ne samo u prijenosu znanja i procedura, već i u stvaranju zajedničkog okvira razumijevanja integracijskog procesa. </w:t>
      </w:r>
      <w:r w:rsidRPr="00BE5472">
        <w:rPr>
          <w:rFonts w:ascii="Times New Roman" w:hAnsi="Times New Roman" w:cs="Times New Roman"/>
          <w:lang w:val="it-IT"/>
        </w:rPr>
        <w:t>(I14)</w:t>
      </w:r>
    </w:p>
    <w:p w14:paraId="0FC0800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Odgovori ispitanika ukazuju na to da se postakvizicijska integracija provodila kroz vrlo jasno definirane faze, pri čemu je redoslijed aktivnosti imao ključnu ulogu u osiguravanju stabilnosti i dugoročne održivosti integriranog sustava. Integracija je započinjala detaljnom financijskom </w:t>
      </w:r>
      <w:r w:rsidRPr="00BE5472">
        <w:rPr>
          <w:rFonts w:ascii="Times New Roman" w:hAnsi="Times New Roman" w:cs="Times New Roman"/>
          <w:sz w:val="24"/>
          <w:szCs w:val="24"/>
          <w:lang w:val="it-IT"/>
        </w:rPr>
        <w:lastRenderedPageBreak/>
        <w:t>i operativnom analizom pojedinih objekata, nastavila se strateškim upravljanjem imovinom i organizacijskim usklađivanjem, a tek potom prelazila na razvoj proizvoda i tržišno pozicioniranje.</w:t>
      </w:r>
    </w:p>
    <w:p w14:paraId="66FB659A" w14:textId="1EE848A5"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U prvoj fazi radili smo poslovne planove po objektima – doslovno hotel po hotel. Gledali smo gdje se objekt trenut</w:t>
      </w:r>
      <w:r w:rsidR="009F3C04" w:rsidRPr="00BE5472">
        <w:rPr>
          <w:rFonts w:ascii="Times New Roman" w:hAnsi="Times New Roman" w:cs="Times New Roman"/>
          <w:i/>
          <w:lang w:val="it-IT"/>
        </w:rPr>
        <w:t>ač</w:t>
      </w:r>
      <w:r w:rsidRPr="00BE5472">
        <w:rPr>
          <w:rFonts w:ascii="Times New Roman" w:hAnsi="Times New Roman" w:cs="Times New Roman"/>
          <w:i/>
          <w:lang w:val="it-IT"/>
        </w:rPr>
        <w:t>no nalazi, kakve rezultate ostvaruje i što realno može postići u sljedećih nekoliko godina. To nam je služilo kao operativna mapa.</w:t>
      </w:r>
      <w:r w:rsidRPr="00BE5472">
        <w:rPr>
          <w:rFonts w:ascii="Times New Roman" w:hAnsi="Times New Roman" w:cs="Times New Roman"/>
          <w:i/>
          <w:lang w:val="it-IT"/>
        </w:rPr>
        <w:br/>
        <w:t xml:space="preserve">Nakon toga slijedio je strateški </w:t>
      </w:r>
      <w:r w:rsidR="00673D00" w:rsidRPr="00BE5472">
        <w:rPr>
          <w:rFonts w:ascii="Times New Roman" w:hAnsi="Times New Roman" w:cs="Times New Roman"/>
          <w:i/>
          <w:lang w:val="it-IT"/>
        </w:rPr>
        <w:t>‘</w:t>
      </w:r>
      <w:r w:rsidRPr="00BE5472">
        <w:rPr>
          <w:rFonts w:ascii="Times New Roman" w:hAnsi="Times New Roman" w:cs="Times New Roman"/>
          <w:i/>
          <w:lang w:val="it-IT"/>
        </w:rPr>
        <w:t>asset</w:t>
      </w:r>
      <w:r w:rsidR="00673D00" w:rsidRPr="00BE5472">
        <w:rPr>
          <w:rFonts w:ascii="Times New Roman" w:hAnsi="Times New Roman" w:cs="Times New Roman"/>
          <w:i/>
          <w:lang w:val="it-IT"/>
        </w:rPr>
        <w:t>’</w:t>
      </w:r>
      <w:r w:rsidRPr="00BE5472">
        <w:rPr>
          <w:rFonts w:ascii="Times New Roman" w:hAnsi="Times New Roman" w:cs="Times New Roman"/>
          <w:i/>
          <w:lang w:val="it-IT"/>
        </w:rPr>
        <w:t xml:space="preserve"> plan, s dugoročnim pogledom na imovinu – odlučivali smo koje objekte optimizirati, koje obnoviti, a gdje promijeniti koncept. Paralelno smo okupili menadžment novih objekata i povezali ga s postojećom organizacijom.</w:t>
      </w:r>
      <w:r w:rsidRPr="00BE5472">
        <w:rPr>
          <w:rFonts w:ascii="Times New Roman" w:hAnsi="Times New Roman" w:cs="Times New Roman"/>
          <w:i/>
          <w:lang w:val="it-IT"/>
        </w:rPr>
        <w:br/>
        <w:t xml:space="preserve">Tek nakon toga je išla implementacija razvoja proizvoda… U suprotnom, bez tog redoslijeda integracija ne bi bila ni stabilna ni održiva. </w:t>
      </w:r>
      <w:r w:rsidRPr="00BE5472">
        <w:rPr>
          <w:rFonts w:ascii="Times New Roman" w:hAnsi="Times New Roman" w:cs="Times New Roman"/>
          <w:lang w:val="it-IT"/>
        </w:rPr>
        <w:t>(I15)</w:t>
      </w:r>
    </w:p>
    <w:p w14:paraId="5575AA7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Ovaj pristup jasno oslikava činjenicu da se integracija ne promatra kao jednokratna operativna aktivnost, već kao sekvencijalni proces u kojem financijska racionalizacija, strateško upravljanje imovinom i organizacijsko usklađivanje prethode promjenama u proizvodu i tržišnom pozicioniranju. Time se naglašava važnost pravilnog redoslijeda integracijskih aktivnosti kao preduvjeta stabilnosti i dugoročne uspješnosti preuzimanja.</w:t>
      </w:r>
    </w:p>
    <w:p w14:paraId="5D4824A2" w14:textId="2B82A8E6"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Ovi rezultati vrlo jasno ukazuju na to da se postakvizicijska organizacijska integracija u hotelijerstvu doživljava kao strukturiran, ali dinamičan proces, koji zahtijeva jasnu organizacijsku arhitekturu, dosljednu provedbu i aktivnu ulogu menadžmenta. Uspješnost ove faze u velikoj mjeri određuje sposobnost organizacije da ostvari planirane sinergije i dugoročne koristi procesa spajanja i preuzimanja.</w:t>
      </w:r>
      <w:r w:rsidR="00015ED8">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Slijedi razrada treće teme.</w:t>
      </w:r>
    </w:p>
    <w:p w14:paraId="33B23D29" w14:textId="77777777" w:rsidR="00120B4F" w:rsidRDefault="00120B4F" w:rsidP="00A031A3">
      <w:pPr>
        <w:pStyle w:val="Heading3"/>
        <w:rPr>
          <w:rFonts w:ascii="Times New Roman" w:hAnsi="Times New Roman" w:cs="Times New Roman"/>
          <w:lang w:val="it-IT"/>
        </w:rPr>
      </w:pPr>
      <w:bookmarkStart w:id="167" w:name="_Toc241865163"/>
      <w:r w:rsidRPr="00BE5472">
        <w:rPr>
          <w:rFonts w:ascii="Times New Roman" w:hAnsi="Times New Roman" w:cs="Times New Roman"/>
          <w:lang w:val="it-IT"/>
        </w:rPr>
        <w:t>5.1.3. Ljudski, kulturni i komunikacijski izazovi M&amp;A procesa</w:t>
      </w:r>
      <w:bookmarkEnd w:id="167"/>
    </w:p>
    <w:p w14:paraId="7D543F29" w14:textId="77777777" w:rsidR="00015ED8" w:rsidRPr="00015ED8" w:rsidRDefault="00015ED8" w:rsidP="00015ED8">
      <w:pPr>
        <w:rPr>
          <w:lang w:val="it-IT"/>
        </w:rPr>
      </w:pPr>
    </w:p>
    <w:p w14:paraId="57E10D5C"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Analiza odgovora ispitanika pokazuje da ljudski, kulturni i komunikacijski aspekti predstavljaju jedan od najosjetljivijih i najzahtjevnijih elemenata procesa spajanja i preuzimanja u hrvatskom hotelijerstvu. Iako su strateške i operativne odluke formalno definirane u ranim fazama preuzimanja, ispitanici ističu kako se stvarni izazovi često pojavljuju upravo u interakciji s zaposlenicima i u svakodnevnom funkcioniranju organizacije nakon akvizicije.</w:t>
      </w:r>
    </w:p>
    <w:p w14:paraId="6FCA567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tom kontekstu, posebna se pažnja posvećuje razlikama u organizacijskoj kulturi, percepciji promjena te načinu na koji se zaposlenici nose s neizvjesnošću koju procesi spajanja i preuzimanja neizbježno donose. Odgovori ispitanika upućuju na to da se otpor prema </w:t>
      </w:r>
      <w:r w:rsidRPr="00BE5472">
        <w:rPr>
          <w:rFonts w:ascii="Times New Roman" w:hAnsi="Times New Roman" w:cs="Times New Roman"/>
          <w:sz w:val="24"/>
          <w:szCs w:val="24"/>
          <w:lang w:val="it-IT"/>
        </w:rPr>
        <w:lastRenderedPageBreak/>
        <w:t>promjenama rijetko pojavljuje kao otvoreno protivljenje, već češće kroz nesigurnost, smanjenu motivaciju i potrebu za dodatnim pojašnjenjima i podrškom.</w:t>
      </w:r>
    </w:p>
    <w:p w14:paraId="4064F1F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Istodobno, komunikacija se ističe kao ključni mehanizam upravljanja ljudskim i kulturnim izazovima, pri čemu njezina pravodobnost, jasnoća i transparentnost imaju presudnu ulogu u stabilizaciji organizacije tijekom integracijskog razdoblja. </w:t>
      </w:r>
    </w:p>
    <w:p w14:paraId="7BA39AF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jasno prikazuju da se uspješnost procesa spajanja i preuzimanja ne može promatrati isključivo kroz financijske i operativne pokazatelje, već i kroz sposobnost organizacije da učinkovito upravlja komunikacijskim aspektima, ljudskim i kulturnim dimenzijama promjena.</w:t>
      </w:r>
    </w:p>
    <w:p w14:paraId="0977D615" w14:textId="287DEC45" w:rsidR="00A031A3"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okviru ove tematske cjeline identificirane su dvije podteme koje se odnose na ljudske i kulturne aspekte integracije te na upravljanje promjenama i komunikaciju, a koje se u nastavku detaljnije razrađuju.</w:t>
      </w:r>
    </w:p>
    <w:p w14:paraId="5E795D52" w14:textId="77777777" w:rsidR="00A031A3" w:rsidRPr="00BE5472" w:rsidRDefault="00A031A3" w:rsidP="00120B4F">
      <w:pPr>
        <w:spacing w:line="360" w:lineRule="auto"/>
        <w:jc w:val="both"/>
        <w:rPr>
          <w:rFonts w:ascii="Times New Roman" w:hAnsi="Times New Roman" w:cs="Times New Roman"/>
          <w:sz w:val="24"/>
          <w:szCs w:val="24"/>
          <w:lang w:val="it-IT"/>
        </w:rPr>
      </w:pPr>
    </w:p>
    <w:p w14:paraId="6C88C370" w14:textId="77777777" w:rsidR="00120B4F" w:rsidRDefault="00120B4F" w:rsidP="00A031A3">
      <w:pPr>
        <w:pStyle w:val="Heading4"/>
        <w:rPr>
          <w:rFonts w:ascii="Times New Roman" w:hAnsi="Times New Roman" w:cs="Times New Roman"/>
          <w:lang w:val="it-IT"/>
        </w:rPr>
      </w:pPr>
      <w:bookmarkStart w:id="168" w:name="_Toc241865164"/>
      <w:r w:rsidRPr="00BE5472">
        <w:rPr>
          <w:rFonts w:ascii="Times New Roman" w:hAnsi="Times New Roman" w:cs="Times New Roman"/>
          <w:lang w:val="it-IT"/>
        </w:rPr>
        <w:t>5.1.3.1. Ljudski i kulturni aspekti integracije</w:t>
      </w:r>
      <w:bookmarkEnd w:id="168"/>
    </w:p>
    <w:p w14:paraId="76106A78" w14:textId="77777777" w:rsidR="00015ED8" w:rsidRPr="00015ED8" w:rsidRDefault="00015ED8" w:rsidP="00015ED8">
      <w:pPr>
        <w:rPr>
          <w:lang w:val="it-IT"/>
        </w:rPr>
      </w:pPr>
    </w:p>
    <w:p w14:paraId="55BE8643" w14:textId="164863A3"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dosljedno naglašavaju da su razlike u organizacijskoj kulturi jedan od glavnih izazova u postakvizicijskom razdoblju. Promjene u načinu rada, donošenju odluka i organizacijskim vrijednostima</w:t>
      </w:r>
      <w:r w:rsidR="00673D00"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često se percipiraju kao izvor nesigurnosti među zaposlenicima, osobito kada su prethodni obrasci ponašanja duboko ukorijenjeni.</w:t>
      </w:r>
    </w:p>
    <w:p w14:paraId="0931ABCF" w14:textId="49675AEB"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Najveći izazov bila je promjena kulture rada i prihvaćanje novih pravila od strane zaposlenika</w:t>
      </w:r>
      <w:r w:rsidRPr="00BE5472">
        <w:rPr>
          <w:rFonts w:ascii="Times New Roman" w:hAnsi="Times New Roman" w:cs="Times New Roman"/>
          <w:lang w:val="it-IT"/>
        </w:rPr>
        <w:t>. (I4)</w:t>
      </w:r>
    </w:p>
    <w:p w14:paraId="5198D427" w14:textId="33B43FC6"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Kadrovska pitanja rješavali smo postepeno u fazama definirali smo ključne uloge, zadržali potrebne ljude i jasno raspodijelili odgovornosti. Tamo gdje je bilo preklapanja, rješenja su se tražila kroz preraspodjelu ili prirodni odljev, uz nastojanje da se očuva stabilnost poslovanja. </w:t>
      </w:r>
      <w:r w:rsidRPr="00BE5472">
        <w:rPr>
          <w:rFonts w:ascii="Times New Roman" w:hAnsi="Times New Roman" w:cs="Times New Roman"/>
          <w:lang w:val="it-IT"/>
        </w:rPr>
        <w:t>(I5)</w:t>
      </w:r>
    </w:p>
    <w:p w14:paraId="6F0FBF9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ističu da je jedan od najizraženijih izazova u postakvizicijskom razdoblju bilo privikavanje zaposlenika na nove procedure rada i upravljačke prakse, osobito u područjima financijskog upravljanja, planiranja i kontrole.</w:t>
      </w:r>
    </w:p>
    <w:p w14:paraId="6DA5F86B" w14:textId="77777777" w:rsidR="00673D00" w:rsidRPr="00BE5472" w:rsidRDefault="00120B4F" w:rsidP="00265834">
      <w:pPr>
        <w:spacing w:line="360" w:lineRule="auto"/>
        <w:ind w:left="851"/>
        <w:jc w:val="both"/>
        <w:rPr>
          <w:rFonts w:ascii="Times New Roman" w:hAnsi="Times New Roman" w:cs="Times New Roman"/>
          <w:i/>
          <w:lang w:val="it-IT"/>
        </w:rPr>
      </w:pPr>
      <w:r w:rsidRPr="00BE5472">
        <w:rPr>
          <w:rFonts w:ascii="Times New Roman" w:hAnsi="Times New Roman" w:cs="Times New Roman"/>
          <w:i/>
          <w:lang w:val="it-IT"/>
        </w:rPr>
        <w:t>Glavna prepreka bila je prilagodba na nove procedure rada, ponajprije na strani poduzeća mete, ali dijelom i unutar našeg vlastitog sustava. Postoji ona izreka</w:t>
      </w:r>
      <w:r w:rsidR="00673D00" w:rsidRPr="00BE5472">
        <w:rPr>
          <w:rFonts w:ascii="Times New Roman" w:hAnsi="Times New Roman" w:cs="Times New Roman"/>
          <w:i/>
          <w:lang w:val="it-IT"/>
        </w:rPr>
        <w:t>:</w:t>
      </w:r>
      <w:r w:rsidRPr="00BE5472">
        <w:rPr>
          <w:rFonts w:ascii="Times New Roman" w:hAnsi="Times New Roman" w:cs="Times New Roman"/>
          <w:i/>
          <w:lang w:val="it-IT"/>
        </w:rPr>
        <w:t xml:space="preserve"> ‘teško je starog konja naučiti novim trikovima’. Promjene su se odnosile na način izvještavanja, donošenja odluka, </w:t>
      </w:r>
      <w:r w:rsidRPr="00BE5472">
        <w:rPr>
          <w:rFonts w:ascii="Times New Roman" w:hAnsi="Times New Roman" w:cs="Times New Roman"/>
          <w:i/>
          <w:lang w:val="it-IT"/>
        </w:rPr>
        <w:lastRenderedPageBreak/>
        <w:t>planiranja i kontrole troškova, što nije bilo jednostavno prihvatiti nakon godina ustaljene prakse i</w:t>
      </w:r>
      <w:r w:rsidR="00673D00" w:rsidRPr="00BE5472">
        <w:rPr>
          <w:rFonts w:ascii="Times New Roman" w:hAnsi="Times New Roman" w:cs="Times New Roman"/>
          <w:i/>
          <w:lang w:val="it-IT"/>
        </w:rPr>
        <w:t xml:space="preserve"> </w:t>
      </w:r>
      <w:r w:rsidRPr="00BE5472">
        <w:rPr>
          <w:rFonts w:ascii="Times New Roman" w:hAnsi="Times New Roman" w:cs="Times New Roman"/>
          <w:i/>
          <w:lang w:val="it-IT"/>
        </w:rPr>
        <w:t>navika.</w:t>
      </w:r>
    </w:p>
    <w:p w14:paraId="4A362BD8" w14:textId="133800C8"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br/>
        <w:t>Najviše poteškoća javljalo se upravo u područjima financijskog upravljanja, planiranja i operativnih standarda, gdje su se tražila veća disciplina i standardizacija. Istodobno, i nama kao akvizitoru trebalo je vrijeme da prilagodimo svoj pristup različitim organizacijskim kulturama i ljudima.</w:t>
      </w:r>
      <w:r w:rsidRPr="00BE5472">
        <w:rPr>
          <w:rFonts w:ascii="Times New Roman" w:hAnsi="Times New Roman" w:cs="Times New Roman"/>
          <w:lang w:val="it-IT"/>
        </w:rPr>
        <w:t xml:space="preserve"> (I6)</w:t>
      </w:r>
    </w:p>
    <w:p w14:paraId="1B3CE09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Osim prilagodbe novim procedurama rada, značajan izvor nesigurnosti među zaposlenicima odnosio se na razlike u sustavima upravljanja ljudskim resursima i pravima iz radnog odnosa između društva preuzimatelja i ciljne kompanije.</w:t>
      </w:r>
    </w:p>
    <w:p w14:paraId="09813357" w14:textId="318B5C2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Ciljno poduzeće imalo je drugačija pravila o plaćama, dodacima, radnom vremenu, sezonskom zapošljavanju i pojedinim pravima iz radnog odnosa. Zaposlenike je najviše brinulo hoće li im se promijeniti ili smanjiti postojeća prava, osobito oko visine plaće, dodataka za smjenski i sezonski rad te sigurnosti radnog mjesta. Razlike su postojale i u benefitima poput smještaja i prehrane za sezonce, prijevoza, nagrada i mogućnosti edukacije. Veliki izazov</w:t>
      </w:r>
      <w:r w:rsidRPr="00BE5472">
        <w:rPr>
          <w:rFonts w:ascii="Times New Roman" w:hAnsi="Times New Roman" w:cs="Times New Roman"/>
          <w:lang w:val="it-IT"/>
        </w:rPr>
        <w:t xml:space="preserve"> </w:t>
      </w:r>
      <w:r w:rsidRPr="00BE5472">
        <w:rPr>
          <w:rFonts w:ascii="Times New Roman" w:hAnsi="Times New Roman" w:cs="Times New Roman"/>
          <w:i/>
          <w:iCs/>
          <w:lang w:val="it-IT"/>
        </w:rPr>
        <w:t>bio</w:t>
      </w:r>
      <w:r w:rsidRPr="00BE5472">
        <w:rPr>
          <w:rFonts w:ascii="Times New Roman" w:hAnsi="Times New Roman" w:cs="Times New Roman"/>
          <w:lang w:val="it-IT"/>
        </w:rPr>
        <w:t xml:space="preserve"> </w:t>
      </w:r>
      <w:r w:rsidRPr="00BE5472">
        <w:rPr>
          <w:rFonts w:ascii="Times New Roman" w:hAnsi="Times New Roman" w:cs="Times New Roman"/>
          <w:i/>
          <w:lang w:val="it-IT"/>
        </w:rPr>
        <w:t>je uskladiti dva različita sustava u jedan, a da se pritom ne naruši povjerenje zaposlenika.</w:t>
      </w:r>
      <w:r w:rsidRPr="00BE5472">
        <w:rPr>
          <w:rFonts w:ascii="Times New Roman" w:hAnsi="Times New Roman" w:cs="Times New Roman"/>
          <w:lang w:val="it-IT"/>
        </w:rPr>
        <w:t xml:space="preserve"> (I7)</w:t>
      </w:r>
    </w:p>
    <w:p w14:paraId="3C9B375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Ovakve izjave ispitanika ukazuju na to da se integracija u području ljudskih resursa ne svodi samo na tehničko usklađivanje politika i procedura, već ima snažnu socijalnu dimenziju, u kojoj percepcija pravednosti i sigurnosti zaposlenika ima presudnu ulogu u očuvanju povjerenja i stabilnosti poduzeća.</w:t>
      </w:r>
    </w:p>
    <w:p w14:paraId="29A7014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Otpor zaposlenika pritom se ne opisuje nužno kao svjesno protivljenje, već kao prirodna reakcija na neizvjesnost i strah od gubitka pozicije, statusa ili radnog mjesta:</w:t>
      </w:r>
    </w:p>
    <w:p w14:paraId="06E930F4" w14:textId="421D3088"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Strah zaposlenika radi neizvjesnosti i opiranje promjenama. Točnije, neizvjesnosti ishoda procesa preuzimanja, uspješnosti integracije, pa i vlastitih radnih mjesta. Taj strah smo uočili kroz razgovore s timovima, pitanja na sastancima i povremene interne ankete.</w:t>
      </w:r>
      <w:r w:rsidRPr="00BE5472">
        <w:rPr>
          <w:rFonts w:ascii="Times New Roman" w:hAnsi="Times New Roman" w:cs="Times New Roman"/>
          <w:lang w:val="it-IT"/>
        </w:rPr>
        <w:t xml:space="preserve"> (I8)</w:t>
      </w:r>
    </w:p>
    <w:p w14:paraId="3B07B58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Otpor prema promjenama nije bio ravnomjerno raspoređen unutar poduzeća, već se najizraženije manifestirao na određenim hijerarhijskim razinama: </w:t>
      </w:r>
    </w:p>
    <w:p w14:paraId="31CC521D" w14:textId="2873B683"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Problem je nastajao jer je novi način rada tražio promjenu ustaljenih navika. Najviše otpora dolazilo je od dijela srednjeg menadžmenta i zaposlenika naviknutih na dotadašnji sustav.</w:t>
      </w:r>
      <w:r w:rsidRPr="00BE5472">
        <w:rPr>
          <w:rFonts w:ascii="Times New Roman" w:hAnsi="Times New Roman" w:cs="Times New Roman"/>
          <w:lang w:val="it-IT"/>
        </w:rPr>
        <w:t xml:space="preserve"> (I8)</w:t>
      </w:r>
    </w:p>
    <w:p w14:paraId="0676FA5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Ovakve izjave upućuju na važnu ulogu srednjeg menadžmenta u procesima integracije, budući da upravo ta razina često predstavlja ključnu poveznicu između strateških odluka uprave i njihove operativne provedbe.</w:t>
      </w:r>
    </w:p>
    <w:p w14:paraId="1D6F240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ističu da je proces prilagodbe zahtijevao vrijeme te da su promjene morale biti postupno uvedene kako bi se omogućila njihova internalizacija unutar organizacije:</w:t>
      </w:r>
    </w:p>
    <w:p w14:paraId="4BC66933" w14:textId="3EE30AF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Promjene se nisu mogle uvesti preko noći, trebalo je vrijeme da se zaposlenici priviknu na nove procedure.</w:t>
      </w:r>
      <w:r w:rsidRPr="00BE5472">
        <w:rPr>
          <w:rFonts w:ascii="Times New Roman" w:hAnsi="Times New Roman" w:cs="Times New Roman"/>
          <w:lang w:val="it-IT"/>
        </w:rPr>
        <w:t xml:space="preserve"> (I9)</w:t>
      </w:r>
    </w:p>
    <w:p w14:paraId="318ECCA1" w14:textId="47191673" w:rsidR="00C71388"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Sve navedeno upućuje na to da se ljudski i kulturni aspekti integracije ne mogu rješavati isključivo formalnim odlukama, već zahtijevaju osjetljiv i prilagodljiv pristup, u kojem se prepoznaje emocionalna i socijalna dimenzija organizacijskih promjena.</w:t>
      </w:r>
      <w:r w:rsidR="005D3DFF">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Slijedi razrada podteme.</w:t>
      </w:r>
    </w:p>
    <w:p w14:paraId="6751E6ED" w14:textId="77777777" w:rsidR="005D3DFF" w:rsidRPr="00BE5472" w:rsidRDefault="005D3DFF" w:rsidP="00120B4F">
      <w:pPr>
        <w:spacing w:line="360" w:lineRule="auto"/>
        <w:jc w:val="both"/>
        <w:rPr>
          <w:rFonts w:ascii="Times New Roman" w:hAnsi="Times New Roman" w:cs="Times New Roman"/>
          <w:sz w:val="24"/>
          <w:szCs w:val="24"/>
          <w:lang w:val="it-IT"/>
        </w:rPr>
      </w:pPr>
    </w:p>
    <w:p w14:paraId="01510B69" w14:textId="77777777" w:rsidR="00120B4F" w:rsidRDefault="00120B4F" w:rsidP="00C71388">
      <w:pPr>
        <w:pStyle w:val="Heading4"/>
        <w:rPr>
          <w:rFonts w:ascii="Times New Roman" w:hAnsi="Times New Roman" w:cs="Times New Roman"/>
          <w:lang w:val="it-IT"/>
        </w:rPr>
      </w:pPr>
      <w:bookmarkStart w:id="169" w:name="_Toc241865165"/>
      <w:r w:rsidRPr="00BE5472">
        <w:rPr>
          <w:rFonts w:ascii="Times New Roman" w:hAnsi="Times New Roman" w:cs="Times New Roman"/>
          <w:lang w:val="it-IT"/>
        </w:rPr>
        <w:t>5.1.3.2. Upravljanje promjenama i komunikacija</w:t>
      </w:r>
      <w:bookmarkEnd w:id="169"/>
    </w:p>
    <w:p w14:paraId="5A1F22AF" w14:textId="77777777" w:rsidR="005D3DFF" w:rsidRPr="005D3DFF" w:rsidRDefault="005D3DFF" w:rsidP="005D3DFF">
      <w:pPr>
        <w:rPr>
          <w:lang w:val="it-IT"/>
        </w:rPr>
      </w:pPr>
    </w:p>
    <w:p w14:paraId="1D2F697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Unutar konteksta ljudskih i kulturnih izazova, komunikacija se u odgovorima ispitanika izdvaja kao ključni alat upravljanja promjenama. Ispitanici naglašavaju da je pravodobno i transparentno informiranje zaposlenika imalo presudnu ulogu u smanjenju neizvjesnosti i izgradnji povjerenja tijekom integracijskog procesa.</w:t>
      </w:r>
    </w:p>
    <w:p w14:paraId="3EED445C" w14:textId="719D2B39"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Najvažnije je bilo stalno i otvoreno komunicirati sa zaposlenicima, kako bi znali što se događa i što ih očekuje.</w:t>
      </w:r>
      <w:r w:rsidRPr="00BE5472">
        <w:rPr>
          <w:rFonts w:ascii="Times New Roman" w:hAnsi="Times New Roman" w:cs="Times New Roman"/>
          <w:lang w:val="it-IT"/>
        </w:rPr>
        <w:t xml:space="preserve"> (I1)</w:t>
      </w:r>
    </w:p>
    <w:p w14:paraId="2F644BC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Učinkovita komunikacija pritom se ne svodi samo na prijenos informacija, već i na uključivanje zaposlenika u proces promjena, čime se potiče osjećaj pripadnosti i zajedničke odgovornosti:</w:t>
      </w:r>
    </w:p>
    <w:p w14:paraId="35BB3AD4" w14:textId="4AFEE520"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Kada su ljudi uključeni u proces i kada mogu postavljati pitanja, otpor se znatno smanjuje</w:t>
      </w:r>
      <w:r w:rsidR="00673D00" w:rsidRPr="00BE5472">
        <w:rPr>
          <w:rFonts w:ascii="Times New Roman" w:hAnsi="Times New Roman" w:cs="Times New Roman"/>
          <w:lang w:val="it-IT"/>
        </w:rPr>
        <w:t>.</w:t>
      </w:r>
      <w:r w:rsidRPr="00BE5472">
        <w:rPr>
          <w:rFonts w:ascii="Times New Roman" w:hAnsi="Times New Roman" w:cs="Times New Roman"/>
          <w:lang w:val="it-IT"/>
        </w:rPr>
        <w:t xml:space="preserve"> (I5)</w:t>
      </w:r>
    </w:p>
    <w:p w14:paraId="6ACC995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također ističu važnost dosljednosti u komunikaciji i uloge menadžmenta kao nositelja promjena:</w:t>
      </w:r>
    </w:p>
    <w:p w14:paraId="4622FBD7" w14:textId="481D885E"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lang w:val="it-IT"/>
        </w:rPr>
        <w:t>“</w:t>
      </w:r>
      <w:r w:rsidRPr="00BE5472">
        <w:rPr>
          <w:rFonts w:ascii="Times New Roman" w:hAnsi="Times New Roman" w:cs="Times New Roman"/>
          <w:i/>
          <w:lang w:val="it-IT"/>
        </w:rPr>
        <w:t>ko menadžment nije jedinstven u porukama koje šalje, zaposlenici gube povjerenje i nastaje konfuzija</w:t>
      </w:r>
      <w:r w:rsidRPr="00BE5472">
        <w:rPr>
          <w:rFonts w:ascii="Times New Roman" w:hAnsi="Times New Roman" w:cs="Times New Roman"/>
          <w:lang w:val="it-IT"/>
        </w:rPr>
        <w:t>.</w:t>
      </w:r>
      <w:r w:rsidR="00673D00" w:rsidRPr="00BE5472">
        <w:rPr>
          <w:rFonts w:ascii="Times New Roman" w:hAnsi="Times New Roman" w:cs="Times New Roman"/>
          <w:lang w:val="it-IT"/>
        </w:rPr>
        <w:t xml:space="preserve"> </w:t>
      </w:r>
      <w:r w:rsidRPr="00BE5472">
        <w:rPr>
          <w:rFonts w:ascii="Times New Roman" w:hAnsi="Times New Roman" w:cs="Times New Roman"/>
          <w:lang w:val="it-IT"/>
        </w:rPr>
        <w:t>(I3)</w:t>
      </w:r>
    </w:p>
    <w:p w14:paraId="4724362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 xml:space="preserve">U kontekstu upravljanja promjenama, ispitanici ističu da je jedan od najvećih izazova bio tempo provedbe promjena te očekivanje da će se novi obrasci ponašanja i rada usvojiti odmah nakon formalnih odluka. </w:t>
      </w:r>
    </w:p>
    <w:p w14:paraId="533E6835" w14:textId="5746FF81"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 xml:space="preserve">Najčešći odgovor koji sam čuo u apsolutno svim kompanijama u koje smo ušli bio je: ‘A mi smo to do sada radili tako’. To je zid na koji uvijek naletiš. Ja sam tu imao svoj najveći ‘fail’, jer sam htio promjene preko noći. Kad sam došao u upravu, imao sam dvije fiks-ideje – da ćemo svi govoriti književnim hrvatskim i da ćemo svi dolaziti na posao u odijelima. Prvi dan je to funkcioniralo, a već nakon nekoliko dana sve se vratilo na staro. To je bila moja greška; nisam shvaćao da ljudi to ne mogu usvojiti preko noći, čak i da žele. </w:t>
      </w:r>
      <w:r w:rsidRPr="00BE5472">
        <w:rPr>
          <w:rFonts w:ascii="Times New Roman" w:hAnsi="Times New Roman" w:cs="Times New Roman"/>
          <w:lang w:val="it-IT"/>
        </w:rPr>
        <w:t>(I4)</w:t>
      </w:r>
    </w:p>
    <w:p w14:paraId="1C30A4A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Ovakva refleksija ukazuje na to da formalno uvođenje novih pravila i standarda ne znači nužno njihovo stvarno usvajanje u svakodnevnoj praksi. Uspješno upravljanje promjenama zahtijeva vrijeme, postupnost i razumijevanje postojećih obrazaca ponašanja, pri čemu menadžerski pritisak za brzim promjenama može imati suprotan učinak.</w:t>
      </w:r>
    </w:p>
    <w:p w14:paraId="1128732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odgovorima ispitanika naglašava se da se otpor prema promjenama nije mogao ukloniti formalnim odlukama, već se postupno smanjivao kroz komunikaciju i edukaciju zaposlenika.</w:t>
      </w:r>
    </w:p>
    <w:p w14:paraId="57D58D22" w14:textId="70FAFD8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Otpor se rješavao kroz komunikaciju na svim upravljačkim razinama, edukaciju i stvaranje osjećaja pripadnosti.</w:t>
      </w:r>
      <w:r w:rsidRPr="00BE5472">
        <w:rPr>
          <w:rFonts w:ascii="Times New Roman" w:hAnsi="Times New Roman" w:cs="Times New Roman"/>
          <w:lang w:val="it-IT"/>
        </w:rPr>
        <w:t xml:space="preserve"> (I5)</w:t>
      </w:r>
    </w:p>
    <w:p w14:paraId="6D2FE9A2" w14:textId="6A29225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pokazuju da uspješno upravljanje promjenama u procesima spajanja i preuzimanja uvelike ovisi o kvaliteti komunikacije i sposobnosti menadžmenta da prepozna i adresira potrebe zaposlenika. Time komunikacija postaje ne samo potporni, već strateški element integracijskog procesa.</w:t>
      </w:r>
      <w:r w:rsidR="001A7B0F">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Slijedi opis posljednje teme.</w:t>
      </w:r>
    </w:p>
    <w:p w14:paraId="6222EA54" w14:textId="77777777" w:rsidR="00120B4F" w:rsidRDefault="00120B4F" w:rsidP="00C71388">
      <w:pPr>
        <w:pStyle w:val="Heading3"/>
        <w:rPr>
          <w:rFonts w:ascii="Times New Roman" w:hAnsi="Times New Roman" w:cs="Times New Roman"/>
          <w:lang w:val="it-IT"/>
        </w:rPr>
      </w:pPr>
      <w:bookmarkStart w:id="170" w:name="_Toc241865166"/>
      <w:r w:rsidRPr="00BE5472">
        <w:rPr>
          <w:rFonts w:ascii="Times New Roman" w:hAnsi="Times New Roman" w:cs="Times New Roman"/>
          <w:lang w:val="it-IT"/>
        </w:rPr>
        <w:t>5.1.4. Iskustveno učenje i dugoročna evaluacija procesa spajanja i preuzimanja</w:t>
      </w:r>
      <w:bookmarkEnd w:id="170"/>
    </w:p>
    <w:p w14:paraId="6699BBA6" w14:textId="77777777" w:rsidR="001A7B0F" w:rsidRPr="001A7B0F" w:rsidRDefault="001A7B0F" w:rsidP="001A7B0F">
      <w:pPr>
        <w:rPr>
          <w:lang w:val="it-IT"/>
        </w:rPr>
      </w:pPr>
    </w:p>
    <w:p w14:paraId="708489B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Analiza odgovora ispitanika pokazuje da se iskustveno učenje i retrospektivna evaluacija  procesa spajanja i preuzimanja pojavljuju kao važan, ali, što valja naglasiti, često zanemaren aspekt spajanja i preuzimanja u hrvatskom hotelijerstvu. Ispitanici procese spajanja i preuzimanja ne promatraju isključivo kroz prizmu neposrednih ishoda, već ih sagledavaju i kao izvor organizacijskog učenja koji oblikuje buduće strateške odluke i pristupe upravljanju promjenama.</w:t>
      </w:r>
    </w:p>
    <w:p w14:paraId="27A4B662" w14:textId="33090548"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tom kontekstu, procesi spajanja i preuzimanja percipiraju se kao složena iskustva koja s vremenom otkrivaju svoje stvarne učinke,</w:t>
      </w:r>
      <w:r w:rsidR="00673D00" w:rsidRPr="00BE5472">
        <w:rPr>
          <w:rFonts w:ascii="Times New Roman" w:hAnsi="Times New Roman" w:cs="Times New Roman"/>
          <w:sz w:val="24"/>
          <w:szCs w:val="24"/>
          <w:lang w:val="it-IT"/>
        </w:rPr>
        <w:t xml:space="preserve"> i</w:t>
      </w:r>
      <w:r w:rsidRPr="00BE5472">
        <w:rPr>
          <w:rFonts w:ascii="Times New Roman" w:hAnsi="Times New Roman" w:cs="Times New Roman"/>
          <w:sz w:val="24"/>
          <w:szCs w:val="24"/>
          <w:lang w:val="it-IT"/>
        </w:rPr>
        <w:t xml:space="preserve"> pozitivne i negativne. Odgovori ispitanika upućuju na to da se puna evaluacija uspješnosti preuzimanja često može provesti tek nakon određenog </w:t>
      </w:r>
      <w:r w:rsidRPr="00BE5472">
        <w:rPr>
          <w:rFonts w:ascii="Times New Roman" w:hAnsi="Times New Roman" w:cs="Times New Roman"/>
          <w:sz w:val="24"/>
          <w:szCs w:val="24"/>
          <w:lang w:val="it-IT"/>
        </w:rPr>
        <w:lastRenderedPageBreak/>
        <w:t>vremenskog odmaka, kada su vidljivi dugoročni operativni, financijski i organizacijski rezultati. Iskustva stečena kroz prethodne procese spajanja i preuzimanja pritom se koriste kao temelj za prilagodbu budućih strategija, poboljšanje integracijskih praksi i realističnije planiranje.</w:t>
      </w:r>
    </w:p>
    <w:p w14:paraId="74F5935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okviru ove tematske cjeline identificirana je podtema koja se odnosi na retrospektivnu evaluaciju i organizacijsko učenje, a koja se u nastavku detaljnije razrađuje.</w:t>
      </w:r>
    </w:p>
    <w:p w14:paraId="0C230E63" w14:textId="77777777" w:rsidR="00120B4F" w:rsidRDefault="00120B4F" w:rsidP="00C71388">
      <w:pPr>
        <w:pStyle w:val="Heading4"/>
        <w:rPr>
          <w:rFonts w:ascii="Times New Roman" w:hAnsi="Times New Roman" w:cs="Times New Roman"/>
          <w:lang w:val="it-IT"/>
        </w:rPr>
      </w:pPr>
      <w:bookmarkStart w:id="171" w:name="_Toc241865167"/>
      <w:r w:rsidRPr="00BE5472">
        <w:rPr>
          <w:rFonts w:ascii="Times New Roman" w:hAnsi="Times New Roman" w:cs="Times New Roman"/>
          <w:lang w:val="it-IT"/>
        </w:rPr>
        <w:t>5.1.4.1. Retrospektivna evaluacija i organizacijsko učenje</w:t>
      </w:r>
      <w:bookmarkEnd w:id="171"/>
    </w:p>
    <w:p w14:paraId="668DD72E" w14:textId="77777777" w:rsidR="001A7B0F" w:rsidRPr="001A7B0F" w:rsidRDefault="001A7B0F" w:rsidP="001A7B0F">
      <w:pPr>
        <w:rPr>
          <w:lang w:val="it-IT"/>
        </w:rPr>
      </w:pPr>
    </w:p>
    <w:p w14:paraId="37EB970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u svojim odgovorima naglašavaju da se mnoge spoznaje o uspješnosti procesa spajanja i preuzimanja javljaju tek nakon što prođe određeno vrijeme od završetka formalne integracije. Retrospektivna evaluacija pritom se opisuje kao proces učenja kroz praksu, u kojem poduzeća prepoznaju vlastite snage, ali i područja u kojima su napravljene pogreške.</w:t>
      </w:r>
    </w:p>
    <w:p w14:paraId="640E9235" w14:textId="6BB58150" w:rsidR="00120B4F" w:rsidRPr="00BE5472" w:rsidRDefault="00120B4F" w:rsidP="00265834">
      <w:pPr>
        <w:spacing w:line="360" w:lineRule="auto"/>
        <w:ind w:left="851"/>
        <w:jc w:val="both"/>
        <w:rPr>
          <w:rFonts w:ascii="Times New Roman" w:hAnsi="Times New Roman" w:cs="Times New Roman"/>
          <w:sz w:val="24"/>
          <w:szCs w:val="24"/>
          <w:lang w:val="it-IT"/>
        </w:rPr>
      </w:pPr>
      <w:r w:rsidRPr="00BE5472">
        <w:rPr>
          <w:rFonts w:ascii="Times New Roman" w:hAnsi="Times New Roman" w:cs="Times New Roman"/>
          <w:i/>
          <w:lang w:val="it-IT"/>
        </w:rPr>
        <w:t>Tek s odmakom vremena mogli smo realno sagledati što smo napravili dobro, a gdje smo pogriješili u samom procesu integracije.</w:t>
      </w:r>
      <w:r w:rsidRPr="00BE5472">
        <w:rPr>
          <w:rFonts w:ascii="Times New Roman" w:hAnsi="Times New Roman" w:cs="Times New Roman"/>
          <w:lang w:val="it-IT"/>
        </w:rPr>
        <w:t xml:space="preserve"> (I2)</w:t>
      </w:r>
    </w:p>
    <w:p w14:paraId="1E0BD5D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Jedan od čestih elemenata retrospektivne evaluacije odnosi se na procjenu tempa i kvalitete provedbe integracije, pri čemu ispitanici navode da bi u nekim slučajevima danas pristupili procesu drugačije:</w:t>
      </w:r>
    </w:p>
    <w:p w14:paraId="47178A19" w14:textId="78A93DC2"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Danas bismo sigurno više vremena posvetili pripremi i detaljnijem snimanju procesa prije samog preuzimanja. Pod tim nisam mislio na sam M&amp;A proces, nego na svakodnevne operativne aktivnosti – način planiranja, donošenja odluka, financije, nabavu, izvještavanje i operativno upravljanje. Iako su standardi formalno postojali, u praksi su se često provodili drukčije. Da smo to ranije sustavno analizirali, lakše bismo prepoznali dobre prakse i brže uspostavili ujednačen, učinkovit način rada u spojenoj organizaciji.</w:t>
      </w:r>
      <w:r w:rsidRPr="00BE5472">
        <w:rPr>
          <w:rFonts w:ascii="Times New Roman" w:hAnsi="Times New Roman" w:cs="Times New Roman"/>
          <w:lang w:val="it-IT"/>
        </w:rPr>
        <w:t xml:space="preserve"> (I4)</w:t>
      </w:r>
    </w:p>
    <w:p w14:paraId="6D19B79F"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Iskustveno učenje također se povezuje s razvojem organizacijske zrelosti za buduće procese spajanja i preuzimanja. Ispitanici ističu da su prethodna iskustva omogućila jasnije definiranje očekivanja, realnije procjene rizika i učinkovitije upravljanje ključnim dionicima:</w:t>
      </w:r>
    </w:p>
    <w:p w14:paraId="0EA6471A" w14:textId="69787A5E"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Svaka sljedeća akvizicija bila je lakša jer smo točno znali gdje su kritične točke i na što moramo obratiti pažnju.</w:t>
      </w:r>
      <w:r w:rsidRPr="00BE5472">
        <w:rPr>
          <w:rFonts w:ascii="Times New Roman" w:hAnsi="Times New Roman" w:cs="Times New Roman"/>
          <w:lang w:val="it-IT"/>
        </w:rPr>
        <w:t xml:space="preserve"> (I6)</w:t>
      </w:r>
    </w:p>
    <w:p w14:paraId="1C02592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retrospektivnoj evaluaciji procesa spajanja i preuzimanja, ispitanici ističu da su se ključne spoznaje o potrebnim resursima i organizaciji integracije često oblikovale tek s vremenskim odmakom.</w:t>
      </w:r>
    </w:p>
    <w:p w14:paraId="21223908" w14:textId="7610DD69" w:rsidR="00120B4F" w:rsidRPr="00BE5472" w:rsidRDefault="00673D00"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lastRenderedPageBreak/>
        <w:t>D</w:t>
      </w:r>
      <w:r w:rsidR="00120B4F" w:rsidRPr="00BE5472">
        <w:rPr>
          <w:rFonts w:ascii="Times New Roman" w:hAnsi="Times New Roman" w:cs="Times New Roman"/>
          <w:i/>
          <w:lang w:val="it-IT"/>
        </w:rPr>
        <w:t>anas bih planirao više resursa i strukturiraniju fazu analize i post-integracije, kako bi se olakšao početak i ubrzao put prema uspjehu, koji se inače vidi tek u drugoj godini.</w:t>
      </w:r>
      <w:r w:rsidR="00120B4F" w:rsidRPr="00BE5472">
        <w:rPr>
          <w:rFonts w:ascii="Times New Roman" w:hAnsi="Times New Roman" w:cs="Times New Roman"/>
          <w:lang w:val="it-IT"/>
        </w:rPr>
        <w:t xml:space="preserve"> (I7)</w:t>
      </w:r>
    </w:p>
    <w:p w14:paraId="38F2ACEA" w14:textId="07BA707C"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Ovakve izjave upućuju na to da se puna učinkovitost procesa spajanja i preuzimanja često može procijeniti tek nakon duljeg razdoblja, pri čemu iskustvo prethodnih preuzimanja oblikuje realnija očekivanja i zreliji pristup budućim procesima.</w:t>
      </w:r>
    </w:p>
    <w:p w14:paraId="50E0720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Uz pitanje resursa i strukture integracije, ispitanici u retrospektivi posebno ističu važnost komunikacije kao područja u kojem bi danas postupali drugačije.</w:t>
      </w:r>
    </w:p>
    <w:p w14:paraId="4D82B13C" w14:textId="403B0BB4"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Još bih jasnije i transparentnije komunicirao. Ne samo s vrhom menadžmenta, nego i sa srednjim menadžmentom i ključnim timovima.</w:t>
      </w:r>
      <w:r w:rsidRPr="00BE5472">
        <w:rPr>
          <w:rFonts w:ascii="Times New Roman" w:hAnsi="Times New Roman" w:cs="Times New Roman"/>
          <w:lang w:val="it-IT"/>
        </w:rPr>
        <w:t xml:space="preserve"> (I8)</w:t>
      </w:r>
    </w:p>
    <w:p w14:paraId="29D623F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Ovakve izjave ispitanika ukazuju na to da se s vremenskim odmakom komunikacija prepoznaje kao jedan od ključnih čimbenika uspješnosti integracije, osobito u odnosu prema srednjem menadžmentu koji ima presudnu ulogu u provedbi promjena na operativnoj razini.</w:t>
      </w:r>
    </w:p>
    <w:p w14:paraId="172E740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Osim operativnih aspekata, organizacijsko učenje obuhvaća i širu stratešku dimenziju, uključujući važnost usklađivanja vlasničkih struktura, dioničarskih očekivanja i dugoročnih ciljeva organizacije:</w:t>
      </w:r>
    </w:p>
    <w:p w14:paraId="6C26EED6" w14:textId="1A4638AC" w:rsidR="00120B4F" w:rsidRPr="00BE5472" w:rsidRDefault="00120B4F" w:rsidP="00265834">
      <w:pPr>
        <w:spacing w:line="360" w:lineRule="auto"/>
        <w:ind w:left="851"/>
        <w:jc w:val="both"/>
        <w:rPr>
          <w:rFonts w:ascii="Times New Roman" w:hAnsi="Times New Roman" w:cs="Times New Roman"/>
          <w:lang w:val="it-IT"/>
        </w:rPr>
      </w:pPr>
      <w:r w:rsidRPr="00BE5472">
        <w:rPr>
          <w:rFonts w:ascii="Times New Roman" w:hAnsi="Times New Roman" w:cs="Times New Roman"/>
          <w:i/>
          <w:lang w:val="it-IT"/>
        </w:rPr>
        <w:t>Najveća lekcija bila je koliko je važno da su svi dioničari usuglašeni oko ciljeva preuzimanja od samog početka.</w:t>
      </w:r>
      <w:r w:rsidRPr="00BE5472">
        <w:rPr>
          <w:rFonts w:ascii="Times New Roman" w:hAnsi="Times New Roman" w:cs="Times New Roman"/>
          <w:lang w:val="it-IT"/>
        </w:rPr>
        <w:t xml:space="preserve"> (I9)</w:t>
      </w:r>
    </w:p>
    <w:p w14:paraId="2CA578F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Iskustveno učenje predstavlja ključni mehanizam unapređenja budućih procesa spajanja i preuzimanja, pri čemu retrospektivna evaluacija omogućuje poduzećima da sustavno ugrađuju stečena iskustva u svoje strateške i operativne prakse. Time se procesi spajanja i preuzimanja ne promatraju kao izolirani događaji, već kao dio kontinuiranog ciklusa učenja i prilagodbe.</w:t>
      </w:r>
    </w:p>
    <w:p w14:paraId="02F87502" w14:textId="3BABAC1D" w:rsidR="00C71388" w:rsidRPr="00BE5472" w:rsidRDefault="00120B4F" w:rsidP="00C71388">
      <w:pPr>
        <w:pStyle w:val="Heading2"/>
        <w:numPr>
          <w:ilvl w:val="1"/>
          <w:numId w:val="5"/>
        </w:numPr>
        <w:rPr>
          <w:rFonts w:ascii="Times New Roman" w:hAnsi="Times New Roman" w:cs="Times New Roman"/>
        </w:rPr>
      </w:pPr>
      <w:bookmarkStart w:id="172" w:name="_Toc241865168"/>
      <w:r w:rsidRPr="00BE5472">
        <w:rPr>
          <w:rFonts w:ascii="Times New Roman" w:hAnsi="Times New Roman" w:cs="Times New Roman"/>
        </w:rPr>
        <w:t>Rezultati opisnih (kvantitativnih) istraživanja</w:t>
      </w:r>
      <w:bookmarkEnd w:id="172"/>
    </w:p>
    <w:p w14:paraId="674D8469" w14:textId="77777777" w:rsidR="00C71388" w:rsidRPr="00BE5472" w:rsidRDefault="00C71388" w:rsidP="00C71388">
      <w:pPr>
        <w:rPr>
          <w:rFonts w:ascii="Times New Roman" w:hAnsi="Times New Roman" w:cs="Times New Roman"/>
        </w:rPr>
      </w:pPr>
    </w:p>
    <w:p w14:paraId="19B8199F" w14:textId="1BB19E0E"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ovom se potpoglavlju prikazuju rezultati opisnih</w:t>
      </w:r>
      <w:r w:rsidR="001A7B0F">
        <w:rPr>
          <w:rFonts w:ascii="Times New Roman" w:hAnsi="Times New Roman" w:cs="Times New Roman"/>
          <w:sz w:val="24"/>
          <w:szCs w:val="24"/>
        </w:rPr>
        <w:t xml:space="preserve"> </w:t>
      </w:r>
      <w:r w:rsidRPr="00BE5472">
        <w:rPr>
          <w:rFonts w:ascii="Times New Roman" w:hAnsi="Times New Roman" w:cs="Times New Roman"/>
          <w:sz w:val="24"/>
          <w:szCs w:val="24"/>
        </w:rPr>
        <w:t xml:space="preserve">istraživanja usmjerenih na ispitivanje važnosti i suglasnosti ključnih motiva i čimbenika uspješnosti procesa spajanja i preuzimanja u hrvatskom hotelijerstvu, </w:t>
      </w:r>
      <w:r w:rsidR="00F87611" w:rsidRPr="00BE5472">
        <w:rPr>
          <w:rFonts w:ascii="Times New Roman" w:hAnsi="Times New Roman" w:cs="Times New Roman"/>
          <w:sz w:val="24"/>
          <w:szCs w:val="24"/>
        </w:rPr>
        <w:t xml:space="preserve">na </w:t>
      </w:r>
      <w:r w:rsidRPr="00BE5472">
        <w:rPr>
          <w:rFonts w:ascii="Times New Roman" w:hAnsi="Times New Roman" w:cs="Times New Roman"/>
          <w:sz w:val="24"/>
          <w:szCs w:val="24"/>
        </w:rPr>
        <w:t>temelj</w:t>
      </w:r>
      <w:r w:rsidR="00F87611" w:rsidRPr="00BE5472">
        <w:rPr>
          <w:rFonts w:ascii="Times New Roman" w:hAnsi="Times New Roman" w:cs="Times New Roman"/>
          <w:sz w:val="24"/>
          <w:szCs w:val="24"/>
        </w:rPr>
        <w:t>u</w:t>
      </w:r>
      <w:r w:rsidRPr="00BE5472">
        <w:rPr>
          <w:rFonts w:ascii="Times New Roman" w:hAnsi="Times New Roman" w:cs="Times New Roman"/>
          <w:sz w:val="24"/>
          <w:szCs w:val="24"/>
        </w:rPr>
        <w:t xml:space="preserve"> primjene standardiziranih mjernih instrumenata i statističke obrade podataka.</w:t>
      </w:r>
    </w:p>
    <w:p w14:paraId="6408E5C5" w14:textId="77777777" w:rsidR="001A7B0F" w:rsidRDefault="001A7B0F" w:rsidP="00C71388">
      <w:pPr>
        <w:pStyle w:val="Heading3"/>
        <w:rPr>
          <w:rFonts w:ascii="Times New Roman" w:hAnsi="Times New Roman" w:cs="Times New Roman"/>
        </w:rPr>
        <w:sectPr w:rsidR="001A7B0F" w:rsidSect="00120B4F">
          <w:pgSz w:w="11909" w:h="16834" w:code="9"/>
          <w:pgMar w:top="1440" w:right="1440" w:bottom="1440" w:left="1440" w:header="720" w:footer="720" w:gutter="0"/>
          <w:cols w:space="720"/>
          <w:docGrid w:linePitch="360"/>
        </w:sectPr>
      </w:pPr>
    </w:p>
    <w:p w14:paraId="46BBB4AA" w14:textId="74C9E6B0" w:rsidR="00120B4F" w:rsidRDefault="00120B4F" w:rsidP="00C71388">
      <w:pPr>
        <w:pStyle w:val="Heading3"/>
        <w:rPr>
          <w:rFonts w:ascii="Times New Roman" w:hAnsi="Times New Roman" w:cs="Times New Roman"/>
        </w:rPr>
      </w:pPr>
      <w:bookmarkStart w:id="173" w:name="_Toc241865169"/>
      <w:r w:rsidRPr="00BE5472">
        <w:rPr>
          <w:rFonts w:ascii="Times New Roman" w:hAnsi="Times New Roman" w:cs="Times New Roman"/>
        </w:rPr>
        <w:lastRenderedPageBreak/>
        <w:t>5.2.1. Ključni motivi i čimbenici uspjeha procesa spajanja i preuzimanja – prikaz empirijskih rezultata</w:t>
      </w:r>
      <w:bookmarkEnd w:id="173"/>
    </w:p>
    <w:p w14:paraId="72D17B35" w14:textId="77777777" w:rsidR="001A7B0F" w:rsidRPr="001A7B0F" w:rsidRDefault="001A7B0F" w:rsidP="001A7B0F"/>
    <w:p w14:paraId="2A0EB7AC" w14:textId="467459FE"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Ovo poglavlje prikazuje rezultate empirijskog istraživanja provedenog s ciljem identifikacije ključnih motiva i čimbenika uspjeha procesa spajanja i preuzimanja u hrvatskom hotelijerstvu. Istraživanje se temeljilo na višefaznom metodološkom pristupu koji je obuhvaćao dv</w:t>
      </w:r>
      <w:r w:rsidR="00E75A6B" w:rsidRPr="00BE5472">
        <w:rPr>
          <w:rFonts w:ascii="Times New Roman" w:hAnsi="Times New Roman" w:cs="Times New Roman"/>
          <w:sz w:val="24"/>
          <w:szCs w:val="24"/>
        </w:rPr>
        <w:t>a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u kojima su stručnjaci s relevantnim iskustvom u području spajanja i preuzimanja evaluirali inicijalni skup motiva i čimbenika te sudjelovali u njihovoj selekciji i sužavanju. Na temelju rezultata drug</w:t>
      </w:r>
      <w:r w:rsidR="00E75A6B"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formiran je konačni skup motiva i čimbenika, koji je poslužio kao temelj za provođenje polustrukturiranih intervjua s menadžerima hotelskih poduzeća izravno uključenima u konkretne procese spajanja i preuzimanja. Struktura poglavlja slijedi fazni pristup procesu spajanja i preuzimanja, obuhvaćajući motive pokretanja procesa, čimbenike uspjeha u fazi prije preuzimanja, tijekom integracije te u postakvizicijskoj fazi.</w:t>
      </w:r>
    </w:p>
    <w:p w14:paraId="11A91A21" w14:textId="4B298B17" w:rsidR="00120B4F" w:rsidRDefault="00120B4F" w:rsidP="009414AD">
      <w:pPr>
        <w:pStyle w:val="Heading4"/>
        <w:rPr>
          <w:rFonts w:ascii="Times New Roman" w:hAnsi="Times New Roman" w:cs="Times New Roman"/>
        </w:rPr>
      </w:pPr>
      <w:bookmarkStart w:id="174" w:name="_Toc241865170"/>
      <w:bookmarkStart w:id="175" w:name="_Hlk221358243"/>
      <w:r w:rsidRPr="00BE5472">
        <w:rPr>
          <w:rFonts w:ascii="Times New Roman" w:hAnsi="Times New Roman" w:cs="Times New Roman"/>
        </w:rPr>
        <w:t>5.2.1.1. Rezultati prv</w:t>
      </w:r>
      <w:r w:rsidR="00475AB2" w:rsidRPr="00BE5472">
        <w:rPr>
          <w:rFonts w:ascii="Times New Roman" w:hAnsi="Times New Roman" w:cs="Times New Roman"/>
        </w:rPr>
        <w:t>og ciklusa</w:t>
      </w:r>
      <w:r w:rsidRPr="00BE5472">
        <w:rPr>
          <w:rFonts w:ascii="Times New Roman" w:hAnsi="Times New Roman" w:cs="Times New Roman"/>
        </w:rPr>
        <w:t xml:space="preserve"> </w:t>
      </w:r>
      <w:r w:rsidRPr="00BE5472">
        <w:rPr>
          <w:rFonts w:ascii="Times New Roman" w:hAnsi="Times New Roman" w:cs="Times New Roman"/>
          <w:i w:val="0"/>
          <w:iCs w:val="0"/>
        </w:rPr>
        <w:t>Delphi</w:t>
      </w:r>
      <w:r w:rsidRPr="00BE5472">
        <w:rPr>
          <w:rFonts w:ascii="Times New Roman" w:hAnsi="Times New Roman" w:cs="Times New Roman"/>
        </w:rPr>
        <w:t xml:space="preserve"> postupka</w:t>
      </w:r>
      <w:bookmarkEnd w:id="174"/>
    </w:p>
    <w:p w14:paraId="09C2580C" w14:textId="77777777" w:rsidR="001A7B0F" w:rsidRPr="001A7B0F" w:rsidRDefault="001A7B0F" w:rsidP="001A7B0F"/>
    <w:bookmarkEnd w:id="175"/>
    <w:p w14:paraId="1F5C12E5" w14:textId="7E8F47AF"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prvom dijelu ovog po</w:t>
      </w:r>
      <w:r w:rsidR="006170A1" w:rsidRPr="00BE5472">
        <w:rPr>
          <w:rFonts w:ascii="Times New Roman" w:hAnsi="Times New Roman" w:cs="Times New Roman"/>
          <w:sz w:val="24"/>
          <w:szCs w:val="24"/>
        </w:rPr>
        <w:t>t</w:t>
      </w:r>
      <w:r w:rsidRPr="00BE5472">
        <w:rPr>
          <w:rFonts w:ascii="Times New Roman" w:hAnsi="Times New Roman" w:cs="Times New Roman"/>
          <w:sz w:val="24"/>
          <w:szCs w:val="24"/>
        </w:rPr>
        <w:t>poglavlja prikazani su rezultati prv</w:t>
      </w:r>
      <w:r w:rsidR="00E75A6B"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čiji je cilj bio inicijalna evaluacija širokog skupa motiva i čimbenika relevantnih za proces spajanja i preuzimanja u hrvatskom hotelijerstvu. U ovoj fazi istraživanja stručnjaci su ocjenjivali važnost identificiranih motiva i čimbenika te time sudjelovali u njihovoj preliminarnoj selekciji za daljnju analizu. Rezultati prv</w:t>
      </w:r>
      <w:r w:rsidR="00E75A6B"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prikazani su fazno, sukladno strukturi procesa spajanja i preuzimanja, počevši od motiva pokretanja procesa, zatim čimbenika uspjeha u fazi prije preuzimanja, tijekom integracije te u postakvizicijskoj fazi.</w:t>
      </w:r>
    </w:p>
    <w:p w14:paraId="5A8B9413" w14:textId="426A1ED4" w:rsidR="002D7A95" w:rsidRPr="00BE5472" w:rsidRDefault="002D7A95" w:rsidP="002D7A95">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Kako bi se omogućila cjelovita usporedba svih motiva i čimbenika obuhvaćenih prvim ciklusom </w:t>
      </w:r>
      <w:r w:rsidRPr="00BE5472">
        <w:rPr>
          <w:rFonts w:ascii="Times New Roman" w:hAnsi="Times New Roman" w:cs="Times New Roman"/>
          <w:bCs/>
          <w:i/>
          <w:iCs/>
          <w:sz w:val="24"/>
          <w:szCs w:val="24"/>
        </w:rPr>
        <w:t>Delphi</w:t>
      </w:r>
      <w:r w:rsidRPr="00BE5472">
        <w:rPr>
          <w:rFonts w:ascii="Times New Roman" w:hAnsi="Times New Roman" w:cs="Times New Roman"/>
          <w:bCs/>
          <w:sz w:val="24"/>
          <w:szCs w:val="24"/>
        </w:rPr>
        <w:t xml:space="preserve"> postupka te osigurala metodološki utemeljena selekcija varijabli za daljnje faze istraživanja, u nastavku je prikazana sumarna </w:t>
      </w:r>
      <w:r w:rsidR="00852F1F" w:rsidRPr="00BE5472">
        <w:rPr>
          <w:rFonts w:ascii="Times New Roman" w:hAnsi="Times New Roman" w:cs="Times New Roman"/>
          <w:bCs/>
          <w:sz w:val="24"/>
          <w:szCs w:val="24"/>
        </w:rPr>
        <w:t>T</w:t>
      </w:r>
      <w:r w:rsidRPr="00BE5472">
        <w:rPr>
          <w:rFonts w:ascii="Times New Roman" w:hAnsi="Times New Roman" w:cs="Times New Roman"/>
          <w:bCs/>
          <w:sz w:val="24"/>
          <w:szCs w:val="24"/>
        </w:rPr>
        <w:t>ablica 29 koja objedinjeno prikazuje rezultate za sve motive i čimbenike, uključujući linearno ponderirani indeks suglasnosti kao mjeru stupnja slaganja među stručnjacima.</w:t>
      </w:r>
    </w:p>
    <w:p w14:paraId="37BC8128" w14:textId="77777777" w:rsidR="002D7A95" w:rsidRPr="00BE5472" w:rsidRDefault="002D7A95" w:rsidP="002D7A95">
      <w:pPr>
        <w:jc w:val="both"/>
        <w:rPr>
          <w:rFonts w:ascii="Times New Roman" w:hAnsi="Times New Roman" w:cs="Times New Roman"/>
          <w:sz w:val="24"/>
          <w:szCs w:val="24"/>
        </w:rPr>
      </w:pPr>
    </w:p>
    <w:p w14:paraId="5D3E1823" w14:textId="77777777" w:rsidR="003131C4" w:rsidRDefault="003131C4" w:rsidP="002D7A95">
      <w:pPr>
        <w:jc w:val="both"/>
        <w:rPr>
          <w:rFonts w:ascii="Times New Roman" w:hAnsi="Times New Roman" w:cs="Times New Roman"/>
          <w:sz w:val="24"/>
          <w:szCs w:val="24"/>
        </w:rPr>
        <w:sectPr w:rsidR="003131C4" w:rsidSect="00120B4F">
          <w:pgSz w:w="11909" w:h="16834" w:code="9"/>
          <w:pgMar w:top="1440" w:right="1440" w:bottom="1440" w:left="1440" w:header="720" w:footer="720" w:gutter="0"/>
          <w:cols w:space="720"/>
          <w:docGrid w:linePitch="360"/>
        </w:sectPr>
      </w:pPr>
    </w:p>
    <w:p w14:paraId="55B3B6B8" w14:textId="66A3BC6B" w:rsidR="002D7A95" w:rsidRPr="00E1098E" w:rsidRDefault="00E1098E" w:rsidP="00E1098E">
      <w:pPr>
        <w:pStyle w:val="Caption"/>
        <w:rPr>
          <w:rFonts w:ascii="Times New Roman" w:hAnsi="Times New Roman" w:cs="Times New Roman"/>
          <w:sz w:val="24"/>
          <w:szCs w:val="24"/>
          <w:lang w:val="it-IT"/>
        </w:rPr>
      </w:pPr>
      <w:bookmarkStart w:id="176" w:name="_Toc241865223"/>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29</w:t>
      </w:r>
      <w:r w:rsidRPr="00E1098E">
        <w:rPr>
          <w:rFonts w:ascii="Times New Roman" w:hAnsi="Times New Roman" w:cs="Times New Roman"/>
          <w:sz w:val="24"/>
          <w:szCs w:val="24"/>
        </w:rPr>
        <w:fldChar w:fldCharType="end"/>
      </w:r>
      <w:r w:rsidR="002D7A95" w:rsidRPr="00E1098E">
        <w:rPr>
          <w:rFonts w:ascii="Times New Roman" w:hAnsi="Times New Roman" w:cs="Times New Roman"/>
          <w:sz w:val="24"/>
          <w:szCs w:val="24"/>
        </w:rPr>
        <w:t xml:space="preserve">: </w:t>
      </w:r>
      <w:r w:rsidR="002D7A95" w:rsidRPr="00E1098E">
        <w:rPr>
          <w:rFonts w:ascii="Times New Roman" w:hAnsi="Times New Roman" w:cs="Times New Roman"/>
          <w:sz w:val="24"/>
          <w:szCs w:val="24"/>
          <w:lang w:val="it-IT"/>
        </w:rPr>
        <w:t>Sumarni prikaz rezultata prvog ciklusa Delphi postupka s linearno ponderiranim indeksom suglasnosti</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854"/>
        <w:gridCol w:w="1537"/>
        <w:gridCol w:w="886"/>
      </w:tblGrid>
      <w:tr w:rsidR="002D7A95" w:rsidRPr="00BE5472" w14:paraId="2AAF5645" w14:textId="77777777" w:rsidTr="003C2F5B">
        <w:trPr>
          <w:trHeight w:val="855"/>
        </w:trPr>
        <w:tc>
          <w:tcPr>
            <w:tcW w:w="370" w:type="pct"/>
            <w:noWrap/>
            <w:vAlign w:val="center"/>
            <w:hideMark/>
          </w:tcPr>
          <w:p w14:paraId="6A758CDA" w14:textId="77777777" w:rsidR="002D7A95" w:rsidRPr="00BE5472" w:rsidRDefault="002D7A95" w:rsidP="003C2F5B">
            <w:pPr>
              <w:jc w:val="center"/>
              <w:rPr>
                <w:rFonts w:ascii="Times New Roman" w:hAnsi="Times New Roman" w:cs="Times New Roman"/>
                <w:sz w:val="24"/>
                <w:szCs w:val="24"/>
              </w:rPr>
            </w:pPr>
          </w:p>
        </w:tc>
        <w:tc>
          <w:tcPr>
            <w:tcW w:w="3344" w:type="pct"/>
            <w:vAlign w:val="bottom"/>
            <w:hideMark/>
          </w:tcPr>
          <w:p w14:paraId="3AA9897F" w14:textId="77777777" w:rsidR="002D7A95" w:rsidRPr="00BE5472" w:rsidRDefault="002D7A95" w:rsidP="003C2F5B">
            <w:pPr>
              <w:jc w:val="both"/>
              <w:rPr>
                <w:rFonts w:ascii="Times New Roman" w:hAnsi="Times New Roman" w:cs="Times New Roman"/>
                <w:b/>
                <w:sz w:val="24"/>
                <w:szCs w:val="24"/>
              </w:rPr>
            </w:pPr>
            <w:r w:rsidRPr="00BE5472">
              <w:rPr>
                <w:rFonts w:ascii="Times New Roman" w:hAnsi="Times New Roman" w:cs="Times New Roman"/>
                <w:b/>
                <w:sz w:val="24"/>
                <w:szCs w:val="24"/>
              </w:rPr>
              <w:t>Motivi i čimbenici u svim fazama procesa spajanja i preuzimanja</w:t>
            </w:r>
          </w:p>
        </w:tc>
        <w:tc>
          <w:tcPr>
            <w:tcW w:w="832" w:type="pct"/>
            <w:vAlign w:val="center"/>
            <w:hideMark/>
          </w:tcPr>
          <w:p w14:paraId="150CA21C" w14:textId="77777777" w:rsidR="002D7A95" w:rsidRPr="00BE5472" w:rsidRDefault="002D7A95" w:rsidP="003C2F5B">
            <w:pPr>
              <w:jc w:val="center"/>
              <w:rPr>
                <w:rFonts w:ascii="Times New Roman" w:hAnsi="Times New Roman" w:cs="Times New Roman"/>
                <w:b/>
                <w:sz w:val="24"/>
                <w:szCs w:val="24"/>
              </w:rPr>
            </w:pPr>
            <w:r w:rsidRPr="00BE5472">
              <w:rPr>
                <w:rFonts w:ascii="Times New Roman" w:hAnsi="Times New Roman" w:cs="Times New Roman"/>
                <w:b/>
                <w:sz w:val="24"/>
                <w:szCs w:val="24"/>
              </w:rPr>
              <w:t>Linearno ponderirani indeks suglasnosti</w:t>
            </w:r>
          </w:p>
        </w:tc>
        <w:tc>
          <w:tcPr>
            <w:tcW w:w="453" w:type="pct"/>
            <w:vAlign w:val="center"/>
            <w:hideMark/>
          </w:tcPr>
          <w:p w14:paraId="20B3BEE7" w14:textId="77777777" w:rsidR="002D7A95" w:rsidRPr="00BE5472" w:rsidRDefault="002D7A95" w:rsidP="003C2F5B">
            <w:pPr>
              <w:jc w:val="center"/>
              <w:rPr>
                <w:rFonts w:ascii="Times New Roman" w:hAnsi="Times New Roman" w:cs="Times New Roman"/>
                <w:b/>
                <w:sz w:val="24"/>
                <w:szCs w:val="24"/>
              </w:rPr>
            </w:pPr>
            <w:r w:rsidRPr="00BE5472">
              <w:rPr>
                <w:rFonts w:ascii="Times New Roman" w:hAnsi="Times New Roman" w:cs="Times New Roman"/>
                <w:b/>
                <w:sz w:val="24"/>
                <w:szCs w:val="24"/>
              </w:rPr>
              <w:t>M</w:t>
            </w:r>
          </w:p>
        </w:tc>
      </w:tr>
      <w:tr w:rsidR="002D7A95" w:rsidRPr="00BE5472" w14:paraId="044087D2" w14:textId="77777777" w:rsidTr="003C2F5B">
        <w:trPr>
          <w:trHeight w:val="855"/>
        </w:trPr>
        <w:tc>
          <w:tcPr>
            <w:tcW w:w="5000" w:type="pct"/>
            <w:gridSpan w:val="4"/>
            <w:noWrap/>
            <w:vAlign w:val="center"/>
          </w:tcPr>
          <w:p w14:paraId="238D714E" w14:textId="77777777" w:rsidR="002D7A95" w:rsidRPr="00BE5472" w:rsidRDefault="002D7A95" w:rsidP="003C2F5B">
            <w:pPr>
              <w:jc w:val="center"/>
              <w:rPr>
                <w:rFonts w:ascii="Times New Roman" w:hAnsi="Times New Roman" w:cs="Times New Roman"/>
                <w:b/>
                <w:sz w:val="24"/>
                <w:szCs w:val="24"/>
              </w:rPr>
            </w:pPr>
            <w:r w:rsidRPr="00BE5472">
              <w:rPr>
                <w:rFonts w:ascii="Times New Roman" w:hAnsi="Times New Roman" w:cs="Times New Roman"/>
                <w:b/>
                <w:caps/>
                <w:sz w:val="24"/>
                <w:szCs w:val="24"/>
              </w:rPr>
              <w:t>Motivi za pokretanje procesa spajanja i preuzimanja u hrvatskom hotelijerstvu</w:t>
            </w:r>
          </w:p>
        </w:tc>
      </w:tr>
      <w:tr w:rsidR="002D7A95" w:rsidRPr="00BE5472" w14:paraId="6FDF61FE" w14:textId="77777777" w:rsidTr="003C2F5B">
        <w:trPr>
          <w:trHeight w:val="300"/>
        </w:trPr>
        <w:tc>
          <w:tcPr>
            <w:tcW w:w="370" w:type="pct"/>
            <w:noWrap/>
            <w:vAlign w:val="center"/>
            <w:hideMark/>
          </w:tcPr>
          <w:p w14:paraId="3AA7258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w:t>
            </w:r>
          </w:p>
        </w:tc>
        <w:tc>
          <w:tcPr>
            <w:tcW w:w="3344" w:type="pct"/>
            <w:vAlign w:val="bottom"/>
            <w:hideMark/>
          </w:tcPr>
          <w:p w14:paraId="3957AC9F"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Osiguranje održivog rast poduzeća preuzimatelja</w:t>
            </w:r>
          </w:p>
        </w:tc>
        <w:tc>
          <w:tcPr>
            <w:tcW w:w="832" w:type="pct"/>
            <w:vAlign w:val="center"/>
            <w:hideMark/>
          </w:tcPr>
          <w:p w14:paraId="73861DE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0.72</w:t>
            </w:r>
          </w:p>
        </w:tc>
        <w:tc>
          <w:tcPr>
            <w:tcW w:w="453" w:type="pct"/>
            <w:vAlign w:val="center"/>
            <w:hideMark/>
          </w:tcPr>
          <w:p w14:paraId="7B365EC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0EF46A6C" w14:textId="77777777" w:rsidTr="003C2F5B">
        <w:trPr>
          <w:trHeight w:val="300"/>
        </w:trPr>
        <w:tc>
          <w:tcPr>
            <w:tcW w:w="370" w:type="pct"/>
            <w:noWrap/>
            <w:vAlign w:val="center"/>
            <w:hideMark/>
          </w:tcPr>
          <w:p w14:paraId="67BF3BC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w:t>
            </w:r>
          </w:p>
        </w:tc>
        <w:tc>
          <w:tcPr>
            <w:tcW w:w="3344" w:type="pct"/>
            <w:vAlign w:val="bottom"/>
            <w:hideMark/>
          </w:tcPr>
          <w:p w14:paraId="2E65B197"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Povećanje vrijednosti (dionica) poduzeća preuzimatelja</w:t>
            </w:r>
          </w:p>
        </w:tc>
        <w:tc>
          <w:tcPr>
            <w:tcW w:w="832" w:type="pct"/>
            <w:vAlign w:val="center"/>
            <w:hideMark/>
          </w:tcPr>
          <w:p w14:paraId="0E5AB55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48EB890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1001FEDA" w14:textId="77777777" w:rsidTr="003C2F5B">
        <w:trPr>
          <w:trHeight w:val="300"/>
        </w:trPr>
        <w:tc>
          <w:tcPr>
            <w:tcW w:w="370" w:type="pct"/>
            <w:noWrap/>
            <w:vAlign w:val="center"/>
            <w:hideMark/>
          </w:tcPr>
          <w:p w14:paraId="51A3706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w:t>
            </w:r>
          </w:p>
        </w:tc>
        <w:tc>
          <w:tcPr>
            <w:tcW w:w="3344" w:type="pct"/>
            <w:vAlign w:val="bottom"/>
            <w:hideMark/>
          </w:tcPr>
          <w:p w14:paraId="061BD79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Ostvarivanje liderske pozicije u industriji</w:t>
            </w:r>
          </w:p>
        </w:tc>
        <w:tc>
          <w:tcPr>
            <w:tcW w:w="832" w:type="pct"/>
            <w:vAlign w:val="center"/>
            <w:hideMark/>
          </w:tcPr>
          <w:p w14:paraId="752B84B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0.67</w:t>
            </w:r>
          </w:p>
        </w:tc>
        <w:tc>
          <w:tcPr>
            <w:tcW w:w="453" w:type="pct"/>
            <w:vAlign w:val="center"/>
            <w:hideMark/>
          </w:tcPr>
          <w:p w14:paraId="218F42C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4AF52BB5" w14:textId="77777777" w:rsidTr="003C2F5B">
        <w:trPr>
          <w:trHeight w:val="300"/>
        </w:trPr>
        <w:tc>
          <w:tcPr>
            <w:tcW w:w="370" w:type="pct"/>
            <w:noWrap/>
            <w:vAlign w:val="center"/>
            <w:hideMark/>
          </w:tcPr>
          <w:p w14:paraId="379A9EE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w:t>
            </w:r>
          </w:p>
        </w:tc>
        <w:tc>
          <w:tcPr>
            <w:tcW w:w="3344" w:type="pct"/>
            <w:vAlign w:val="bottom"/>
            <w:hideMark/>
          </w:tcPr>
          <w:p w14:paraId="41CED61D"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Povećanje tržišnog udjela poduzeća preuzimatelja</w:t>
            </w:r>
          </w:p>
        </w:tc>
        <w:tc>
          <w:tcPr>
            <w:tcW w:w="832" w:type="pct"/>
            <w:vAlign w:val="center"/>
            <w:hideMark/>
          </w:tcPr>
          <w:p w14:paraId="36F8FA5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453" w:type="pct"/>
            <w:vAlign w:val="center"/>
            <w:hideMark/>
          </w:tcPr>
          <w:p w14:paraId="08A8B35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2D7A95" w:rsidRPr="00BE5472" w14:paraId="3DAE5C34" w14:textId="77777777" w:rsidTr="003C2F5B">
        <w:trPr>
          <w:trHeight w:val="600"/>
        </w:trPr>
        <w:tc>
          <w:tcPr>
            <w:tcW w:w="370" w:type="pct"/>
            <w:noWrap/>
            <w:vAlign w:val="center"/>
            <w:hideMark/>
          </w:tcPr>
          <w:p w14:paraId="3A9A987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w:t>
            </w:r>
          </w:p>
        </w:tc>
        <w:tc>
          <w:tcPr>
            <w:tcW w:w="3344" w:type="pct"/>
            <w:vAlign w:val="bottom"/>
            <w:hideMark/>
          </w:tcPr>
          <w:p w14:paraId="57D71126"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Proširivanje tržišnih segmenata (baze kupaca) poduzeća preuzimatelja sirenjem ponude na postojećem ili novom tržištu – destinaciji</w:t>
            </w:r>
          </w:p>
        </w:tc>
        <w:tc>
          <w:tcPr>
            <w:tcW w:w="832" w:type="pct"/>
            <w:vAlign w:val="center"/>
            <w:hideMark/>
          </w:tcPr>
          <w:p w14:paraId="70B9C06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2118562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37D203D5" w14:textId="77777777" w:rsidTr="003C2F5B">
        <w:trPr>
          <w:trHeight w:val="600"/>
        </w:trPr>
        <w:tc>
          <w:tcPr>
            <w:tcW w:w="370" w:type="pct"/>
            <w:noWrap/>
            <w:vAlign w:val="center"/>
            <w:hideMark/>
          </w:tcPr>
          <w:p w14:paraId="651413A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w:t>
            </w:r>
          </w:p>
        </w:tc>
        <w:tc>
          <w:tcPr>
            <w:tcW w:w="3344" w:type="pct"/>
            <w:vAlign w:val="bottom"/>
            <w:hideMark/>
          </w:tcPr>
          <w:p w14:paraId="4E42C290"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Povećanje kapaciteta poduzeća preuzimatelja (uz manje kapitalne i operativne troškove nego li sto bi to bilo u slučaju izgradnje novih vlastitih objekata)</w:t>
            </w:r>
          </w:p>
        </w:tc>
        <w:tc>
          <w:tcPr>
            <w:tcW w:w="832" w:type="pct"/>
            <w:vAlign w:val="center"/>
            <w:hideMark/>
          </w:tcPr>
          <w:p w14:paraId="722EE06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0B64DF2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1904F16F" w14:textId="77777777" w:rsidTr="003C2F5B">
        <w:trPr>
          <w:trHeight w:val="300"/>
        </w:trPr>
        <w:tc>
          <w:tcPr>
            <w:tcW w:w="370" w:type="pct"/>
            <w:noWrap/>
            <w:vAlign w:val="center"/>
            <w:hideMark/>
          </w:tcPr>
          <w:p w14:paraId="0EE9D75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w:t>
            </w:r>
          </w:p>
        </w:tc>
        <w:tc>
          <w:tcPr>
            <w:tcW w:w="3344" w:type="pct"/>
            <w:vAlign w:val="bottom"/>
            <w:hideMark/>
          </w:tcPr>
          <w:p w14:paraId="3BF74A6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Smanjivanje troškova (racionalizacija poslovanja) spajanjem dva srodna poduzeća (učinci ekonomije obujma)</w:t>
            </w:r>
          </w:p>
        </w:tc>
        <w:tc>
          <w:tcPr>
            <w:tcW w:w="832" w:type="pct"/>
            <w:vAlign w:val="center"/>
            <w:hideMark/>
          </w:tcPr>
          <w:p w14:paraId="18EEE9F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0.65</w:t>
            </w:r>
          </w:p>
        </w:tc>
        <w:tc>
          <w:tcPr>
            <w:tcW w:w="453" w:type="pct"/>
            <w:vAlign w:val="center"/>
            <w:hideMark/>
          </w:tcPr>
          <w:p w14:paraId="2091EB8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4EAC10FD" w14:textId="77777777" w:rsidTr="003C2F5B">
        <w:trPr>
          <w:trHeight w:val="300"/>
        </w:trPr>
        <w:tc>
          <w:tcPr>
            <w:tcW w:w="370" w:type="pct"/>
            <w:noWrap/>
            <w:vAlign w:val="center"/>
            <w:hideMark/>
          </w:tcPr>
          <w:p w14:paraId="6DAEF7E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8</w:t>
            </w:r>
          </w:p>
        </w:tc>
        <w:tc>
          <w:tcPr>
            <w:tcW w:w="3344" w:type="pct"/>
            <w:vAlign w:val="bottom"/>
            <w:hideMark/>
          </w:tcPr>
          <w:p w14:paraId="6C6A3FA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Jačanja marke i reputacije poduzeća preuzimatelja</w:t>
            </w:r>
          </w:p>
        </w:tc>
        <w:tc>
          <w:tcPr>
            <w:tcW w:w="832" w:type="pct"/>
            <w:vAlign w:val="center"/>
            <w:hideMark/>
          </w:tcPr>
          <w:p w14:paraId="43199DF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453" w:type="pct"/>
            <w:vAlign w:val="center"/>
            <w:hideMark/>
          </w:tcPr>
          <w:p w14:paraId="48CF2AD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0BEFC8FF" w14:textId="77777777" w:rsidTr="003C2F5B">
        <w:trPr>
          <w:trHeight w:val="300"/>
        </w:trPr>
        <w:tc>
          <w:tcPr>
            <w:tcW w:w="370" w:type="pct"/>
            <w:noWrap/>
            <w:vAlign w:val="center"/>
            <w:hideMark/>
          </w:tcPr>
          <w:p w14:paraId="3A14964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9</w:t>
            </w:r>
          </w:p>
        </w:tc>
        <w:tc>
          <w:tcPr>
            <w:tcW w:w="3344" w:type="pct"/>
            <w:vAlign w:val="bottom"/>
            <w:hideMark/>
          </w:tcPr>
          <w:p w14:paraId="42D6BA06"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Poboljšanje kreditne sposobnosti novoosnovanog poduzeća</w:t>
            </w:r>
          </w:p>
        </w:tc>
        <w:tc>
          <w:tcPr>
            <w:tcW w:w="832" w:type="pct"/>
            <w:vAlign w:val="center"/>
            <w:hideMark/>
          </w:tcPr>
          <w:p w14:paraId="42AB5EE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4364C53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2.67</w:t>
            </w:r>
          </w:p>
        </w:tc>
      </w:tr>
      <w:tr w:rsidR="002D7A95" w:rsidRPr="00BE5472" w14:paraId="6E55A196" w14:textId="77777777" w:rsidTr="003C2F5B">
        <w:trPr>
          <w:trHeight w:val="300"/>
        </w:trPr>
        <w:tc>
          <w:tcPr>
            <w:tcW w:w="370" w:type="pct"/>
            <w:noWrap/>
            <w:vAlign w:val="center"/>
            <w:hideMark/>
          </w:tcPr>
          <w:p w14:paraId="08FEA09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w:t>
            </w:r>
          </w:p>
        </w:tc>
        <w:tc>
          <w:tcPr>
            <w:tcW w:w="3344" w:type="pct"/>
            <w:vAlign w:val="bottom"/>
            <w:hideMark/>
          </w:tcPr>
          <w:p w14:paraId="2B62FB40"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Kontrola upravljačke strukture u poduzeću meti radi utjecaja na njezino buduće poslovanje</w:t>
            </w:r>
          </w:p>
        </w:tc>
        <w:tc>
          <w:tcPr>
            <w:tcW w:w="832" w:type="pct"/>
            <w:vAlign w:val="center"/>
            <w:hideMark/>
          </w:tcPr>
          <w:p w14:paraId="0F4D838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0.50</w:t>
            </w:r>
          </w:p>
        </w:tc>
        <w:tc>
          <w:tcPr>
            <w:tcW w:w="453" w:type="pct"/>
            <w:vAlign w:val="center"/>
            <w:hideMark/>
          </w:tcPr>
          <w:p w14:paraId="2BBC354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172D5CDF" w14:textId="77777777" w:rsidTr="003C2F5B">
        <w:trPr>
          <w:trHeight w:val="300"/>
        </w:trPr>
        <w:tc>
          <w:tcPr>
            <w:tcW w:w="370" w:type="pct"/>
            <w:noWrap/>
            <w:vAlign w:val="center"/>
            <w:hideMark/>
          </w:tcPr>
          <w:p w14:paraId="6624F6C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11</w:t>
            </w:r>
          </w:p>
        </w:tc>
        <w:tc>
          <w:tcPr>
            <w:tcW w:w="3344" w:type="pct"/>
            <w:vAlign w:val="bottom"/>
            <w:hideMark/>
          </w:tcPr>
          <w:p w14:paraId="331CBAF7"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Preuzimanje ključnih zaposlenika i talenata iz poduzeća mete</w:t>
            </w:r>
          </w:p>
        </w:tc>
        <w:tc>
          <w:tcPr>
            <w:tcW w:w="832" w:type="pct"/>
            <w:vAlign w:val="center"/>
            <w:hideMark/>
          </w:tcPr>
          <w:p w14:paraId="703D5AD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0.85</w:t>
            </w:r>
          </w:p>
        </w:tc>
        <w:tc>
          <w:tcPr>
            <w:tcW w:w="453" w:type="pct"/>
            <w:vAlign w:val="center"/>
            <w:hideMark/>
          </w:tcPr>
          <w:p w14:paraId="7CD1C98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2.50</w:t>
            </w:r>
          </w:p>
        </w:tc>
      </w:tr>
      <w:tr w:rsidR="002D7A95" w:rsidRPr="00BE5472" w14:paraId="467960F5" w14:textId="77777777" w:rsidTr="003C2F5B">
        <w:trPr>
          <w:trHeight w:val="300"/>
        </w:trPr>
        <w:tc>
          <w:tcPr>
            <w:tcW w:w="370" w:type="pct"/>
            <w:noWrap/>
            <w:vAlign w:val="center"/>
            <w:hideMark/>
          </w:tcPr>
          <w:p w14:paraId="4250913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12</w:t>
            </w:r>
          </w:p>
        </w:tc>
        <w:tc>
          <w:tcPr>
            <w:tcW w:w="3344" w:type="pct"/>
            <w:vAlign w:val="bottom"/>
            <w:hideMark/>
          </w:tcPr>
          <w:p w14:paraId="27E0637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Ispunjavanje osobnih ciljeva i/ili vizije izvrsnog direktora poduzeća preuzimatelja</w:t>
            </w:r>
          </w:p>
        </w:tc>
        <w:tc>
          <w:tcPr>
            <w:tcW w:w="832" w:type="pct"/>
            <w:vAlign w:val="center"/>
            <w:hideMark/>
          </w:tcPr>
          <w:p w14:paraId="6653CC2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37CCCA4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1.83</w:t>
            </w:r>
          </w:p>
        </w:tc>
      </w:tr>
      <w:tr w:rsidR="002D7A95" w:rsidRPr="00BE5472" w14:paraId="23110E80" w14:textId="77777777" w:rsidTr="003C2F5B">
        <w:trPr>
          <w:trHeight w:val="300"/>
        </w:trPr>
        <w:tc>
          <w:tcPr>
            <w:tcW w:w="370" w:type="pct"/>
            <w:noWrap/>
            <w:vAlign w:val="center"/>
            <w:hideMark/>
          </w:tcPr>
          <w:p w14:paraId="39897C4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13</w:t>
            </w:r>
          </w:p>
        </w:tc>
        <w:tc>
          <w:tcPr>
            <w:tcW w:w="3344" w:type="pct"/>
            <w:vAlign w:val="bottom"/>
            <w:hideMark/>
          </w:tcPr>
          <w:p w14:paraId="6A72AC5A" w14:textId="6E25C15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Plasiranje vi</w:t>
            </w:r>
            <w:r w:rsidR="00673D00" w:rsidRPr="00BE5472">
              <w:rPr>
                <w:rFonts w:ascii="Times New Roman" w:hAnsi="Times New Roman" w:cs="Times New Roman"/>
                <w:sz w:val="24"/>
                <w:szCs w:val="24"/>
              </w:rPr>
              <w:t>š</w:t>
            </w:r>
            <w:r w:rsidRPr="00BE5472">
              <w:rPr>
                <w:rFonts w:ascii="Times New Roman" w:hAnsi="Times New Roman" w:cs="Times New Roman"/>
                <w:sz w:val="24"/>
                <w:szCs w:val="24"/>
              </w:rPr>
              <w:t>ka slobodnih financijskih sredstava poduzeća preuzimatelja</w:t>
            </w:r>
          </w:p>
        </w:tc>
        <w:tc>
          <w:tcPr>
            <w:tcW w:w="832" w:type="pct"/>
            <w:vAlign w:val="center"/>
            <w:hideMark/>
          </w:tcPr>
          <w:p w14:paraId="4C4AE7B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70A91ED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3.17</w:t>
            </w:r>
          </w:p>
        </w:tc>
      </w:tr>
      <w:tr w:rsidR="002D7A95" w:rsidRPr="00BE5472" w14:paraId="62DFE2E1" w14:textId="77777777" w:rsidTr="003C2F5B">
        <w:trPr>
          <w:trHeight w:val="300"/>
        </w:trPr>
        <w:tc>
          <w:tcPr>
            <w:tcW w:w="370" w:type="pct"/>
            <w:noWrap/>
            <w:vAlign w:val="center"/>
            <w:hideMark/>
          </w:tcPr>
          <w:p w14:paraId="606609A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14</w:t>
            </w:r>
          </w:p>
        </w:tc>
        <w:tc>
          <w:tcPr>
            <w:tcW w:w="3344" w:type="pct"/>
            <w:vAlign w:val="bottom"/>
            <w:hideMark/>
          </w:tcPr>
          <w:p w14:paraId="458D64F9"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Nemogućnost internog rasta</w:t>
            </w:r>
          </w:p>
        </w:tc>
        <w:tc>
          <w:tcPr>
            <w:tcW w:w="832" w:type="pct"/>
            <w:vAlign w:val="bottom"/>
            <w:hideMark/>
          </w:tcPr>
          <w:p w14:paraId="5C67705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bottom"/>
            <w:hideMark/>
          </w:tcPr>
          <w:p w14:paraId="074E5357"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7346841C" w14:textId="77777777" w:rsidTr="003C2F5B">
        <w:trPr>
          <w:trHeight w:val="300"/>
        </w:trPr>
        <w:tc>
          <w:tcPr>
            <w:tcW w:w="5000" w:type="pct"/>
            <w:gridSpan w:val="4"/>
            <w:noWrap/>
            <w:vAlign w:val="center"/>
          </w:tcPr>
          <w:p w14:paraId="420FCD5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b/>
                <w:sz w:val="24"/>
                <w:szCs w:val="24"/>
              </w:rPr>
              <w:t>KLJUČNI ČIMBENICI USPJEHA PROCESA SPAJANJA I PREUZIMANJA PRIJE PREUZIMANJA PODUZEĆA METE</w:t>
            </w:r>
          </w:p>
        </w:tc>
      </w:tr>
      <w:tr w:rsidR="002D7A95" w:rsidRPr="00BE5472" w14:paraId="327BF940" w14:textId="77777777" w:rsidTr="003C2F5B">
        <w:trPr>
          <w:trHeight w:val="300"/>
        </w:trPr>
        <w:tc>
          <w:tcPr>
            <w:tcW w:w="370" w:type="pct"/>
            <w:noWrap/>
            <w:vAlign w:val="center"/>
            <w:hideMark/>
          </w:tcPr>
          <w:p w14:paraId="734714C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15</w:t>
            </w:r>
          </w:p>
        </w:tc>
        <w:tc>
          <w:tcPr>
            <w:tcW w:w="3344" w:type="pct"/>
            <w:vAlign w:val="bottom"/>
            <w:hideMark/>
          </w:tcPr>
          <w:p w14:paraId="08F480F1"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Dobro poznavanje regulative i propisa</w:t>
            </w:r>
          </w:p>
        </w:tc>
        <w:tc>
          <w:tcPr>
            <w:tcW w:w="832" w:type="pct"/>
            <w:vAlign w:val="center"/>
            <w:hideMark/>
          </w:tcPr>
          <w:p w14:paraId="27035A0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453" w:type="pct"/>
            <w:vAlign w:val="center"/>
            <w:hideMark/>
          </w:tcPr>
          <w:p w14:paraId="46A13BB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2D7A95" w:rsidRPr="00BE5472" w14:paraId="65100AC0" w14:textId="77777777" w:rsidTr="003C2F5B">
        <w:trPr>
          <w:trHeight w:val="300"/>
        </w:trPr>
        <w:tc>
          <w:tcPr>
            <w:tcW w:w="370" w:type="pct"/>
            <w:noWrap/>
            <w:vAlign w:val="center"/>
            <w:hideMark/>
          </w:tcPr>
          <w:p w14:paraId="5915E11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16</w:t>
            </w:r>
          </w:p>
        </w:tc>
        <w:tc>
          <w:tcPr>
            <w:tcW w:w="3344" w:type="pct"/>
            <w:vAlign w:val="bottom"/>
            <w:hideMark/>
          </w:tcPr>
          <w:p w14:paraId="37683AB1"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Trend u operativnom novčanom toku poduzeća mete</w:t>
            </w:r>
          </w:p>
        </w:tc>
        <w:tc>
          <w:tcPr>
            <w:tcW w:w="832" w:type="pct"/>
            <w:vAlign w:val="center"/>
            <w:hideMark/>
          </w:tcPr>
          <w:p w14:paraId="34A0794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0.63</w:t>
            </w:r>
          </w:p>
        </w:tc>
        <w:tc>
          <w:tcPr>
            <w:tcW w:w="453" w:type="pct"/>
            <w:vAlign w:val="center"/>
            <w:hideMark/>
          </w:tcPr>
          <w:p w14:paraId="0B58B47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5F23D20E" w14:textId="77777777" w:rsidTr="003C2F5B">
        <w:trPr>
          <w:trHeight w:val="600"/>
        </w:trPr>
        <w:tc>
          <w:tcPr>
            <w:tcW w:w="370" w:type="pct"/>
            <w:noWrap/>
            <w:vAlign w:val="center"/>
            <w:hideMark/>
          </w:tcPr>
          <w:p w14:paraId="3379599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17</w:t>
            </w:r>
          </w:p>
        </w:tc>
        <w:tc>
          <w:tcPr>
            <w:tcW w:w="3344" w:type="pct"/>
            <w:vAlign w:val="bottom"/>
            <w:hideMark/>
          </w:tcPr>
          <w:p w14:paraId="43568486" w14:textId="77777777" w:rsidR="009967EB"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Dobra procjena potencijalne operativne sinergije poduzeća mete na poduzeće preuzimatelja</w:t>
            </w:r>
          </w:p>
          <w:p w14:paraId="516DE624" w14:textId="11BBF1CA"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(tj. poboljšanu operativnu učinkovitost)</w:t>
            </w:r>
          </w:p>
        </w:tc>
        <w:tc>
          <w:tcPr>
            <w:tcW w:w="832" w:type="pct"/>
            <w:vAlign w:val="center"/>
            <w:hideMark/>
          </w:tcPr>
          <w:p w14:paraId="0022E47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55A2BC6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2AAC6C26" w14:textId="77777777" w:rsidTr="003C2F5B">
        <w:trPr>
          <w:trHeight w:val="300"/>
        </w:trPr>
        <w:tc>
          <w:tcPr>
            <w:tcW w:w="370" w:type="pct"/>
            <w:noWrap/>
            <w:vAlign w:val="center"/>
            <w:hideMark/>
          </w:tcPr>
          <w:p w14:paraId="7C3E423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18</w:t>
            </w:r>
          </w:p>
        </w:tc>
        <w:tc>
          <w:tcPr>
            <w:tcW w:w="3344" w:type="pct"/>
            <w:vAlign w:val="bottom"/>
            <w:hideMark/>
          </w:tcPr>
          <w:p w14:paraId="7B803896"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Mjera prirasta ili razrjeđenja dionica / Gotovinski tijek / FFO</w:t>
            </w:r>
          </w:p>
        </w:tc>
        <w:tc>
          <w:tcPr>
            <w:tcW w:w="832" w:type="pct"/>
            <w:vAlign w:val="center"/>
            <w:hideMark/>
          </w:tcPr>
          <w:p w14:paraId="0107BA4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453" w:type="pct"/>
            <w:vAlign w:val="center"/>
            <w:hideMark/>
          </w:tcPr>
          <w:p w14:paraId="2081B29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3.00</w:t>
            </w:r>
          </w:p>
        </w:tc>
      </w:tr>
      <w:tr w:rsidR="002D7A95" w:rsidRPr="00BE5472" w14:paraId="13291269" w14:textId="77777777" w:rsidTr="003C2F5B">
        <w:trPr>
          <w:trHeight w:val="300"/>
        </w:trPr>
        <w:tc>
          <w:tcPr>
            <w:tcW w:w="370" w:type="pct"/>
            <w:noWrap/>
            <w:vAlign w:val="center"/>
            <w:hideMark/>
          </w:tcPr>
          <w:p w14:paraId="33BDBC5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19</w:t>
            </w:r>
          </w:p>
        </w:tc>
        <w:tc>
          <w:tcPr>
            <w:tcW w:w="3344" w:type="pct"/>
            <w:vAlign w:val="bottom"/>
            <w:hideMark/>
          </w:tcPr>
          <w:p w14:paraId="10F03A14"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Reputacija poduzeća mete</w:t>
            </w:r>
          </w:p>
        </w:tc>
        <w:tc>
          <w:tcPr>
            <w:tcW w:w="832" w:type="pct"/>
            <w:vAlign w:val="center"/>
            <w:hideMark/>
          </w:tcPr>
          <w:p w14:paraId="6AF0DDE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453" w:type="pct"/>
            <w:vAlign w:val="center"/>
            <w:hideMark/>
          </w:tcPr>
          <w:p w14:paraId="357CE34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3.00</w:t>
            </w:r>
          </w:p>
        </w:tc>
      </w:tr>
      <w:tr w:rsidR="002D7A95" w:rsidRPr="00BE5472" w14:paraId="7CAAF3E2" w14:textId="77777777" w:rsidTr="003C2F5B">
        <w:trPr>
          <w:trHeight w:val="300"/>
        </w:trPr>
        <w:tc>
          <w:tcPr>
            <w:tcW w:w="370" w:type="pct"/>
            <w:noWrap/>
            <w:vAlign w:val="center"/>
            <w:hideMark/>
          </w:tcPr>
          <w:p w14:paraId="29B40F4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20</w:t>
            </w:r>
          </w:p>
        </w:tc>
        <w:tc>
          <w:tcPr>
            <w:tcW w:w="3344" w:type="pct"/>
            <w:vAlign w:val="bottom"/>
            <w:hideMark/>
          </w:tcPr>
          <w:p w14:paraId="7BBAD50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Imidž turističke destinacije u kojoj posluje poduzeće meta</w:t>
            </w:r>
          </w:p>
        </w:tc>
        <w:tc>
          <w:tcPr>
            <w:tcW w:w="832" w:type="pct"/>
            <w:vAlign w:val="center"/>
            <w:hideMark/>
          </w:tcPr>
          <w:p w14:paraId="498C781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453" w:type="pct"/>
            <w:vAlign w:val="center"/>
            <w:hideMark/>
          </w:tcPr>
          <w:p w14:paraId="2CE8DE7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33E24538" w14:textId="77777777" w:rsidTr="003C2F5B">
        <w:trPr>
          <w:trHeight w:val="300"/>
        </w:trPr>
        <w:tc>
          <w:tcPr>
            <w:tcW w:w="370" w:type="pct"/>
            <w:noWrap/>
            <w:vAlign w:val="center"/>
            <w:hideMark/>
          </w:tcPr>
          <w:p w14:paraId="455B2CF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21</w:t>
            </w:r>
          </w:p>
        </w:tc>
        <w:tc>
          <w:tcPr>
            <w:tcW w:w="3344" w:type="pct"/>
            <w:vAlign w:val="bottom"/>
            <w:hideMark/>
          </w:tcPr>
          <w:p w14:paraId="55D825E4"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Lokacija poduzeća mete </w:t>
            </w:r>
          </w:p>
        </w:tc>
        <w:tc>
          <w:tcPr>
            <w:tcW w:w="832" w:type="pct"/>
            <w:vAlign w:val="center"/>
            <w:hideMark/>
          </w:tcPr>
          <w:p w14:paraId="60327DD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0C1244B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7E903A0C" w14:textId="77777777" w:rsidTr="003C2F5B">
        <w:trPr>
          <w:trHeight w:val="300"/>
        </w:trPr>
        <w:tc>
          <w:tcPr>
            <w:tcW w:w="370" w:type="pct"/>
            <w:noWrap/>
            <w:vAlign w:val="center"/>
            <w:hideMark/>
          </w:tcPr>
          <w:p w14:paraId="0A86460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22</w:t>
            </w:r>
          </w:p>
        </w:tc>
        <w:tc>
          <w:tcPr>
            <w:tcW w:w="3344" w:type="pct"/>
            <w:vAlign w:val="bottom"/>
            <w:hideMark/>
          </w:tcPr>
          <w:p w14:paraId="5C39DF86"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Dubinsko snimanje poduzeća mete </w:t>
            </w:r>
          </w:p>
        </w:tc>
        <w:tc>
          <w:tcPr>
            <w:tcW w:w="832" w:type="pct"/>
            <w:vAlign w:val="center"/>
            <w:hideMark/>
          </w:tcPr>
          <w:p w14:paraId="3340F51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453" w:type="pct"/>
            <w:vAlign w:val="center"/>
            <w:hideMark/>
          </w:tcPr>
          <w:p w14:paraId="5E0846C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2D7A95" w:rsidRPr="00BE5472" w14:paraId="2982DE85" w14:textId="77777777" w:rsidTr="003C2F5B">
        <w:trPr>
          <w:trHeight w:val="300"/>
        </w:trPr>
        <w:tc>
          <w:tcPr>
            <w:tcW w:w="370" w:type="pct"/>
            <w:noWrap/>
            <w:vAlign w:val="center"/>
            <w:hideMark/>
          </w:tcPr>
          <w:p w14:paraId="7E0FE4E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23</w:t>
            </w:r>
          </w:p>
        </w:tc>
        <w:tc>
          <w:tcPr>
            <w:tcW w:w="3344" w:type="pct"/>
            <w:vAlign w:val="bottom"/>
            <w:hideMark/>
          </w:tcPr>
          <w:p w14:paraId="42CE60F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Vlasnička struktura poduzeća mete</w:t>
            </w:r>
          </w:p>
        </w:tc>
        <w:tc>
          <w:tcPr>
            <w:tcW w:w="832" w:type="pct"/>
            <w:vAlign w:val="center"/>
            <w:hideMark/>
          </w:tcPr>
          <w:p w14:paraId="026BC4B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7B66958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5A20589A" w14:textId="77777777" w:rsidTr="003C2F5B">
        <w:trPr>
          <w:trHeight w:val="300"/>
        </w:trPr>
        <w:tc>
          <w:tcPr>
            <w:tcW w:w="370" w:type="pct"/>
            <w:noWrap/>
            <w:vAlign w:val="center"/>
            <w:hideMark/>
          </w:tcPr>
          <w:p w14:paraId="1C9F5E9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24</w:t>
            </w:r>
          </w:p>
        </w:tc>
        <w:tc>
          <w:tcPr>
            <w:tcW w:w="3344" w:type="pct"/>
            <w:vAlign w:val="bottom"/>
            <w:hideMark/>
          </w:tcPr>
          <w:p w14:paraId="28FBE11B"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Preliminarni razgovori u poduzeću meti</w:t>
            </w:r>
          </w:p>
        </w:tc>
        <w:tc>
          <w:tcPr>
            <w:tcW w:w="832" w:type="pct"/>
            <w:vAlign w:val="center"/>
            <w:hideMark/>
          </w:tcPr>
          <w:p w14:paraId="61F7890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0.75</w:t>
            </w:r>
          </w:p>
        </w:tc>
        <w:tc>
          <w:tcPr>
            <w:tcW w:w="453" w:type="pct"/>
            <w:vAlign w:val="center"/>
            <w:hideMark/>
          </w:tcPr>
          <w:p w14:paraId="7050783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772192B0" w14:textId="77777777" w:rsidTr="003C2F5B">
        <w:trPr>
          <w:trHeight w:val="300"/>
        </w:trPr>
        <w:tc>
          <w:tcPr>
            <w:tcW w:w="370" w:type="pct"/>
            <w:noWrap/>
            <w:vAlign w:val="center"/>
            <w:hideMark/>
          </w:tcPr>
          <w:p w14:paraId="25F3F39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25</w:t>
            </w:r>
          </w:p>
        </w:tc>
        <w:tc>
          <w:tcPr>
            <w:tcW w:w="3344" w:type="pct"/>
            <w:vAlign w:val="bottom"/>
            <w:hideMark/>
          </w:tcPr>
          <w:p w14:paraId="1AD409E6"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Razumijevanje kako će dioničari poduzeća mete reagirati na potencijalnu transakciju</w:t>
            </w:r>
          </w:p>
        </w:tc>
        <w:tc>
          <w:tcPr>
            <w:tcW w:w="832" w:type="pct"/>
            <w:vAlign w:val="center"/>
            <w:hideMark/>
          </w:tcPr>
          <w:p w14:paraId="538C789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4EFA65D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3.17</w:t>
            </w:r>
          </w:p>
        </w:tc>
      </w:tr>
      <w:tr w:rsidR="002D7A95" w:rsidRPr="00BE5472" w14:paraId="4A9B77B3" w14:textId="77777777" w:rsidTr="003C2F5B">
        <w:trPr>
          <w:trHeight w:val="300"/>
        </w:trPr>
        <w:tc>
          <w:tcPr>
            <w:tcW w:w="370" w:type="pct"/>
            <w:noWrap/>
            <w:vAlign w:val="center"/>
            <w:hideMark/>
          </w:tcPr>
          <w:p w14:paraId="5E0562D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26</w:t>
            </w:r>
          </w:p>
        </w:tc>
        <w:tc>
          <w:tcPr>
            <w:tcW w:w="3344" w:type="pct"/>
            <w:vAlign w:val="bottom"/>
            <w:hideMark/>
          </w:tcPr>
          <w:p w14:paraId="0FAEE573"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Trend glavnih hotelskih pokazatelje uspješnosti poduzeća mete (popunjenost, RevPAR, slobodni novčani tijek i ADR)</w:t>
            </w:r>
          </w:p>
        </w:tc>
        <w:tc>
          <w:tcPr>
            <w:tcW w:w="832" w:type="pct"/>
            <w:vAlign w:val="center"/>
            <w:hideMark/>
          </w:tcPr>
          <w:p w14:paraId="43A5177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453" w:type="pct"/>
            <w:vAlign w:val="center"/>
            <w:hideMark/>
          </w:tcPr>
          <w:p w14:paraId="2F82DE6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16C5F0BE" w14:textId="77777777" w:rsidTr="003C2F5B">
        <w:trPr>
          <w:trHeight w:val="300"/>
        </w:trPr>
        <w:tc>
          <w:tcPr>
            <w:tcW w:w="370" w:type="pct"/>
            <w:noWrap/>
            <w:vAlign w:val="center"/>
            <w:hideMark/>
          </w:tcPr>
          <w:p w14:paraId="494BFD2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27</w:t>
            </w:r>
          </w:p>
        </w:tc>
        <w:tc>
          <w:tcPr>
            <w:tcW w:w="3344" w:type="pct"/>
            <w:vAlign w:val="bottom"/>
            <w:hideMark/>
          </w:tcPr>
          <w:p w14:paraId="033B5C99"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Trend glavnih računovodstvenih pokazatelja uspješnosti poduzeća mete </w:t>
            </w:r>
          </w:p>
        </w:tc>
        <w:tc>
          <w:tcPr>
            <w:tcW w:w="832" w:type="pct"/>
            <w:vAlign w:val="center"/>
            <w:hideMark/>
          </w:tcPr>
          <w:p w14:paraId="175BF92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3E712C8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6F5D6F5E" w14:textId="77777777" w:rsidTr="003C2F5B">
        <w:trPr>
          <w:trHeight w:val="300"/>
        </w:trPr>
        <w:tc>
          <w:tcPr>
            <w:tcW w:w="370" w:type="pct"/>
            <w:noWrap/>
            <w:vAlign w:val="center"/>
            <w:hideMark/>
          </w:tcPr>
          <w:p w14:paraId="42B1574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28</w:t>
            </w:r>
          </w:p>
        </w:tc>
        <w:tc>
          <w:tcPr>
            <w:tcW w:w="3344" w:type="pct"/>
            <w:vAlign w:val="bottom"/>
            <w:hideMark/>
          </w:tcPr>
          <w:p w14:paraId="286D353A"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Potreba kapitalnih izdataka kod poduzeća mete (npr. potencijalni troškovi obnove nekretnina)</w:t>
            </w:r>
          </w:p>
        </w:tc>
        <w:tc>
          <w:tcPr>
            <w:tcW w:w="832" w:type="pct"/>
            <w:vAlign w:val="center"/>
            <w:hideMark/>
          </w:tcPr>
          <w:p w14:paraId="009FB90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453" w:type="pct"/>
            <w:vAlign w:val="center"/>
            <w:hideMark/>
          </w:tcPr>
          <w:p w14:paraId="0A8A1BE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42684B08" w14:textId="77777777" w:rsidTr="003C2F5B">
        <w:trPr>
          <w:trHeight w:val="300"/>
        </w:trPr>
        <w:tc>
          <w:tcPr>
            <w:tcW w:w="370" w:type="pct"/>
            <w:noWrap/>
            <w:vAlign w:val="center"/>
            <w:hideMark/>
          </w:tcPr>
          <w:p w14:paraId="6E86578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29</w:t>
            </w:r>
          </w:p>
        </w:tc>
        <w:tc>
          <w:tcPr>
            <w:tcW w:w="3344" w:type="pct"/>
            <w:vAlign w:val="bottom"/>
            <w:hideMark/>
          </w:tcPr>
          <w:p w14:paraId="32D9C21F"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Potencijalni utjecaj na jačanje marke i reputacije poduzeća mete kroz stvaranje novog poduzeća</w:t>
            </w:r>
          </w:p>
        </w:tc>
        <w:tc>
          <w:tcPr>
            <w:tcW w:w="832" w:type="pct"/>
            <w:vAlign w:val="center"/>
            <w:hideMark/>
          </w:tcPr>
          <w:p w14:paraId="66F8E98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7623470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621FF9E7" w14:textId="77777777" w:rsidTr="003C2F5B">
        <w:trPr>
          <w:trHeight w:val="300"/>
        </w:trPr>
        <w:tc>
          <w:tcPr>
            <w:tcW w:w="370" w:type="pct"/>
            <w:noWrap/>
            <w:vAlign w:val="center"/>
            <w:hideMark/>
          </w:tcPr>
          <w:p w14:paraId="36133F0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30</w:t>
            </w:r>
          </w:p>
        </w:tc>
        <w:tc>
          <w:tcPr>
            <w:tcW w:w="3344" w:type="pct"/>
            <w:vAlign w:val="bottom"/>
            <w:hideMark/>
          </w:tcPr>
          <w:p w14:paraId="1B65060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Potencijalni učinak na jačanje marke i reputacije poduzeća preuzimatelja</w:t>
            </w:r>
          </w:p>
        </w:tc>
        <w:tc>
          <w:tcPr>
            <w:tcW w:w="832" w:type="pct"/>
            <w:vAlign w:val="center"/>
            <w:hideMark/>
          </w:tcPr>
          <w:p w14:paraId="0DA5B76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453" w:type="pct"/>
            <w:vAlign w:val="center"/>
            <w:hideMark/>
          </w:tcPr>
          <w:p w14:paraId="297AABD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404C39E1" w14:textId="77777777" w:rsidTr="003C2F5B">
        <w:trPr>
          <w:trHeight w:val="300"/>
        </w:trPr>
        <w:tc>
          <w:tcPr>
            <w:tcW w:w="370" w:type="pct"/>
            <w:noWrap/>
            <w:vAlign w:val="center"/>
            <w:hideMark/>
          </w:tcPr>
          <w:p w14:paraId="7FC2EAB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31</w:t>
            </w:r>
          </w:p>
        </w:tc>
        <w:tc>
          <w:tcPr>
            <w:tcW w:w="3344" w:type="pct"/>
            <w:vAlign w:val="bottom"/>
            <w:hideMark/>
          </w:tcPr>
          <w:p w14:paraId="73B403A3"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Način plaćanja (tj. gotovinsko, dioničko, itd.)</w:t>
            </w:r>
          </w:p>
        </w:tc>
        <w:tc>
          <w:tcPr>
            <w:tcW w:w="832" w:type="pct"/>
            <w:vAlign w:val="center"/>
            <w:hideMark/>
          </w:tcPr>
          <w:p w14:paraId="5BFC803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00CFD5D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3346EAAB" w14:textId="77777777" w:rsidTr="003C2F5B">
        <w:trPr>
          <w:trHeight w:val="300"/>
        </w:trPr>
        <w:tc>
          <w:tcPr>
            <w:tcW w:w="370" w:type="pct"/>
            <w:noWrap/>
            <w:vAlign w:val="center"/>
            <w:hideMark/>
          </w:tcPr>
          <w:p w14:paraId="4755483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32</w:t>
            </w:r>
          </w:p>
        </w:tc>
        <w:tc>
          <w:tcPr>
            <w:tcW w:w="3344" w:type="pct"/>
            <w:vAlign w:val="bottom"/>
            <w:hideMark/>
          </w:tcPr>
          <w:p w14:paraId="2DC0B60F"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Strateška povezanost između poduzeća preuzimatelja i poduzeća mete </w:t>
            </w:r>
          </w:p>
        </w:tc>
        <w:tc>
          <w:tcPr>
            <w:tcW w:w="832" w:type="pct"/>
            <w:vAlign w:val="center"/>
            <w:hideMark/>
          </w:tcPr>
          <w:p w14:paraId="551520E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269B6A3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346E9478" w14:textId="77777777" w:rsidTr="003C2F5B">
        <w:trPr>
          <w:trHeight w:val="300"/>
        </w:trPr>
        <w:tc>
          <w:tcPr>
            <w:tcW w:w="370" w:type="pct"/>
            <w:noWrap/>
            <w:vAlign w:val="center"/>
            <w:hideMark/>
          </w:tcPr>
          <w:p w14:paraId="42A5736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w:t>
            </w:r>
          </w:p>
        </w:tc>
        <w:tc>
          <w:tcPr>
            <w:tcW w:w="3344" w:type="pct"/>
            <w:vAlign w:val="bottom"/>
            <w:hideMark/>
          </w:tcPr>
          <w:p w14:paraId="6049ACC8"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Sadašnja vrijednost očekivanih sinergija preuzimanja za poduzeće preuzimatelja će biti veća od plaćenih premija </w:t>
            </w:r>
          </w:p>
        </w:tc>
        <w:tc>
          <w:tcPr>
            <w:tcW w:w="832" w:type="pct"/>
            <w:vAlign w:val="center"/>
            <w:hideMark/>
          </w:tcPr>
          <w:p w14:paraId="0576577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0.85</w:t>
            </w:r>
          </w:p>
        </w:tc>
        <w:tc>
          <w:tcPr>
            <w:tcW w:w="453" w:type="pct"/>
            <w:vAlign w:val="center"/>
            <w:hideMark/>
          </w:tcPr>
          <w:p w14:paraId="2807204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2D7A95" w:rsidRPr="00BE5472" w14:paraId="14B6DD99" w14:textId="77777777" w:rsidTr="003C2F5B">
        <w:trPr>
          <w:trHeight w:val="300"/>
        </w:trPr>
        <w:tc>
          <w:tcPr>
            <w:tcW w:w="370" w:type="pct"/>
            <w:noWrap/>
            <w:vAlign w:val="center"/>
            <w:hideMark/>
          </w:tcPr>
          <w:p w14:paraId="1142946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34</w:t>
            </w:r>
          </w:p>
        </w:tc>
        <w:tc>
          <w:tcPr>
            <w:tcW w:w="3344" w:type="pct"/>
            <w:vAlign w:val="bottom"/>
            <w:hideMark/>
          </w:tcPr>
          <w:p w14:paraId="424471A9"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Iznos akvizicijske premije </w:t>
            </w:r>
          </w:p>
        </w:tc>
        <w:tc>
          <w:tcPr>
            <w:tcW w:w="832" w:type="pct"/>
            <w:vAlign w:val="center"/>
            <w:hideMark/>
          </w:tcPr>
          <w:p w14:paraId="56C9415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01DCF53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1ABFD246" w14:textId="77777777" w:rsidTr="003C2F5B">
        <w:trPr>
          <w:trHeight w:val="300"/>
        </w:trPr>
        <w:tc>
          <w:tcPr>
            <w:tcW w:w="370" w:type="pct"/>
            <w:noWrap/>
            <w:vAlign w:val="center"/>
            <w:hideMark/>
          </w:tcPr>
          <w:p w14:paraId="4660020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35</w:t>
            </w:r>
          </w:p>
        </w:tc>
        <w:tc>
          <w:tcPr>
            <w:tcW w:w="3344" w:type="pct"/>
            <w:vAlign w:val="bottom"/>
            <w:hideMark/>
          </w:tcPr>
          <w:p w14:paraId="6C3B00BD"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Način akvizicije (npr. spajanje, neprijateljsko preuzimanje, itd.)</w:t>
            </w:r>
          </w:p>
        </w:tc>
        <w:tc>
          <w:tcPr>
            <w:tcW w:w="832" w:type="pct"/>
            <w:vAlign w:val="center"/>
            <w:hideMark/>
          </w:tcPr>
          <w:p w14:paraId="2E983AF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211AC33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78F8B210" w14:textId="77777777" w:rsidTr="003C2F5B">
        <w:trPr>
          <w:trHeight w:val="300"/>
        </w:trPr>
        <w:tc>
          <w:tcPr>
            <w:tcW w:w="370" w:type="pct"/>
            <w:noWrap/>
            <w:vAlign w:val="center"/>
            <w:hideMark/>
          </w:tcPr>
          <w:p w14:paraId="4BF2913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36</w:t>
            </w:r>
          </w:p>
        </w:tc>
        <w:tc>
          <w:tcPr>
            <w:tcW w:w="3344" w:type="pct"/>
            <w:vAlign w:val="bottom"/>
            <w:hideMark/>
          </w:tcPr>
          <w:p w14:paraId="33BA816A"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Potencijalna financijska sinergija akvizicije (npr. niži troškovi kapitala, niza poreznu stopu)</w:t>
            </w:r>
          </w:p>
        </w:tc>
        <w:tc>
          <w:tcPr>
            <w:tcW w:w="832" w:type="pct"/>
            <w:vAlign w:val="center"/>
            <w:hideMark/>
          </w:tcPr>
          <w:p w14:paraId="1503987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45FC3E8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06988786" w14:textId="77777777" w:rsidTr="003C2F5B">
        <w:trPr>
          <w:trHeight w:val="300"/>
        </w:trPr>
        <w:tc>
          <w:tcPr>
            <w:tcW w:w="370" w:type="pct"/>
            <w:noWrap/>
            <w:vAlign w:val="center"/>
            <w:hideMark/>
          </w:tcPr>
          <w:p w14:paraId="77D3FFE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37</w:t>
            </w:r>
          </w:p>
        </w:tc>
        <w:tc>
          <w:tcPr>
            <w:tcW w:w="3344" w:type="pct"/>
            <w:vAlign w:val="bottom"/>
            <w:hideMark/>
          </w:tcPr>
          <w:p w14:paraId="1B0D36EF"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Cijena ponude (akvizicije) temelji se na konkurentnom položaju poduzeća mete u hotelskom sektoru</w:t>
            </w:r>
          </w:p>
        </w:tc>
        <w:tc>
          <w:tcPr>
            <w:tcW w:w="832" w:type="pct"/>
            <w:vAlign w:val="center"/>
            <w:hideMark/>
          </w:tcPr>
          <w:p w14:paraId="6501259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780C2FF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657050DB" w14:textId="77777777" w:rsidTr="003C2F5B">
        <w:trPr>
          <w:trHeight w:val="300"/>
        </w:trPr>
        <w:tc>
          <w:tcPr>
            <w:tcW w:w="370" w:type="pct"/>
            <w:noWrap/>
            <w:vAlign w:val="center"/>
            <w:hideMark/>
          </w:tcPr>
          <w:p w14:paraId="2493D81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w:t>
            </w:r>
          </w:p>
        </w:tc>
        <w:tc>
          <w:tcPr>
            <w:tcW w:w="3344" w:type="pct"/>
            <w:vAlign w:val="bottom"/>
            <w:hideMark/>
          </w:tcPr>
          <w:p w14:paraId="56D62EAB" w14:textId="769B3F58"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Postojanje vise mogućih ponuđača (</w:t>
            </w:r>
            <w:r w:rsidR="009967EB" w:rsidRPr="00BE5472">
              <w:rPr>
                <w:rFonts w:ascii="Times New Roman" w:hAnsi="Times New Roman" w:cs="Times New Roman"/>
                <w:sz w:val="24"/>
                <w:szCs w:val="24"/>
              </w:rPr>
              <w:t>č</w:t>
            </w:r>
            <w:r w:rsidRPr="00BE5472">
              <w:rPr>
                <w:rFonts w:ascii="Times New Roman" w:hAnsi="Times New Roman" w:cs="Times New Roman"/>
                <w:sz w:val="24"/>
                <w:szCs w:val="24"/>
              </w:rPr>
              <w:t>ime se podiže cijena pa i finalni iznos kontrolne premije)</w:t>
            </w:r>
          </w:p>
        </w:tc>
        <w:tc>
          <w:tcPr>
            <w:tcW w:w="832" w:type="pct"/>
            <w:vAlign w:val="center"/>
            <w:hideMark/>
          </w:tcPr>
          <w:p w14:paraId="71C92C1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4DAC48C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77DB6C65" w14:textId="77777777" w:rsidTr="003C2F5B">
        <w:trPr>
          <w:trHeight w:val="600"/>
        </w:trPr>
        <w:tc>
          <w:tcPr>
            <w:tcW w:w="370" w:type="pct"/>
            <w:noWrap/>
            <w:vAlign w:val="center"/>
            <w:hideMark/>
          </w:tcPr>
          <w:p w14:paraId="20DAD09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39</w:t>
            </w:r>
          </w:p>
        </w:tc>
        <w:tc>
          <w:tcPr>
            <w:tcW w:w="3344" w:type="pct"/>
            <w:vAlign w:val="bottom"/>
            <w:hideMark/>
          </w:tcPr>
          <w:p w14:paraId="05818522" w14:textId="4DFAAFA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Potencijalna potražnju za proizvodima (uslugama) poduzeća (kombiniranog poduzeća ili poduzeća mete </w:t>
            </w:r>
            <w:r w:rsidR="00F87611" w:rsidRPr="00BE5472">
              <w:rPr>
                <w:rFonts w:ascii="Times New Roman" w:hAnsi="Times New Roman" w:cs="Times New Roman"/>
                <w:sz w:val="24"/>
                <w:szCs w:val="24"/>
              </w:rPr>
              <w:t>ako</w:t>
            </w:r>
            <w:r w:rsidRPr="00BE5472">
              <w:rPr>
                <w:rFonts w:ascii="Times New Roman" w:hAnsi="Times New Roman" w:cs="Times New Roman"/>
                <w:sz w:val="24"/>
                <w:szCs w:val="24"/>
              </w:rPr>
              <w:t xml:space="preserve"> ostaje kao samostalna pravna osoba u sljedećih pet godina)</w:t>
            </w:r>
          </w:p>
        </w:tc>
        <w:tc>
          <w:tcPr>
            <w:tcW w:w="832" w:type="pct"/>
            <w:vAlign w:val="center"/>
            <w:hideMark/>
          </w:tcPr>
          <w:p w14:paraId="54DD0D0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0.60</w:t>
            </w:r>
          </w:p>
        </w:tc>
        <w:tc>
          <w:tcPr>
            <w:tcW w:w="453" w:type="pct"/>
            <w:vAlign w:val="center"/>
            <w:hideMark/>
          </w:tcPr>
          <w:p w14:paraId="3F493DF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0F59C03A" w14:textId="77777777" w:rsidTr="003C2F5B">
        <w:trPr>
          <w:trHeight w:val="600"/>
        </w:trPr>
        <w:tc>
          <w:tcPr>
            <w:tcW w:w="370" w:type="pct"/>
            <w:noWrap/>
            <w:vAlign w:val="center"/>
            <w:hideMark/>
          </w:tcPr>
          <w:p w14:paraId="37DA50F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w:t>
            </w:r>
          </w:p>
        </w:tc>
        <w:tc>
          <w:tcPr>
            <w:tcW w:w="3344" w:type="pct"/>
            <w:vAlign w:val="bottom"/>
            <w:hideMark/>
          </w:tcPr>
          <w:p w14:paraId="4D60A0F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Potencijalna upravljačka sinergija (tj. poboljšani konkurentni položaj poduzeća mete prijenosom upravljačkog znanja poduzeća preuzimatelja)</w:t>
            </w:r>
          </w:p>
        </w:tc>
        <w:tc>
          <w:tcPr>
            <w:tcW w:w="832" w:type="pct"/>
            <w:vAlign w:val="center"/>
            <w:hideMark/>
          </w:tcPr>
          <w:p w14:paraId="0F0D0FE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453" w:type="pct"/>
            <w:vAlign w:val="center"/>
            <w:hideMark/>
          </w:tcPr>
          <w:p w14:paraId="0327224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5995624C" w14:textId="77777777" w:rsidTr="003C2F5B">
        <w:trPr>
          <w:trHeight w:val="300"/>
        </w:trPr>
        <w:tc>
          <w:tcPr>
            <w:tcW w:w="370" w:type="pct"/>
            <w:noWrap/>
            <w:vAlign w:val="center"/>
            <w:hideMark/>
          </w:tcPr>
          <w:p w14:paraId="013035C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w:t>
            </w:r>
          </w:p>
        </w:tc>
        <w:tc>
          <w:tcPr>
            <w:tcW w:w="3344" w:type="pct"/>
            <w:vAlign w:val="bottom"/>
            <w:hideMark/>
          </w:tcPr>
          <w:p w14:paraId="318C19CA"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Upravljačke naknade i franšizne naknade poduzeća mete</w:t>
            </w:r>
          </w:p>
        </w:tc>
        <w:tc>
          <w:tcPr>
            <w:tcW w:w="832" w:type="pct"/>
            <w:vAlign w:val="center"/>
            <w:hideMark/>
          </w:tcPr>
          <w:p w14:paraId="66C635F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5D1068E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3.50</w:t>
            </w:r>
          </w:p>
        </w:tc>
      </w:tr>
      <w:tr w:rsidR="002D7A95" w:rsidRPr="00BE5472" w14:paraId="5F5CEF79" w14:textId="77777777" w:rsidTr="003C2F5B">
        <w:trPr>
          <w:trHeight w:val="300"/>
        </w:trPr>
        <w:tc>
          <w:tcPr>
            <w:tcW w:w="370" w:type="pct"/>
            <w:noWrap/>
            <w:vAlign w:val="center"/>
            <w:hideMark/>
          </w:tcPr>
          <w:p w14:paraId="52E8EB8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42</w:t>
            </w:r>
          </w:p>
        </w:tc>
        <w:tc>
          <w:tcPr>
            <w:tcW w:w="3344" w:type="pct"/>
            <w:vAlign w:val="bottom"/>
            <w:hideMark/>
          </w:tcPr>
          <w:p w14:paraId="4CA085CA"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Kapitalna strukturu i troškovi kapitala poduzeća mete </w:t>
            </w:r>
          </w:p>
        </w:tc>
        <w:tc>
          <w:tcPr>
            <w:tcW w:w="832" w:type="pct"/>
            <w:vAlign w:val="center"/>
            <w:hideMark/>
          </w:tcPr>
          <w:p w14:paraId="453977D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48B83F3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6706DF3C" w14:textId="77777777" w:rsidTr="003C2F5B">
        <w:trPr>
          <w:trHeight w:val="300"/>
        </w:trPr>
        <w:tc>
          <w:tcPr>
            <w:tcW w:w="370" w:type="pct"/>
            <w:noWrap/>
            <w:vAlign w:val="center"/>
            <w:hideMark/>
          </w:tcPr>
          <w:p w14:paraId="0B5BE96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w:t>
            </w:r>
          </w:p>
        </w:tc>
        <w:tc>
          <w:tcPr>
            <w:tcW w:w="3344" w:type="pct"/>
            <w:vAlign w:val="bottom"/>
            <w:hideMark/>
          </w:tcPr>
          <w:p w14:paraId="6015ABD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Savjeti renomiranih investicijskih banaka</w:t>
            </w:r>
          </w:p>
        </w:tc>
        <w:tc>
          <w:tcPr>
            <w:tcW w:w="832" w:type="pct"/>
            <w:vAlign w:val="center"/>
            <w:hideMark/>
          </w:tcPr>
          <w:p w14:paraId="3A6F5E3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5D7EDD9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5E4BFB0E" w14:textId="77777777" w:rsidTr="003C2F5B">
        <w:trPr>
          <w:trHeight w:val="300"/>
        </w:trPr>
        <w:tc>
          <w:tcPr>
            <w:tcW w:w="370" w:type="pct"/>
            <w:noWrap/>
            <w:vAlign w:val="center"/>
            <w:hideMark/>
          </w:tcPr>
          <w:p w14:paraId="0DAEFFA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44</w:t>
            </w:r>
          </w:p>
        </w:tc>
        <w:tc>
          <w:tcPr>
            <w:tcW w:w="3344" w:type="pct"/>
            <w:vAlign w:val="bottom"/>
            <w:hideMark/>
          </w:tcPr>
          <w:p w14:paraId="0D927101"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Uključivanje ključnih menadžera i zaposlenika poduzeća preuzimatelja u planiranje akvizicije</w:t>
            </w:r>
          </w:p>
        </w:tc>
        <w:tc>
          <w:tcPr>
            <w:tcW w:w="832" w:type="pct"/>
            <w:vAlign w:val="center"/>
            <w:hideMark/>
          </w:tcPr>
          <w:p w14:paraId="4605E3D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6B029CF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1156487E" w14:textId="77777777" w:rsidTr="003C2F5B">
        <w:trPr>
          <w:trHeight w:val="300"/>
        </w:trPr>
        <w:tc>
          <w:tcPr>
            <w:tcW w:w="370" w:type="pct"/>
            <w:noWrap/>
            <w:vAlign w:val="center"/>
            <w:hideMark/>
          </w:tcPr>
          <w:p w14:paraId="23EB2DC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45</w:t>
            </w:r>
          </w:p>
        </w:tc>
        <w:tc>
          <w:tcPr>
            <w:tcW w:w="3344" w:type="pct"/>
            <w:vAlign w:val="bottom"/>
            <w:hideMark/>
          </w:tcPr>
          <w:p w14:paraId="10477E57"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Identifikacija karakterističnih aspekata organizacijske kulture mete u usporedbi s poduzećem preuzimateljem</w:t>
            </w:r>
          </w:p>
        </w:tc>
        <w:tc>
          <w:tcPr>
            <w:tcW w:w="832" w:type="pct"/>
            <w:vAlign w:val="center"/>
            <w:hideMark/>
          </w:tcPr>
          <w:p w14:paraId="21C683A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0.68</w:t>
            </w:r>
          </w:p>
        </w:tc>
        <w:tc>
          <w:tcPr>
            <w:tcW w:w="453" w:type="pct"/>
            <w:vAlign w:val="center"/>
            <w:hideMark/>
          </w:tcPr>
          <w:p w14:paraId="57B68D4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21A9D084" w14:textId="77777777" w:rsidTr="003C2F5B">
        <w:trPr>
          <w:trHeight w:val="300"/>
        </w:trPr>
        <w:tc>
          <w:tcPr>
            <w:tcW w:w="370" w:type="pct"/>
            <w:noWrap/>
            <w:vAlign w:val="center"/>
            <w:hideMark/>
          </w:tcPr>
          <w:p w14:paraId="3627B4A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w:t>
            </w:r>
          </w:p>
        </w:tc>
        <w:tc>
          <w:tcPr>
            <w:tcW w:w="3344" w:type="pct"/>
            <w:vAlign w:val="bottom"/>
            <w:hideMark/>
          </w:tcPr>
          <w:p w14:paraId="2C4980C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Povezanost i kompatibilnost poduzeća mete s informacijskom infrastrukturom poduzeća preuzimatelja</w:t>
            </w:r>
          </w:p>
        </w:tc>
        <w:tc>
          <w:tcPr>
            <w:tcW w:w="832" w:type="pct"/>
            <w:vAlign w:val="center"/>
            <w:hideMark/>
          </w:tcPr>
          <w:p w14:paraId="1ADED2B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7145E68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476631BC" w14:textId="77777777" w:rsidTr="003C2F5B">
        <w:trPr>
          <w:trHeight w:val="600"/>
        </w:trPr>
        <w:tc>
          <w:tcPr>
            <w:tcW w:w="5000" w:type="pct"/>
            <w:gridSpan w:val="4"/>
            <w:noWrap/>
            <w:vAlign w:val="center"/>
          </w:tcPr>
          <w:p w14:paraId="0AB11B0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b/>
                <w:bCs/>
                <w:sz w:val="24"/>
                <w:szCs w:val="24"/>
              </w:rPr>
              <w:t>KLJUČNI ČIMBENICI USPJEHA PROCESA SPAJANJA I PREUZIMANJA U FAZI INTEGRACIJE (NAKON PREUZIMANJA PODUZEĆA METE)</w:t>
            </w:r>
          </w:p>
        </w:tc>
      </w:tr>
      <w:tr w:rsidR="002D7A95" w:rsidRPr="00BE5472" w14:paraId="2968A644" w14:textId="77777777" w:rsidTr="003C2F5B">
        <w:trPr>
          <w:trHeight w:val="600"/>
        </w:trPr>
        <w:tc>
          <w:tcPr>
            <w:tcW w:w="370" w:type="pct"/>
            <w:noWrap/>
            <w:vAlign w:val="center"/>
            <w:hideMark/>
          </w:tcPr>
          <w:p w14:paraId="368EC58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47</w:t>
            </w:r>
          </w:p>
        </w:tc>
        <w:tc>
          <w:tcPr>
            <w:tcW w:w="3344" w:type="pct"/>
            <w:vAlign w:val="bottom"/>
            <w:hideMark/>
          </w:tcPr>
          <w:p w14:paraId="1E3B8EED"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Definiranje nove strategije razvoja poduzeća nakon akvizicije (novog zajedničkog poduzeća ili pak svakog pojedinog poduzeća koje je sudjelovalo u procesu akvizicije ako ostaju kao samostalne pravne osobe)</w:t>
            </w:r>
          </w:p>
        </w:tc>
        <w:tc>
          <w:tcPr>
            <w:tcW w:w="832" w:type="pct"/>
            <w:vAlign w:val="center"/>
            <w:hideMark/>
          </w:tcPr>
          <w:p w14:paraId="6DE6E24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453" w:type="pct"/>
            <w:vAlign w:val="center"/>
            <w:hideMark/>
          </w:tcPr>
          <w:p w14:paraId="4D82AE6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2D7A95" w:rsidRPr="00BE5472" w14:paraId="69825C0D" w14:textId="77777777" w:rsidTr="003C2F5B">
        <w:trPr>
          <w:trHeight w:val="600"/>
        </w:trPr>
        <w:tc>
          <w:tcPr>
            <w:tcW w:w="370" w:type="pct"/>
            <w:noWrap/>
            <w:vAlign w:val="center"/>
            <w:hideMark/>
          </w:tcPr>
          <w:p w14:paraId="2EBF4F2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48</w:t>
            </w:r>
          </w:p>
        </w:tc>
        <w:tc>
          <w:tcPr>
            <w:tcW w:w="3344" w:type="pct"/>
            <w:vAlign w:val="bottom"/>
            <w:hideMark/>
          </w:tcPr>
          <w:p w14:paraId="7C4D4E55"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Formalni plan zajedničke integracije od strane vodećih upravljačkih timova oba poduzeća (poduzeća preuzimatelja i poduzeća mete) </w:t>
            </w:r>
          </w:p>
        </w:tc>
        <w:tc>
          <w:tcPr>
            <w:tcW w:w="832" w:type="pct"/>
            <w:vAlign w:val="center"/>
            <w:hideMark/>
          </w:tcPr>
          <w:p w14:paraId="3CC2FCA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1F6464F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4.83</w:t>
            </w:r>
          </w:p>
        </w:tc>
      </w:tr>
      <w:tr w:rsidR="002D7A95" w:rsidRPr="00BE5472" w14:paraId="4505411F" w14:textId="77777777" w:rsidTr="003C2F5B">
        <w:trPr>
          <w:trHeight w:val="300"/>
        </w:trPr>
        <w:tc>
          <w:tcPr>
            <w:tcW w:w="370" w:type="pct"/>
            <w:noWrap/>
            <w:vAlign w:val="center"/>
            <w:hideMark/>
          </w:tcPr>
          <w:p w14:paraId="4912566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49</w:t>
            </w:r>
          </w:p>
        </w:tc>
        <w:tc>
          <w:tcPr>
            <w:tcW w:w="3344" w:type="pct"/>
            <w:vAlign w:val="bottom"/>
            <w:hideMark/>
          </w:tcPr>
          <w:p w14:paraId="5F88CA83"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menadžera poduzeća mete ako dolazi do spajanja poduzeća</w:t>
            </w:r>
          </w:p>
        </w:tc>
        <w:tc>
          <w:tcPr>
            <w:tcW w:w="832" w:type="pct"/>
            <w:vAlign w:val="center"/>
            <w:hideMark/>
          </w:tcPr>
          <w:p w14:paraId="1DCDE66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7F0D871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5E222FB8" w14:textId="77777777" w:rsidTr="003C2F5B">
        <w:trPr>
          <w:trHeight w:val="600"/>
        </w:trPr>
        <w:tc>
          <w:tcPr>
            <w:tcW w:w="370" w:type="pct"/>
            <w:noWrap/>
            <w:vAlign w:val="center"/>
            <w:hideMark/>
          </w:tcPr>
          <w:p w14:paraId="75A0172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50</w:t>
            </w:r>
          </w:p>
        </w:tc>
        <w:tc>
          <w:tcPr>
            <w:tcW w:w="3344" w:type="pct"/>
            <w:vAlign w:val="bottom"/>
            <w:hideMark/>
          </w:tcPr>
          <w:p w14:paraId="19A52BA8"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menadžere poduzeća mete ako poduzeća koja su sudjelovala u akvizicijskom procesu ostaju kao samostalne pravne osobe</w:t>
            </w:r>
          </w:p>
        </w:tc>
        <w:tc>
          <w:tcPr>
            <w:tcW w:w="832" w:type="pct"/>
            <w:vAlign w:val="center"/>
            <w:hideMark/>
          </w:tcPr>
          <w:p w14:paraId="7088828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40036AB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2D7A95" w:rsidRPr="00BE5472" w14:paraId="12BB4BCF" w14:textId="77777777" w:rsidTr="003C2F5B">
        <w:trPr>
          <w:trHeight w:val="900"/>
        </w:trPr>
        <w:tc>
          <w:tcPr>
            <w:tcW w:w="370" w:type="pct"/>
            <w:noWrap/>
            <w:vAlign w:val="center"/>
            <w:hideMark/>
          </w:tcPr>
          <w:p w14:paraId="608D90F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51</w:t>
            </w:r>
          </w:p>
        </w:tc>
        <w:tc>
          <w:tcPr>
            <w:tcW w:w="3344" w:type="pct"/>
            <w:vAlign w:val="bottom"/>
            <w:hideMark/>
          </w:tcPr>
          <w:p w14:paraId="3200305F"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c>
          <w:tcPr>
            <w:tcW w:w="832" w:type="pct"/>
            <w:vAlign w:val="center"/>
            <w:hideMark/>
          </w:tcPr>
          <w:p w14:paraId="4C4C8D0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2FCAD0D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6922F6D0" w14:textId="77777777" w:rsidTr="003C2F5B">
        <w:trPr>
          <w:trHeight w:val="600"/>
        </w:trPr>
        <w:tc>
          <w:tcPr>
            <w:tcW w:w="370" w:type="pct"/>
            <w:noWrap/>
            <w:vAlign w:val="center"/>
            <w:hideMark/>
          </w:tcPr>
          <w:p w14:paraId="36580D6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52</w:t>
            </w:r>
          </w:p>
        </w:tc>
        <w:tc>
          <w:tcPr>
            <w:tcW w:w="3344" w:type="pct"/>
            <w:vAlign w:val="bottom"/>
            <w:hideMark/>
          </w:tcPr>
          <w:p w14:paraId="6B071403" w14:textId="7EDB00AE"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Razvojni programi kojima se potiče osjećaj zajedništva između zaposlenika poduzeća koja su sudjelovala u akvizicijskom procesu (bez obzira na njihov trenut</w:t>
            </w:r>
            <w:r w:rsidR="009F3C04" w:rsidRPr="00BE5472">
              <w:rPr>
                <w:rFonts w:ascii="Times New Roman" w:hAnsi="Times New Roman" w:cs="Times New Roman"/>
                <w:sz w:val="24"/>
                <w:szCs w:val="24"/>
              </w:rPr>
              <w:t>ač</w:t>
            </w:r>
            <w:r w:rsidRPr="00BE5472">
              <w:rPr>
                <w:rFonts w:ascii="Times New Roman" w:hAnsi="Times New Roman" w:cs="Times New Roman"/>
                <w:sz w:val="24"/>
                <w:szCs w:val="24"/>
              </w:rPr>
              <w:t>ni pravni status)</w:t>
            </w:r>
          </w:p>
        </w:tc>
        <w:tc>
          <w:tcPr>
            <w:tcW w:w="832" w:type="pct"/>
            <w:vAlign w:val="center"/>
            <w:hideMark/>
          </w:tcPr>
          <w:p w14:paraId="0997B10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1B6E14D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77653E0A" w14:textId="77777777" w:rsidTr="003C2F5B">
        <w:trPr>
          <w:trHeight w:val="600"/>
        </w:trPr>
        <w:tc>
          <w:tcPr>
            <w:tcW w:w="370" w:type="pct"/>
            <w:noWrap/>
            <w:vAlign w:val="center"/>
            <w:hideMark/>
          </w:tcPr>
          <w:p w14:paraId="7D6380E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53</w:t>
            </w:r>
          </w:p>
        </w:tc>
        <w:tc>
          <w:tcPr>
            <w:tcW w:w="3344" w:type="pct"/>
            <w:vAlign w:val="bottom"/>
            <w:hideMark/>
          </w:tcPr>
          <w:p w14:paraId="6D55C52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Ujednačavanje motiva zbog kojih se poduzeće preuzimatelj odlučilo za akviziciju i operativne strategije preuzetog poduzeća (novoosnovanog zajedničkog poduzeća ili zasebne pravne osobe)</w:t>
            </w:r>
          </w:p>
        </w:tc>
        <w:tc>
          <w:tcPr>
            <w:tcW w:w="832" w:type="pct"/>
            <w:vAlign w:val="center"/>
            <w:hideMark/>
          </w:tcPr>
          <w:p w14:paraId="0E789CA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441F149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5E7441EF" w14:textId="77777777" w:rsidTr="003C2F5B">
        <w:trPr>
          <w:trHeight w:val="300"/>
        </w:trPr>
        <w:tc>
          <w:tcPr>
            <w:tcW w:w="370" w:type="pct"/>
            <w:noWrap/>
            <w:vAlign w:val="center"/>
            <w:hideMark/>
          </w:tcPr>
          <w:p w14:paraId="020A026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54</w:t>
            </w:r>
          </w:p>
        </w:tc>
        <w:tc>
          <w:tcPr>
            <w:tcW w:w="3344" w:type="pct"/>
            <w:vAlign w:val="bottom"/>
            <w:hideMark/>
          </w:tcPr>
          <w:p w14:paraId="550A7A70"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Identificiranje i usmjeravanje na ostvarivanje glavnih vrijednosnih pokretača procesa akvizicije. </w:t>
            </w:r>
          </w:p>
        </w:tc>
        <w:tc>
          <w:tcPr>
            <w:tcW w:w="832" w:type="pct"/>
            <w:vAlign w:val="center"/>
            <w:hideMark/>
          </w:tcPr>
          <w:p w14:paraId="0E07F8C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62E0A05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27ECD584" w14:textId="77777777" w:rsidTr="003C2F5B">
        <w:trPr>
          <w:trHeight w:val="300"/>
        </w:trPr>
        <w:tc>
          <w:tcPr>
            <w:tcW w:w="370" w:type="pct"/>
            <w:noWrap/>
            <w:vAlign w:val="center"/>
            <w:hideMark/>
          </w:tcPr>
          <w:p w14:paraId="2D12523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55</w:t>
            </w:r>
          </w:p>
        </w:tc>
        <w:tc>
          <w:tcPr>
            <w:tcW w:w="3344" w:type="pct"/>
            <w:vAlign w:val="bottom"/>
            <w:hideMark/>
          </w:tcPr>
          <w:p w14:paraId="32E9643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Osiguranje resursa potrebnih za integraciju nakon procesa akvizicije</w:t>
            </w:r>
          </w:p>
        </w:tc>
        <w:tc>
          <w:tcPr>
            <w:tcW w:w="832" w:type="pct"/>
            <w:vAlign w:val="center"/>
            <w:hideMark/>
          </w:tcPr>
          <w:p w14:paraId="3EB5A5E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59AB9E8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4.83</w:t>
            </w:r>
          </w:p>
        </w:tc>
      </w:tr>
      <w:tr w:rsidR="002D7A95" w:rsidRPr="00BE5472" w14:paraId="7875E1B7" w14:textId="77777777" w:rsidTr="003C2F5B">
        <w:trPr>
          <w:trHeight w:val="300"/>
        </w:trPr>
        <w:tc>
          <w:tcPr>
            <w:tcW w:w="370" w:type="pct"/>
            <w:noWrap/>
            <w:vAlign w:val="center"/>
            <w:hideMark/>
          </w:tcPr>
          <w:p w14:paraId="43C7FF3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56</w:t>
            </w:r>
          </w:p>
        </w:tc>
        <w:tc>
          <w:tcPr>
            <w:tcW w:w="3344" w:type="pct"/>
            <w:vAlign w:val="bottom"/>
            <w:hideMark/>
          </w:tcPr>
          <w:p w14:paraId="6A95FDA0"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Učinkovita komunikacija s javnošću</w:t>
            </w:r>
          </w:p>
        </w:tc>
        <w:tc>
          <w:tcPr>
            <w:tcW w:w="832" w:type="pct"/>
            <w:vAlign w:val="center"/>
            <w:hideMark/>
          </w:tcPr>
          <w:p w14:paraId="172FC28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0.85</w:t>
            </w:r>
          </w:p>
        </w:tc>
        <w:tc>
          <w:tcPr>
            <w:tcW w:w="453" w:type="pct"/>
            <w:vAlign w:val="center"/>
            <w:hideMark/>
          </w:tcPr>
          <w:p w14:paraId="1E45D7D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2D7A95" w:rsidRPr="00BE5472" w14:paraId="3FD14333" w14:textId="77777777" w:rsidTr="003C2F5B">
        <w:trPr>
          <w:trHeight w:val="300"/>
        </w:trPr>
        <w:tc>
          <w:tcPr>
            <w:tcW w:w="370" w:type="pct"/>
            <w:noWrap/>
            <w:vAlign w:val="center"/>
            <w:hideMark/>
          </w:tcPr>
          <w:p w14:paraId="5D61136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57</w:t>
            </w:r>
          </w:p>
        </w:tc>
        <w:tc>
          <w:tcPr>
            <w:tcW w:w="3344" w:type="pct"/>
            <w:vAlign w:val="bottom"/>
            <w:hideMark/>
          </w:tcPr>
          <w:p w14:paraId="703336CE"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Brza integracija radi ostvarivanja zacrtanog plana</w:t>
            </w:r>
          </w:p>
        </w:tc>
        <w:tc>
          <w:tcPr>
            <w:tcW w:w="832" w:type="pct"/>
            <w:vAlign w:val="center"/>
            <w:hideMark/>
          </w:tcPr>
          <w:p w14:paraId="77CA607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453" w:type="pct"/>
            <w:vAlign w:val="center"/>
            <w:hideMark/>
          </w:tcPr>
          <w:p w14:paraId="29E48BB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515DECBD" w14:textId="77777777" w:rsidTr="003C2F5B">
        <w:trPr>
          <w:trHeight w:val="300"/>
        </w:trPr>
        <w:tc>
          <w:tcPr>
            <w:tcW w:w="370" w:type="pct"/>
            <w:noWrap/>
            <w:vAlign w:val="center"/>
            <w:hideMark/>
          </w:tcPr>
          <w:p w14:paraId="5A0BD33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58</w:t>
            </w:r>
          </w:p>
        </w:tc>
        <w:tc>
          <w:tcPr>
            <w:tcW w:w="3344" w:type="pct"/>
            <w:vAlign w:val="bottom"/>
            <w:hideMark/>
          </w:tcPr>
          <w:p w14:paraId="12B1EC93"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Integracija informacijske infrastrukturu poduzeća koja su sudjelovale u akvizicijskom procesu</w:t>
            </w:r>
          </w:p>
        </w:tc>
        <w:tc>
          <w:tcPr>
            <w:tcW w:w="832" w:type="pct"/>
            <w:vAlign w:val="center"/>
            <w:hideMark/>
          </w:tcPr>
          <w:p w14:paraId="4ECD7AD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3BEEC08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3C3929CA" w14:textId="77777777" w:rsidTr="003C2F5B">
        <w:trPr>
          <w:trHeight w:val="900"/>
        </w:trPr>
        <w:tc>
          <w:tcPr>
            <w:tcW w:w="370" w:type="pct"/>
            <w:noWrap/>
            <w:vAlign w:val="center"/>
            <w:hideMark/>
          </w:tcPr>
          <w:p w14:paraId="1B4FF0B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59</w:t>
            </w:r>
          </w:p>
        </w:tc>
        <w:tc>
          <w:tcPr>
            <w:tcW w:w="3344" w:type="pct"/>
            <w:vAlign w:val="bottom"/>
            <w:hideMark/>
          </w:tcPr>
          <w:p w14:paraId="64D379F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Promptna objava plana razvoja ljudskih resursa nakon procesa akvizicije (npr. kljucne funkcije, ovlasti i odgovornosti, planovi otpuštanja itd. u novoosnovanom zajedničkom poduzeću ili u oba poduzeća koje su sudjelovala u akvizicijskom procesu)</w:t>
            </w:r>
          </w:p>
        </w:tc>
        <w:tc>
          <w:tcPr>
            <w:tcW w:w="832" w:type="pct"/>
            <w:vAlign w:val="center"/>
            <w:hideMark/>
          </w:tcPr>
          <w:p w14:paraId="1FFA195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453" w:type="pct"/>
            <w:vAlign w:val="center"/>
            <w:hideMark/>
          </w:tcPr>
          <w:p w14:paraId="58AB3C6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2A6A013C" w14:textId="77777777" w:rsidTr="003C2F5B">
        <w:trPr>
          <w:trHeight w:val="300"/>
        </w:trPr>
        <w:tc>
          <w:tcPr>
            <w:tcW w:w="370" w:type="pct"/>
            <w:noWrap/>
            <w:vAlign w:val="center"/>
            <w:hideMark/>
          </w:tcPr>
          <w:p w14:paraId="7804F33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60</w:t>
            </w:r>
          </w:p>
        </w:tc>
        <w:tc>
          <w:tcPr>
            <w:tcW w:w="3344" w:type="pct"/>
            <w:vAlign w:val="bottom"/>
            <w:hideMark/>
          </w:tcPr>
          <w:p w14:paraId="70F34DBC"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Odlučan i pravedan odnos prema zaposlenicima koje je potrebno otpustiti</w:t>
            </w:r>
          </w:p>
        </w:tc>
        <w:tc>
          <w:tcPr>
            <w:tcW w:w="832" w:type="pct"/>
            <w:vAlign w:val="center"/>
            <w:hideMark/>
          </w:tcPr>
          <w:p w14:paraId="40FA0D8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53E59AA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4787398A" w14:textId="77777777" w:rsidTr="003C2F5B">
        <w:trPr>
          <w:trHeight w:val="300"/>
        </w:trPr>
        <w:tc>
          <w:tcPr>
            <w:tcW w:w="370" w:type="pct"/>
            <w:noWrap/>
            <w:vAlign w:val="center"/>
            <w:hideMark/>
          </w:tcPr>
          <w:p w14:paraId="3FBE201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61</w:t>
            </w:r>
          </w:p>
        </w:tc>
        <w:tc>
          <w:tcPr>
            <w:tcW w:w="3344" w:type="pct"/>
            <w:vAlign w:val="bottom"/>
            <w:hideMark/>
          </w:tcPr>
          <w:p w14:paraId="7BE2865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Uspostaviti odgovarajuće unutarnje mehanizme za prijenos kompetencija i sredstava između poslovnih jedinica </w:t>
            </w:r>
          </w:p>
        </w:tc>
        <w:tc>
          <w:tcPr>
            <w:tcW w:w="832" w:type="pct"/>
            <w:vAlign w:val="center"/>
            <w:hideMark/>
          </w:tcPr>
          <w:p w14:paraId="3C47E1D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2CAEC34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5F569607" w14:textId="77777777" w:rsidTr="003C2F5B">
        <w:trPr>
          <w:trHeight w:val="600"/>
        </w:trPr>
        <w:tc>
          <w:tcPr>
            <w:tcW w:w="370" w:type="pct"/>
            <w:noWrap/>
            <w:vAlign w:val="center"/>
            <w:hideMark/>
          </w:tcPr>
          <w:p w14:paraId="29B7316F"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62</w:t>
            </w:r>
          </w:p>
        </w:tc>
        <w:tc>
          <w:tcPr>
            <w:tcW w:w="3344" w:type="pct"/>
            <w:vAlign w:val="bottom"/>
            <w:hideMark/>
          </w:tcPr>
          <w:p w14:paraId="73F0420B"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 xml:space="preserve">Povezivanje naknada (kompenzacija)  s poboljšanjima u realizaciji slobodnih novčanih tokova (u novoosnovanom zajedničkom poduzeću ili u oba poduzeća koja su sudjelovala u procesu preuzimanja) </w:t>
            </w:r>
          </w:p>
        </w:tc>
        <w:tc>
          <w:tcPr>
            <w:tcW w:w="832" w:type="pct"/>
            <w:vAlign w:val="center"/>
            <w:hideMark/>
          </w:tcPr>
          <w:p w14:paraId="63228E3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3FB6B55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0C19B134" w14:textId="77777777" w:rsidTr="003C2F5B">
        <w:trPr>
          <w:trHeight w:val="300"/>
        </w:trPr>
        <w:tc>
          <w:tcPr>
            <w:tcW w:w="370" w:type="pct"/>
            <w:noWrap/>
            <w:vAlign w:val="center"/>
            <w:hideMark/>
          </w:tcPr>
          <w:p w14:paraId="17C66DD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63</w:t>
            </w:r>
          </w:p>
        </w:tc>
        <w:tc>
          <w:tcPr>
            <w:tcW w:w="3344" w:type="pct"/>
            <w:vAlign w:val="center"/>
            <w:hideMark/>
          </w:tcPr>
          <w:p w14:paraId="327004FB"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Niveliranje razlika u stilovima upravljanja između poduzeća koja su sudjelovale u procesu spajanja i preuzimanja</w:t>
            </w:r>
          </w:p>
        </w:tc>
        <w:tc>
          <w:tcPr>
            <w:tcW w:w="832" w:type="pct"/>
            <w:vAlign w:val="center"/>
            <w:hideMark/>
          </w:tcPr>
          <w:p w14:paraId="0E7BD60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3FCF3B1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277C436F" w14:textId="77777777" w:rsidTr="003C2F5B">
        <w:trPr>
          <w:trHeight w:val="300"/>
        </w:trPr>
        <w:tc>
          <w:tcPr>
            <w:tcW w:w="370" w:type="pct"/>
            <w:noWrap/>
            <w:vAlign w:val="center"/>
            <w:hideMark/>
          </w:tcPr>
          <w:p w14:paraId="50AFC9F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64</w:t>
            </w:r>
          </w:p>
        </w:tc>
        <w:tc>
          <w:tcPr>
            <w:tcW w:w="3344" w:type="pct"/>
            <w:vAlign w:val="center"/>
            <w:hideMark/>
          </w:tcPr>
          <w:p w14:paraId="02E30948"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Utvrđivanje razine centralizacije i autonomije zaposlenika poduzeća mete </w:t>
            </w:r>
          </w:p>
        </w:tc>
        <w:tc>
          <w:tcPr>
            <w:tcW w:w="832" w:type="pct"/>
            <w:vAlign w:val="center"/>
            <w:hideMark/>
          </w:tcPr>
          <w:p w14:paraId="5AE7C3C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084DB09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3.33</w:t>
            </w:r>
          </w:p>
        </w:tc>
      </w:tr>
      <w:tr w:rsidR="002D7A95" w:rsidRPr="00BE5472" w14:paraId="4F9080D1" w14:textId="77777777" w:rsidTr="003C2F5B">
        <w:trPr>
          <w:trHeight w:val="600"/>
        </w:trPr>
        <w:tc>
          <w:tcPr>
            <w:tcW w:w="370" w:type="pct"/>
            <w:noWrap/>
            <w:vAlign w:val="center"/>
            <w:hideMark/>
          </w:tcPr>
          <w:p w14:paraId="6533C41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65</w:t>
            </w:r>
          </w:p>
        </w:tc>
        <w:tc>
          <w:tcPr>
            <w:tcW w:w="3344" w:type="pct"/>
            <w:vAlign w:val="center"/>
            <w:hideMark/>
          </w:tcPr>
          <w:p w14:paraId="0DF6FDED"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Identificiranje prilika za poboljšanje konkurentske pozicije novostvorenog zajedničkog poduzeća ili oba poduzeća koja su sudjelovala u procesu spajanja i preuzimanja, ali su ostala kao samostalne pravne osobe</w:t>
            </w:r>
          </w:p>
        </w:tc>
        <w:tc>
          <w:tcPr>
            <w:tcW w:w="832" w:type="pct"/>
            <w:vAlign w:val="center"/>
            <w:hideMark/>
          </w:tcPr>
          <w:p w14:paraId="577836D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39DC32A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0287D4A1" w14:textId="77777777" w:rsidTr="003C2F5B">
        <w:trPr>
          <w:trHeight w:val="600"/>
        </w:trPr>
        <w:tc>
          <w:tcPr>
            <w:tcW w:w="370" w:type="pct"/>
            <w:noWrap/>
            <w:vAlign w:val="center"/>
            <w:hideMark/>
          </w:tcPr>
          <w:p w14:paraId="75AAC2B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66</w:t>
            </w:r>
          </w:p>
        </w:tc>
        <w:tc>
          <w:tcPr>
            <w:tcW w:w="3344" w:type="pct"/>
            <w:vAlign w:val="center"/>
            <w:hideMark/>
          </w:tcPr>
          <w:p w14:paraId="32FBE84D"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Uspostavljanje proceduru za izgradnju zajedničkih alata, praksi, procesa, procedura i jezika (u slučaju spajanja poduzeća, ali i kada svako poduzeće ostaje kao samostalna pravna osoba s obzirom na novu vlasničku strukturu mete)</w:t>
            </w:r>
          </w:p>
        </w:tc>
        <w:tc>
          <w:tcPr>
            <w:tcW w:w="832" w:type="pct"/>
            <w:vAlign w:val="center"/>
            <w:hideMark/>
          </w:tcPr>
          <w:p w14:paraId="050BB05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0.60</w:t>
            </w:r>
          </w:p>
        </w:tc>
        <w:tc>
          <w:tcPr>
            <w:tcW w:w="453" w:type="pct"/>
            <w:vAlign w:val="center"/>
            <w:hideMark/>
          </w:tcPr>
          <w:p w14:paraId="2C77947A"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6C07F949" w14:textId="77777777" w:rsidTr="003C2F5B">
        <w:trPr>
          <w:trHeight w:val="300"/>
        </w:trPr>
        <w:tc>
          <w:tcPr>
            <w:tcW w:w="370" w:type="pct"/>
            <w:noWrap/>
            <w:vAlign w:val="center"/>
            <w:hideMark/>
          </w:tcPr>
          <w:p w14:paraId="2FF4E2D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67</w:t>
            </w:r>
          </w:p>
        </w:tc>
        <w:tc>
          <w:tcPr>
            <w:tcW w:w="3344" w:type="pct"/>
            <w:vAlign w:val="center"/>
            <w:hideMark/>
          </w:tcPr>
          <w:p w14:paraId="60AEBDA7"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Asimiliranje kulturoloških sustava poduzeća preuzimatelja (tj. vrijednosti, norme) u poslovnu kulturu poduzeća mete</w:t>
            </w:r>
          </w:p>
        </w:tc>
        <w:tc>
          <w:tcPr>
            <w:tcW w:w="832" w:type="pct"/>
            <w:vAlign w:val="center"/>
            <w:hideMark/>
          </w:tcPr>
          <w:p w14:paraId="2AAE89F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0.68</w:t>
            </w:r>
          </w:p>
        </w:tc>
        <w:tc>
          <w:tcPr>
            <w:tcW w:w="453" w:type="pct"/>
            <w:vAlign w:val="center"/>
            <w:hideMark/>
          </w:tcPr>
          <w:p w14:paraId="04EF512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3.50</w:t>
            </w:r>
          </w:p>
        </w:tc>
      </w:tr>
      <w:tr w:rsidR="002D7A95" w:rsidRPr="00BE5472" w14:paraId="12AD00C2" w14:textId="77777777" w:rsidTr="003C2F5B">
        <w:trPr>
          <w:trHeight w:val="600"/>
        </w:trPr>
        <w:tc>
          <w:tcPr>
            <w:tcW w:w="370" w:type="pct"/>
            <w:noWrap/>
            <w:vAlign w:val="center"/>
            <w:hideMark/>
          </w:tcPr>
          <w:p w14:paraId="08F35C5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68</w:t>
            </w:r>
          </w:p>
        </w:tc>
        <w:tc>
          <w:tcPr>
            <w:tcW w:w="3344" w:type="pct"/>
            <w:vAlign w:val="center"/>
            <w:hideMark/>
          </w:tcPr>
          <w:p w14:paraId="7B2AEC31"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Razvoj novog skup konkurentskih proizvoda (ponude, doživljaja, portfelje proizvoda/usluga) za novostvoreno zajedničko poduzeće (ili poduzeća koje su sudjelovala u akvizicijskom procesu, ali su ostala kao samostalne pravne osobe)</w:t>
            </w:r>
          </w:p>
        </w:tc>
        <w:tc>
          <w:tcPr>
            <w:tcW w:w="832" w:type="pct"/>
            <w:vAlign w:val="center"/>
            <w:hideMark/>
          </w:tcPr>
          <w:p w14:paraId="38B40B8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0.58</w:t>
            </w:r>
          </w:p>
        </w:tc>
        <w:tc>
          <w:tcPr>
            <w:tcW w:w="453" w:type="pct"/>
            <w:vAlign w:val="center"/>
            <w:hideMark/>
          </w:tcPr>
          <w:p w14:paraId="6E2B6AC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3.17</w:t>
            </w:r>
          </w:p>
        </w:tc>
      </w:tr>
      <w:tr w:rsidR="002D7A95" w:rsidRPr="00BE5472" w14:paraId="1DE1FB3A" w14:textId="77777777" w:rsidTr="003C2F5B">
        <w:trPr>
          <w:trHeight w:val="300"/>
        </w:trPr>
        <w:tc>
          <w:tcPr>
            <w:tcW w:w="370" w:type="pct"/>
            <w:noWrap/>
            <w:vAlign w:val="center"/>
            <w:hideMark/>
          </w:tcPr>
          <w:p w14:paraId="1202D4A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69</w:t>
            </w:r>
          </w:p>
        </w:tc>
        <w:tc>
          <w:tcPr>
            <w:tcW w:w="3344" w:type="pct"/>
            <w:vAlign w:val="center"/>
            <w:hideMark/>
          </w:tcPr>
          <w:p w14:paraId="11A459F8"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Postavljanje nove upravljačke strukture u poduzeću meti </w:t>
            </w:r>
          </w:p>
        </w:tc>
        <w:tc>
          <w:tcPr>
            <w:tcW w:w="832" w:type="pct"/>
            <w:vAlign w:val="center"/>
            <w:hideMark/>
          </w:tcPr>
          <w:p w14:paraId="691C300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453" w:type="pct"/>
            <w:vAlign w:val="center"/>
            <w:hideMark/>
          </w:tcPr>
          <w:p w14:paraId="796B211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2D7A95" w:rsidRPr="00BE5472" w14:paraId="68207D83" w14:textId="77777777" w:rsidTr="003C2F5B">
        <w:trPr>
          <w:trHeight w:val="600"/>
        </w:trPr>
        <w:tc>
          <w:tcPr>
            <w:tcW w:w="370" w:type="pct"/>
            <w:noWrap/>
            <w:vAlign w:val="center"/>
            <w:hideMark/>
          </w:tcPr>
          <w:p w14:paraId="016FA1A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70</w:t>
            </w:r>
          </w:p>
        </w:tc>
        <w:tc>
          <w:tcPr>
            <w:tcW w:w="3344" w:type="pct"/>
            <w:vAlign w:val="center"/>
            <w:hideMark/>
          </w:tcPr>
          <w:p w14:paraId="32989B38" w14:textId="0BFCF350"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Uspostavljanje novih programa procjene učinka uspješnosti u poduzećima koje su sudjelovale u procesu spajanja i preuzimanja</w:t>
            </w:r>
            <w:r w:rsidR="009967EB" w:rsidRPr="00BE5472">
              <w:rPr>
                <w:rFonts w:ascii="Times New Roman" w:hAnsi="Times New Roman" w:cs="Times New Roman"/>
                <w:sz w:val="24"/>
                <w:szCs w:val="24"/>
              </w:rPr>
              <w:t>,</w:t>
            </w:r>
            <w:r w:rsidRPr="00BE5472">
              <w:rPr>
                <w:rFonts w:ascii="Times New Roman" w:hAnsi="Times New Roman" w:cs="Times New Roman"/>
                <w:sz w:val="24"/>
                <w:szCs w:val="24"/>
              </w:rPr>
              <w:t xml:space="preserve"> bez obzira na njihovu trenut</w:t>
            </w:r>
            <w:r w:rsidR="009F3C04" w:rsidRPr="00BE5472">
              <w:rPr>
                <w:rFonts w:ascii="Times New Roman" w:hAnsi="Times New Roman" w:cs="Times New Roman"/>
                <w:sz w:val="24"/>
                <w:szCs w:val="24"/>
              </w:rPr>
              <w:t>ač</w:t>
            </w:r>
            <w:r w:rsidRPr="00BE5472">
              <w:rPr>
                <w:rFonts w:ascii="Times New Roman" w:hAnsi="Times New Roman" w:cs="Times New Roman"/>
                <w:sz w:val="24"/>
                <w:szCs w:val="24"/>
              </w:rPr>
              <w:t>nu pravnu osobnost</w:t>
            </w:r>
          </w:p>
        </w:tc>
        <w:tc>
          <w:tcPr>
            <w:tcW w:w="832" w:type="pct"/>
            <w:vAlign w:val="center"/>
            <w:hideMark/>
          </w:tcPr>
          <w:p w14:paraId="2387853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453" w:type="pct"/>
            <w:vAlign w:val="center"/>
            <w:hideMark/>
          </w:tcPr>
          <w:p w14:paraId="210F6EF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2D7A95" w:rsidRPr="00BE5472" w14:paraId="2DEDB906" w14:textId="77777777" w:rsidTr="003C2F5B">
        <w:trPr>
          <w:trHeight w:val="300"/>
        </w:trPr>
        <w:tc>
          <w:tcPr>
            <w:tcW w:w="370" w:type="pct"/>
            <w:noWrap/>
            <w:vAlign w:val="center"/>
            <w:hideMark/>
          </w:tcPr>
          <w:p w14:paraId="417BFE3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71</w:t>
            </w:r>
          </w:p>
        </w:tc>
        <w:tc>
          <w:tcPr>
            <w:tcW w:w="3344" w:type="pct"/>
            <w:vAlign w:val="center"/>
            <w:hideMark/>
          </w:tcPr>
          <w:p w14:paraId="4CD5650B"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Definiranje novih metoda i postupaka analize konkurencije u hotelskom sektoru </w:t>
            </w:r>
          </w:p>
        </w:tc>
        <w:tc>
          <w:tcPr>
            <w:tcW w:w="832" w:type="pct"/>
            <w:vAlign w:val="center"/>
            <w:hideMark/>
          </w:tcPr>
          <w:p w14:paraId="31922CA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0.72</w:t>
            </w:r>
          </w:p>
        </w:tc>
        <w:tc>
          <w:tcPr>
            <w:tcW w:w="453" w:type="pct"/>
            <w:vAlign w:val="center"/>
            <w:hideMark/>
          </w:tcPr>
          <w:p w14:paraId="4FC75AA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2.83</w:t>
            </w:r>
          </w:p>
        </w:tc>
      </w:tr>
      <w:tr w:rsidR="002D7A95" w:rsidRPr="00BE5472" w14:paraId="0CE52AC0" w14:textId="77777777" w:rsidTr="003C2F5B">
        <w:trPr>
          <w:trHeight w:val="300"/>
        </w:trPr>
        <w:tc>
          <w:tcPr>
            <w:tcW w:w="5000" w:type="pct"/>
            <w:gridSpan w:val="4"/>
            <w:noWrap/>
            <w:vAlign w:val="center"/>
          </w:tcPr>
          <w:p w14:paraId="13DFD46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b/>
                <w:bCs/>
                <w:sz w:val="24"/>
                <w:szCs w:val="24"/>
              </w:rPr>
              <w:t>KLJUČNI ČIMBENICI USPJEHA PROCESA SPAJANJA I PREUZIMANJA NAKON ZAVRŠETKA FAZE INTEGRACIJE (U POST-AKVIZICIJSKOJ FAZI)</w:t>
            </w:r>
          </w:p>
        </w:tc>
      </w:tr>
      <w:tr w:rsidR="002D7A95" w:rsidRPr="00BE5472" w14:paraId="371C828C" w14:textId="77777777" w:rsidTr="003C2F5B">
        <w:trPr>
          <w:trHeight w:val="300"/>
        </w:trPr>
        <w:tc>
          <w:tcPr>
            <w:tcW w:w="370" w:type="pct"/>
            <w:noWrap/>
            <w:vAlign w:val="center"/>
            <w:hideMark/>
          </w:tcPr>
          <w:p w14:paraId="4EA5B05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72</w:t>
            </w:r>
          </w:p>
        </w:tc>
        <w:tc>
          <w:tcPr>
            <w:tcW w:w="3344" w:type="pct"/>
            <w:vAlign w:val="center"/>
            <w:hideMark/>
          </w:tcPr>
          <w:p w14:paraId="456BA47F"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Povrat na ukupno uloženi kapital (WACC)</w:t>
            </w:r>
          </w:p>
        </w:tc>
        <w:tc>
          <w:tcPr>
            <w:tcW w:w="832" w:type="pct"/>
            <w:vAlign w:val="center"/>
            <w:hideMark/>
          </w:tcPr>
          <w:p w14:paraId="4D92654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0443C65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0DB45F11" w14:textId="77777777" w:rsidTr="003C2F5B">
        <w:trPr>
          <w:trHeight w:val="300"/>
        </w:trPr>
        <w:tc>
          <w:tcPr>
            <w:tcW w:w="370" w:type="pct"/>
            <w:noWrap/>
            <w:vAlign w:val="center"/>
            <w:hideMark/>
          </w:tcPr>
          <w:p w14:paraId="5BC8FC4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73</w:t>
            </w:r>
          </w:p>
        </w:tc>
        <w:tc>
          <w:tcPr>
            <w:tcW w:w="3344" w:type="pct"/>
            <w:vAlign w:val="center"/>
            <w:hideMark/>
          </w:tcPr>
          <w:p w14:paraId="48829A83"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Slobodni novčani tijek po dionici </w:t>
            </w:r>
          </w:p>
        </w:tc>
        <w:tc>
          <w:tcPr>
            <w:tcW w:w="832" w:type="pct"/>
            <w:vAlign w:val="center"/>
            <w:hideMark/>
          </w:tcPr>
          <w:p w14:paraId="556E7D50"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453" w:type="pct"/>
            <w:vAlign w:val="center"/>
            <w:hideMark/>
          </w:tcPr>
          <w:p w14:paraId="0ACA4B3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2D7A95" w:rsidRPr="00BE5472" w14:paraId="6DC50CDE" w14:textId="77777777" w:rsidTr="003C2F5B">
        <w:trPr>
          <w:trHeight w:val="600"/>
        </w:trPr>
        <w:tc>
          <w:tcPr>
            <w:tcW w:w="370" w:type="pct"/>
            <w:noWrap/>
            <w:vAlign w:val="center"/>
            <w:hideMark/>
          </w:tcPr>
          <w:p w14:paraId="5BAFB9BC"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74</w:t>
            </w:r>
          </w:p>
        </w:tc>
        <w:tc>
          <w:tcPr>
            <w:tcW w:w="3344" w:type="pct"/>
            <w:vAlign w:val="center"/>
            <w:hideMark/>
          </w:tcPr>
          <w:p w14:paraId="7F7541BA"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Novčani tijek iz operacija (prodaja umanjena za troškove prodanih dobara i usluga, administrativne troškove uvećano za deprecijaciju i </w:t>
            </w:r>
            <w:r w:rsidRPr="00BE5472">
              <w:rPr>
                <w:rFonts w:ascii="Times New Roman" w:hAnsi="Times New Roman" w:cs="Times New Roman"/>
                <w:i/>
                <w:sz w:val="24"/>
                <w:szCs w:val="24"/>
              </w:rPr>
              <w:t>goodwill</w:t>
            </w:r>
            <w:r w:rsidRPr="00BE5472">
              <w:rPr>
                <w:rFonts w:ascii="Times New Roman" w:hAnsi="Times New Roman" w:cs="Times New Roman"/>
                <w:sz w:val="24"/>
                <w:szCs w:val="24"/>
              </w:rPr>
              <w:t>)</w:t>
            </w:r>
          </w:p>
        </w:tc>
        <w:tc>
          <w:tcPr>
            <w:tcW w:w="832" w:type="pct"/>
            <w:vAlign w:val="center"/>
            <w:hideMark/>
          </w:tcPr>
          <w:p w14:paraId="5067740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2BDA38E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263A4C29" w14:textId="77777777" w:rsidTr="003C2F5B">
        <w:trPr>
          <w:trHeight w:val="300"/>
        </w:trPr>
        <w:tc>
          <w:tcPr>
            <w:tcW w:w="370" w:type="pct"/>
            <w:noWrap/>
            <w:vAlign w:val="center"/>
            <w:hideMark/>
          </w:tcPr>
          <w:p w14:paraId="3B8B878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75</w:t>
            </w:r>
          </w:p>
        </w:tc>
        <w:tc>
          <w:tcPr>
            <w:tcW w:w="3344" w:type="pct"/>
            <w:vAlign w:val="center"/>
            <w:hideMark/>
          </w:tcPr>
          <w:p w14:paraId="72DB08A7"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Računovodstveni pokazatelji (ROI, ROE, ROA)</w:t>
            </w:r>
          </w:p>
        </w:tc>
        <w:tc>
          <w:tcPr>
            <w:tcW w:w="832" w:type="pct"/>
            <w:vAlign w:val="center"/>
            <w:hideMark/>
          </w:tcPr>
          <w:p w14:paraId="57E7DADD"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74C43536"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0D18CAD8" w14:textId="77777777" w:rsidTr="003C2F5B">
        <w:trPr>
          <w:trHeight w:val="300"/>
        </w:trPr>
        <w:tc>
          <w:tcPr>
            <w:tcW w:w="370" w:type="pct"/>
            <w:noWrap/>
            <w:vAlign w:val="center"/>
            <w:hideMark/>
          </w:tcPr>
          <w:p w14:paraId="258877F8"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76</w:t>
            </w:r>
          </w:p>
        </w:tc>
        <w:tc>
          <w:tcPr>
            <w:tcW w:w="3344" w:type="pct"/>
            <w:vAlign w:val="center"/>
            <w:hideMark/>
          </w:tcPr>
          <w:p w14:paraId="7F6F2BF9"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Uobičajeni hotelski pokazatelji uspješnosti (ADR, stopa popunjenosti, REVPAR, TREVPAR)</w:t>
            </w:r>
          </w:p>
        </w:tc>
        <w:tc>
          <w:tcPr>
            <w:tcW w:w="832" w:type="pct"/>
            <w:vAlign w:val="center"/>
            <w:hideMark/>
          </w:tcPr>
          <w:p w14:paraId="66F6E93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295DC34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2D7A95" w:rsidRPr="00BE5472" w14:paraId="297A85E9" w14:textId="77777777" w:rsidTr="003C2F5B">
        <w:trPr>
          <w:trHeight w:val="300"/>
        </w:trPr>
        <w:tc>
          <w:tcPr>
            <w:tcW w:w="370" w:type="pct"/>
            <w:noWrap/>
            <w:vAlign w:val="center"/>
            <w:hideMark/>
          </w:tcPr>
          <w:p w14:paraId="0B2A6A5B"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77</w:t>
            </w:r>
          </w:p>
        </w:tc>
        <w:tc>
          <w:tcPr>
            <w:tcW w:w="3344" w:type="pct"/>
            <w:vAlign w:val="center"/>
            <w:hideMark/>
          </w:tcPr>
          <w:p w14:paraId="753EED23"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Tržišni udio (gubitak/dobitak)</w:t>
            </w:r>
          </w:p>
        </w:tc>
        <w:tc>
          <w:tcPr>
            <w:tcW w:w="832" w:type="pct"/>
            <w:vAlign w:val="center"/>
            <w:hideMark/>
          </w:tcPr>
          <w:p w14:paraId="0A1C4DE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453" w:type="pct"/>
            <w:vAlign w:val="center"/>
            <w:hideMark/>
          </w:tcPr>
          <w:p w14:paraId="7AE47572"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2D7A95" w:rsidRPr="00BE5472" w14:paraId="36C52525" w14:textId="77777777" w:rsidTr="003C2F5B">
        <w:trPr>
          <w:trHeight w:val="300"/>
        </w:trPr>
        <w:tc>
          <w:tcPr>
            <w:tcW w:w="370" w:type="pct"/>
            <w:noWrap/>
            <w:vAlign w:val="center"/>
            <w:hideMark/>
          </w:tcPr>
          <w:p w14:paraId="5C6FF9E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78</w:t>
            </w:r>
          </w:p>
        </w:tc>
        <w:tc>
          <w:tcPr>
            <w:tcW w:w="3344" w:type="pct"/>
            <w:vAlign w:val="center"/>
            <w:hideMark/>
          </w:tcPr>
          <w:p w14:paraId="4ED3374F"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Promjena kretanja cijene dionica</w:t>
            </w:r>
          </w:p>
        </w:tc>
        <w:tc>
          <w:tcPr>
            <w:tcW w:w="832" w:type="pct"/>
            <w:vAlign w:val="center"/>
            <w:hideMark/>
          </w:tcPr>
          <w:p w14:paraId="17FDBF79"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0.72</w:t>
            </w:r>
          </w:p>
        </w:tc>
        <w:tc>
          <w:tcPr>
            <w:tcW w:w="453" w:type="pct"/>
            <w:vAlign w:val="center"/>
            <w:hideMark/>
          </w:tcPr>
          <w:p w14:paraId="7CA73C6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7D995AA3" w14:textId="77777777" w:rsidTr="003C2F5B">
        <w:trPr>
          <w:trHeight w:val="300"/>
        </w:trPr>
        <w:tc>
          <w:tcPr>
            <w:tcW w:w="370" w:type="pct"/>
            <w:noWrap/>
            <w:vAlign w:val="center"/>
            <w:hideMark/>
          </w:tcPr>
          <w:p w14:paraId="442EBB4E"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79</w:t>
            </w:r>
          </w:p>
        </w:tc>
        <w:tc>
          <w:tcPr>
            <w:tcW w:w="3344" w:type="pct"/>
            <w:vAlign w:val="center"/>
            <w:hideMark/>
          </w:tcPr>
          <w:p w14:paraId="4FD48862"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Prihvaćanje nove/izmijenjene organizacijske kulture</w:t>
            </w:r>
          </w:p>
        </w:tc>
        <w:tc>
          <w:tcPr>
            <w:tcW w:w="832" w:type="pct"/>
            <w:vAlign w:val="center"/>
            <w:hideMark/>
          </w:tcPr>
          <w:p w14:paraId="27810AC5"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1C86E203"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4317407A" w14:textId="77777777" w:rsidTr="003C2F5B">
        <w:trPr>
          <w:trHeight w:val="300"/>
        </w:trPr>
        <w:tc>
          <w:tcPr>
            <w:tcW w:w="370" w:type="pct"/>
            <w:noWrap/>
            <w:vAlign w:val="center"/>
            <w:hideMark/>
          </w:tcPr>
          <w:p w14:paraId="7F371F57"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80</w:t>
            </w:r>
          </w:p>
        </w:tc>
        <w:tc>
          <w:tcPr>
            <w:tcW w:w="3344" w:type="pct"/>
            <w:vAlign w:val="center"/>
            <w:hideMark/>
          </w:tcPr>
          <w:p w14:paraId="00BA3DD4"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 xml:space="preserve">Prihvaćanje nove organizacijske strukture </w:t>
            </w:r>
          </w:p>
        </w:tc>
        <w:tc>
          <w:tcPr>
            <w:tcW w:w="832" w:type="pct"/>
            <w:vAlign w:val="center"/>
            <w:hideMark/>
          </w:tcPr>
          <w:p w14:paraId="03E28CD1"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453" w:type="pct"/>
            <w:vAlign w:val="center"/>
            <w:hideMark/>
          </w:tcPr>
          <w:p w14:paraId="2540D424" w14:textId="77777777" w:rsidR="002D7A95" w:rsidRPr="00BE5472" w:rsidRDefault="002D7A95" w:rsidP="003C2F5B">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2D7A95" w:rsidRPr="00BE5472" w14:paraId="39EA1D39" w14:textId="77777777" w:rsidTr="003C2F5B">
        <w:trPr>
          <w:trHeight w:val="300"/>
        </w:trPr>
        <w:tc>
          <w:tcPr>
            <w:tcW w:w="370" w:type="pct"/>
            <w:noWrap/>
            <w:vAlign w:val="center"/>
            <w:hideMark/>
          </w:tcPr>
          <w:p w14:paraId="6E11693D" w14:textId="77777777" w:rsidR="002D7A95" w:rsidRPr="00BE5472" w:rsidRDefault="002D7A95" w:rsidP="003C2F5B">
            <w:pPr>
              <w:jc w:val="center"/>
              <w:rPr>
                <w:rFonts w:ascii="Times New Roman" w:hAnsi="Times New Roman" w:cs="Times New Roman"/>
                <w:sz w:val="24"/>
                <w:szCs w:val="24"/>
              </w:rPr>
            </w:pPr>
          </w:p>
        </w:tc>
        <w:tc>
          <w:tcPr>
            <w:tcW w:w="3344" w:type="pct"/>
            <w:vAlign w:val="center"/>
            <w:hideMark/>
          </w:tcPr>
          <w:p w14:paraId="2CFF344F" w14:textId="77777777" w:rsidR="002D7A95" w:rsidRPr="00BE5472" w:rsidRDefault="002D7A95" w:rsidP="003C2F5B">
            <w:pPr>
              <w:rPr>
                <w:rFonts w:ascii="Times New Roman" w:hAnsi="Times New Roman" w:cs="Times New Roman"/>
                <w:sz w:val="24"/>
                <w:szCs w:val="24"/>
              </w:rPr>
            </w:pPr>
            <w:r w:rsidRPr="00BE5472">
              <w:rPr>
                <w:rFonts w:ascii="Times New Roman" w:hAnsi="Times New Roman" w:cs="Times New Roman"/>
                <w:sz w:val="24"/>
                <w:szCs w:val="24"/>
              </w:rPr>
              <w:t>UIS (Ukupni indeks suglasnosti)</w:t>
            </w:r>
          </w:p>
        </w:tc>
        <w:tc>
          <w:tcPr>
            <w:tcW w:w="832" w:type="pct"/>
            <w:shd w:val="clear" w:color="auto" w:fill="92D050"/>
            <w:vAlign w:val="bottom"/>
            <w:hideMark/>
          </w:tcPr>
          <w:p w14:paraId="55868AF2" w14:textId="77777777" w:rsidR="002D7A95" w:rsidRPr="00BE5472" w:rsidRDefault="002D7A95" w:rsidP="003C2F5B">
            <w:pPr>
              <w:jc w:val="both"/>
              <w:rPr>
                <w:rFonts w:ascii="Times New Roman" w:hAnsi="Times New Roman" w:cs="Times New Roman"/>
                <w:sz w:val="24"/>
                <w:szCs w:val="24"/>
              </w:rPr>
            </w:pPr>
            <w:r w:rsidRPr="00BE5472">
              <w:rPr>
                <w:rFonts w:ascii="Times New Roman" w:hAnsi="Times New Roman" w:cs="Times New Roman"/>
                <w:sz w:val="24"/>
                <w:szCs w:val="24"/>
              </w:rPr>
              <w:t>0.68</w:t>
            </w:r>
          </w:p>
        </w:tc>
        <w:tc>
          <w:tcPr>
            <w:tcW w:w="453" w:type="pct"/>
            <w:vAlign w:val="bottom"/>
            <w:hideMark/>
          </w:tcPr>
          <w:p w14:paraId="258D545C" w14:textId="77777777" w:rsidR="002D7A95" w:rsidRPr="00BE5472" w:rsidRDefault="002D7A95" w:rsidP="003C2F5B">
            <w:pPr>
              <w:jc w:val="both"/>
              <w:rPr>
                <w:rFonts w:ascii="Times New Roman" w:hAnsi="Times New Roman" w:cs="Times New Roman"/>
                <w:sz w:val="24"/>
                <w:szCs w:val="24"/>
              </w:rPr>
            </w:pPr>
          </w:p>
        </w:tc>
      </w:tr>
    </w:tbl>
    <w:p w14:paraId="656FD857" w14:textId="77777777" w:rsidR="002D7A95" w:rsidRPr="00BE5472" w:rsidRDefault="002D7A95" w:rsidP="002D7A95">
      <w:pPr>
        <w:jc w:val="both"/>
        <w:rPr>
          <w:rFonts w:ascii="Times New Roman" w:hAnsi="Times New Roman" w:cs="Times New Roman"/>
          <w:sz w:val="24"/>
          <w:szCs w:val="24"/>
        </w:rPr>
      </w:pPr>
      <w:r w:rsidRPr="00BE5472">
        <w:rPr>
          <w:rFonts w:ascii="Times New Roman" w:hAnsi="Times New Roman" w:cs="Times New Roman"/>
          <w:sz w:val="24"/>
          <w:szCs w:val="24"/>
        </w:rPr>
        <w:t>Izvor: obrada autora</w:t>
      </w:r>
    </w:p>
    <w:p w14:paraId="0ECB6A22" w14:textId="77777777" w:rsidR="002D7A95" w:rsidRPr="00BE5472" w:rsidRDefault="002D7A95" w:rsidP="002D7A95">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svrhu definiranja čimbenika koji će biti uključeni u sljedeći krug evaluacije, korišten je kriterij temeljen na </w:t>
      </w:r>
      <w:r w:rsidRPr="00BE5472">
        <w:rPr>
          <w:rFonts w:ascii="Times New Roman" w:hAnsi="Times New Roman" w:cs="Times New Roman"/>
          <w:b/>
          <w:bCs/>
          <w:sz w:val="24"/>
          <w:szCs w:val="24"/>
        </w:rPr>
        <w:t>linearnom ponderiranom indeksu suglasnosti</w:t>
      </w:r>
      <w:r w:rsidRPr="00BE5472">
        <w:rPr>
          <w:rFonts w:ascii="Times New Roman" w:hAnsi="Times New Roman" w:cs="Times New Roman"/>
          <w:sz w:val="24"/>
          <w:szCs w:val="24"/>
        </w:rPr>
        <w:t xml:space="preserve"> i </w:t>
      </w:r>
      <w:r w:rsidRPr="00BE5472">
        <w:rPr>
          <w:rFonts w:ascii="Times New Roman" w:hAnsi="Times New Roman" w:cs="Times New Roman"/>
          <w:b/>
          <w:bCs/>
          <w:sz w:val="24"/>
          <w:szCs w:val="24"/>
        </w:rPr>
        <w:t>aritmetičkoj sredini ocjena</w:t>
      </w:r>
      <w:r w:rsidRPr="00BE5472">
        <w:rPr>
          <w:rFonts w:ascii="Times New Roman" w:hAnsi="Times New Roman" w:cs="Times New Roman"/>
          <w:sz w:val="24"/>
          <w:szCs w:val="24"/>
        </w:rPr>
        <w:t>:</w:t>
      </w:r>
    </w:p>
    <w:p w14:paraId="2CB35CBD" w14:textId="77777777" w:rsidR="002D7A95" w:rsidRPr="00BE5472" w:rsidRDefault="002D7A95" w:rsidP="002D7A95">
      <w:pPr>
        <w:numPr>
          <w:ilvl w:val="0"/>
          <w:numId w:val="101"/>
        </w:num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Linearnim ponderiranim indeksom suglasnosti</w:t>
      </w:r>
      <w:r w:rsidRPr="00BE5472">
        <w:rPr>
          <w:rFonts w:ascii="Times New Roman" w:hAnsi="Times New Roman" w:cs="Times New Roman"/>
          <w:sz w:val="24"/>
          <w:szCs w:val="24"/>
          <w:lang w:val="it-IT"/>
        </w:rPr>
        <w:t xml:space="preserve"> određena je razina slaganja među ispitanicima. Čimbenici s indeksom suglasnosti </w:t>
      </w:r>
      <w:r w:rsidRPr="00BE5472">
        <w:rPr>
          <w:rFonts w:ascii="Times New Roman" w:hAnsi="Times New Roman" w:cs="Times New Roman"/>
          <w:b/>
          <w:bCs/>
          <w:sz w:val="24"/>
          <w:szCs w:val="24"/>
          <w:lang w:val="it-IT"/>
        </w:rPr>
        <w:t>0,68 ili višim</w:t>
      </w:r>
      <w:r w:rsidRPr="00BE5472">
        <w:rPr>
          <w:rFonts w:ascii="Times New Roman" w:hAnsi="Times New Roman" w:cs="Times New Roman"/>
          <w:sz w:val="24"/>
          <w:szCs w:val="24"/>
          <w:lang w:val="it-IT"/>
        </w:rPr>
        <w:t xml:space="preserve"> smatrani su relevantnima za daljnju analizu, jer visoka razina suglasnosti ukazuje na dosljednost u ocjenama među ispitanicima.</w:t>
      </w:r>
    </w:p>
    <w:p w14:paraId="77F995F3" w14:textId="77777777" w:rsidR="002D7A95" w:rsidRPr="00BE5472" w:rsidRDefault="002D7A95" w:rsidP="002D7A95">
      <w:pPr>
        <w:numPr>
          <w:ilvl w:val="0"/>
          <w:numId w:val="101"/>
        </w:num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Uz to, u obzir su uzeti samo čimbenici s </w:t>
      </w:r>
      <w:r w:rsidRPr="00BE5472">
        <w:rPr>
          <w:rFonts w:ascii="Times New Roman" w:hAnsi="Times New Roman" w:cs="Times New Roman"/>
          <w:b/>
          <w:bCs/>
          <w:sz w:val="24"/>
          <w:szCs w:val="24"/>
          <w:lang w:val="it-IT"/>
        </w:rPr>
        <w:t>aritmetičkom sredinom ocjena jednakom ili višom od 3,5</w:t>
      </w:r>
      <w:r w:rsidRPr="00BE5472">
        <w:rPr>
          <w:rFonts w:ascii="Times New Roman" w:hAnsi="Times New Roman" w:cs="Times New Roman"/>
          <w:sz w:val="24"/>
          <w:szCs w:val="24"/>
          <w:lang w:val="it-IT"/>
        </w:rPr>
        <w:t>, što označava da su ispitanici općenito ocijenili te čimbenike kao važne.</w:t>
      </w:r>
    </w:p>
    <w:p w14:paraId="07DA38E8" w14:textId="294A95F3" w:rsidR="002D7A95" w:rsidRPr="00BE5472" w:rsidRDefault="002D7A95"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Stoga, čimbenici koji zadovoljavaju oba kriterija – </w:t>
      </w:r>
      <w:r w:rsidRPr="00BE5472">
        <w:rPr>
          <w:rFonts w:ascii="Times New Roman" w:hAnsi="Times New Roman" w:cs="Times New Roman"/>
          <w:b/>
          <w:bCs/>
          <w:sz w:val="24"/>
          <w:szCs w:val="24"/>
          <w:lang w:val="it-IT"/>
        </w:rPr>
        <w:t>indeks suglasnosti ≥ 0,68</w:t>
      </w:r>
      <w:r w:rsidRPr="00BE5472">
        <w:rPr>
          <w:rFonts w:ascii="Times New Roman" w:hAnsi="Times New Roman" w:cs="Times New Roman"/>
          <w:sz w:val="24"/>
          <w:szCs w:val="24"/>
          <w:lang w:val="it-IT"/>
        </w:rPr>
        <w:t xml:space="preserve"> i </w:t>
      </w:r>
      <w:r w:rsidRPr="00BE5472">
        <w:rPr>
          <w:rFonts w:ascii="Times New Roman" w:hAnsi="Times New Roman" w:cs="Times New Roman"/>
          <w:b/>
          <w:bCs/>
          <w:sz w:val="24"/>
          <w:szCs w:val="24"/>
          <w:lang w:val="it-IT"/>
        </w:rPr>
        <w:t>aritmetičku sredinu ocjena ≥ 3,5</w:t>
      </w:r>
      <w:r w:rsidRPr="00BE5472">
        <w:rPr>
          <w:rFonts w:ascii="Times New Roman" w:hAnsi="Times New Roman" w:cs="Times New Roman"/>
          <w:sz w:val="24"/>
          <w:szCs w:val="24"/>
          <w:lang w:val="it-IT"/>
        </w:rPr>
        <w:t xml:space="preserve"> – uključeni su u sljedeći krug evaluacije (Tablica 30). Ovaj pristup osigurava da daljnja analiza obuhvati čimbenike koji su ne samo percipirani kao važni, već i ocijenjeni visokim stupnjem slaganja među ispitanicima, čime se povećava pouzdanost rezultata.</w:t>
      </w:r>
    </w:p>
    <w:p w14:paraId="2A4DA9CB" w14:textId="2C17E70A" w:rsidR="00120B4F" w:rsidRPr="00BE5472" w:rsidRDefault="00120B4F" w:rsidP="00120B4F">
      <w:pPr>
        <w:spacing w:line="360" w:lineRule="auto"/>
        <w:jc w:val="both"/>
        <w:rPr>
          <w:rFonts w:ascii="Times New Roman" w:hAnsi="Times New Roman" w:cs="Times New Roman"/>
          <w:sz w:val="24"/>
          <w:szCs w:val="24"/>
        </w:rPr>
      </w:pPr>
      <w:bookmarkStart w:id="177" w:name="_Hlk221554967"/>
      <w:r w:rsidRPr="00BE5472">
        <w:rPr>
          <w:rFonts w:ascii="Times New Roman" w:hAnsi="Times New Roman" w:cs="Times New Roman"/>
          <w:sz w:val="24"/>
          <w:szCs w:val="24"/>
        </w:rPr>
        <w:t xml:space="preserve">U Prilogu </w:t>
      </w:r>
      <w:r w:rsidR="00F502A0" w:rsidRPr="00BE5472">
        <w:rPr>
          <w:rFonts w:ascii="Times New Roman" w:hAnsi="Times New Roman" w:cs="Times New Roman"/>
          <w:sz w:val="24"/>
          <w:szCs w:val="24"/>
        </w:rPr>
        <w:t>6</w:t>
      </w:r>
      <w:r w:rsidRPr="00BE5472">
        <w:rPr>
          <w:rFonts w:ascii="Times New Roman" w:hAnsi="Times New Roman" w:cs="Times New Roman"/>
          <w:sz w:val="24"/>
          <w:szCs w:val="24"/>
        </w:rPr>
        <w:t xml:space="preserve"> prikazana je kompletna obrada rezultata prv</w:t>
      </w:r>
      <w:r w:rsidR="008E42EA"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za motive pokretanja procesa spajanja i preuzimanja, čimbenike uspjeha u fazi prije preuzimanja, tijekom integracije i u postakvizicij</w:t>
      </w:r>
      <w:r w:rsidR="006170A1" w:rsidRPr="00BE5472">
        <w:rPr>
          <w:rFonts w:ascii="Times New Roman" w:hAnsi="Times New Roman" w:cs="Times New Roman"/>
          <w:sz w:val="24"/>
          <w:szCs w:val="24"/>
        </w:rPr>
        <w:t>s</w:t>
      </w:r>
      <w:r w:rsidRPr="00BE5472">
        <w:rPr>
          <w:rFonts w:ascii="Times New Roman" w:hAnsi="Times New Roman" w:cs="Times New Roman"/>
          <w:sz w:val="24"/>
          <w:szCs w:val="24"/>
        </w:rPr>
        <w:t>koj fazi. Obrada uključuje prikaz i interpretaciju aritmetičke sredine, medijana, moda i standardne devijacije za svaki pojedini motiv odnosno čimbenik.</w:t>
      </w:r>
    </w:p>
    <w:bookmarkEnd w:id="177"/>
    <w:p w14:paraId="007798FB" w14:textId="512A2353"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Rezultati prvog </w:t>
      </w:r>
      <w:r w:rsidR="008E42EA" w:rsidRPr="00BE5472">
        <w:rPr>
          <w:rFonts w:ascii="Times New Roman" w:hAnsi="Times New Roman" w:cs="Times New Roman"/>
          <w:sz w:val="24"/>
          <w:szCs w:val="24"/>
        </w:rPr>
        <w:t>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ispitivanja pokazuju jasnu hijerarhiju motiva za pokretanje procesa spajanja i preuzimanja u hrvatskom hotelijerstvu, pri čemu su uočljive razlike ne samo u razini </w:t>
      </w:r>
      <w:r w:rsidRPr="00BE5472">
        <w:rPr>
          <w:rFonts w:ascii="Times New Roman" w:hAnsi="Times New Roman" w:cs="Times New Roman"/>
          <w:b/>
          <w:sz w:val="24"/>
          <w:szCs w:val="24"/>
        </w:rPr>
        <w:t>percipirane važnosti pojedinih motiva</w:t>
      </w:r>
      <w:r w:rsidRPr="00BE5472">
        <w:rPr>
          <w:rFonts w:ascii="Times New Roman" w:hAnsi="Times New Roman" w:cs="Times New Roman"/>
          <w:sz w:val="24"/>
          <w:szCs w:val="24"/>
        </w:rPr>
        <w:t>, već i u stupnju suglasnosti među ispitanicima.</w:t>
      </w:r>
    </w:p>
    <w:p w14:paraId="07348C8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motiv</w:t>
      </w:r>
      <w:r w:rsidRPr="00BE5472">
        <w:rPr>
          <w:rFonts w:ascii="Times New Roman" w:hAnsi="Times New Roman" w:cs="Times New Roman"/>
          <w:sz w:val="24"/>
          <w:szCs w:val="24"/>
        </w:rPr>
        <w:t xml:space="preserve"> istaknuto je </w:t>
      </w:r>
      <w:r w:rsidRPr="00BE5472">
        <w:rPr>
          <w:rFonts w:ascii="Times New Roman" w:hAnsi="Times New Roman" w:cs="Times New Roman"/>
          <w:bCs/>
          <w:sz w:val="24"/>
          <w:szCs w:val="24"/>
        </w:rPr>
        <w:t>povećanje tržišnog udjela poduzeća preuzimatelja</w:t>
      </w:r>
      <w:r w:rsidRPr="00BE5472">
        <w:rPr>
          <w:rFonts w:ascii="Times New Roman" w:hAnsi="Times New Roman" w:cs="Times New Roman"/>
          <w:sz w:val="24"/>
          <w:szCs w:val="24"/>
        </w:rPr>
        <w:t xml:space="preserve"> (aritmetička sredina = 5,000; medijan = 5; mod = 5; standardna devijacija = 0,000). Svi ispitanici ovom su motivu dodijelili maksimalnu ocjenu, što ukazuje na potpunu suglasnost i nedvojbenu percepciju njegove ključne uloge u pokretanju procesa spajanja i preuzimanja. </w:t>
      </w:r>
      <w:r w:rsidRPr="00BE5472">
        <w:rPr>
          <w:rFonts w:ascii="Times New Roman" w:hAnsi="Times New Roman" w:cs="Times New Roman"/>
          <w:sz w:val="24"/>
          <w:szCs w:val="24"/>
        </w:rPr>
        <w:lastRenderedPageBreak/>
        <w:t>Izostanak varijabilnosti dodatno potvrđuje jedinstven stav stručnjaka o strateškoj važnosti tržišnog udjela.</w:t>
      </w:r>
    </w:p>
    <w:p w14:paraId="06010659"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visoko rangiranih motiva čine oni s vrlo visokim prosječnim ocjenama, ali uz umjerenu razinu raspršenosti odgovora. Motiv </w:t>
      </w:r>
      <w:r w:rsidRPr="00BE5472">
        <w:rPr>
          <w:rFonts w:ascii="Times New Roman" w:hAnsi="Times New Roman" w:cs="Times New Roman"/>
          <w:bCs/>
          <w:sz w:val="24"/>
          <w:szCs w:val="24"/>
        </w:rPr>
        <w:t>osiguranja održivog rasta poduzeća preuzimatelja</w:t>
      </w:r>
      <w:r w:rsidRPr="00BE5472">
        <w:rPr>
          <w:rFonts w:ascii="Times New Roman" w:hAnsi="Times New Roman" w:cs="Times New Roman"/>
          <w:sz w:val="24"/>
          <w:szCs w:val="24"/>
        </w:rPr>
        <w:t xml:space="preserve"> (aritmetička sredina = 4,167; medijan = 4,5; mod = 5; standardna devijacija = 0,983) ocijenjen je kao važan, pri čemu većina ispitanika naginje višim ocjenama. Umjerena standardna devijacija upućuje na opću suglasnost, uz postojanje određenih razlika u intenzitetu percipirane važnosti.</w:t>
      </w:r>
    </w:p>
    <w:p w14:paraId="705D2C6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Jednako visoku prosječnu ocjenu ostvarili su motivi </w:t>
      </w:r>
      <w:r w:rsidRPr="00BE5472">
        <w:rPr>
          <w:rFonts w:ascii="Times New Roman" w:hAnsi="Times New Roman" w:cs="Times New Roman"/>
          <w:bCs/>
          <w:sz w:val="24"/>
          <w:szCs w:val="24"/>
        </w:rPr>
        <w:t>proširivanja tržišnih segmenata (baze kupaca)</w:t>
      </w:r>
      <w:r w:rsidRPr="00BE5472">
        <w:rPr>
          <w:rFonts w:ascii="Times New Roman" w:hAnsi="Times New Roman" w:cs="Times New Roman"/>
          <w:sz w:val="24"/>
          <w:szCs w:val="24"/>
        </w:rPr>
        <w:t xml:space="preserve"> (aritmetička sredina = 4,167; standardna devijacija = 0,753) te </w:t>
      </w:r>
      <w:r w:rsidRPr="00BE5472">
        <w:rPr>
          <w:rFonts w:ascii="Times New Roman" w:hAnsi="Times New Roman" w:cs="Times New Roman"/>
          <w:bCs/>
          <w:sz w:val="24"/>
          <w:szCs w:val="24"/>
        </w:rPr>
        <w:t>povećanja kapaciteta poduzeća preuzimatelja</w:t>
      </w:r>
      <w:r w:rsidRPr="00BE5472">
        <w:rPr>
          <w:rFonts w:ascii="Times New Roman" w:hAnsi="Times New Roman" w:cs="Times New Roman"/>
          <w:sz w:val="24"/>
          <w:szCs w:val="24"/>
        </w:rPr>
        <w:t xml:space="preserve"> (aritmetička sredina = 4,167; standardna devijacija = 0,753). Kod oba motiva prisutna je niska standardna devijacija, što upućuje na relativno stabilan konsenzus ispitanika i dosljednu procjenu njihove važnosti u kontekstu spajanja i preuzimanja.</w:t>
      </w:r>
    </w:p>
    <w:p w14:paraId="417C7598" w14:textId="77777777" w:rsidR="00120B4F" w:rsidRPr="00BE5472" w:rsidRDefault="00120B4F" w:rsidP="00120B4F">
      <w:pPr>
        <w:spacing w:line="360" w:lineRule="auto"/>
        <w:jc w:val="both"/>
        <w:rPr>
          <w:rFonts w:ascii="Times New Roman" w:hAnsi="Times New Roman" w:cs="Times New Roman"/>
          <w:bCs/>
          <w:sz w:val="24"/>
          <w:szCs w:val="24"/>
          <w:lang w:val="it-IT"/>
        </w:rPr>
      </w:pPr>
      <w:r w:rsidRPr="00BE5472">
        <w:rPr>
          <w:rFonts w:ascii="Times New Roman" w:hAnsi="Times New Roman" w:cs="Times New Roman"/>
          <w:bCs/>
          <w:sz w:val="24"/>
          <w:szCs w:val="24"/>
          <w:lang w:val="it-IT"/>
        </w:rPr>
        <w:t>Motivi visoke do umjerene važnosti uz stabilan konsenzus su sljedeći:</w:t>
      </w:r>
    </w:p>
    <w:p w14:paraId="5EB81D1C" w14:textId="77777777" w:rsidR="00120B4F" w:rsidRPr="00401BF4" w:rsidRDefault="00120B4F" w:rsidP="00401BF4">
      <w:pPr>
        <w:pStyle w:val="ListParagraph"/>
        <w:numPr>
          <w:ilvl w:val="0"/>
          <w:numId w:val="105"/>
        </w:numPr>
        <w:spacing w:line="360" w:lineRule="auto"/>
        <w:jc w:val="both"/>
        <w:rPr>
          <w:rFonts w:ascii="Times New Roman" w:hAnsi="Times New Roman" w:cs="Times New Roman"/>
          <w:sz w:val="24"/>
          <w:szCs w:val="24"/>
          <w:lang w:val="it-IT"/>
        </w:rPr>
      </w:pPr>
      <w:r w:rsidRPr="00401BF4">
        <w:rPr>
          <w:rFonts w:ascii="Times New Roman" w:hAnsi="Times New Roman" w:cs="Times New Roman"/>
          <w:bCs/>
          <w:sz w:val="24"/>
          <w:szCs w:val="24"/>
          <w:lang w:val="it-IT"/>
        </w:rPr>
        <w:t>Jačanje marke i reputacije poduzeća preuzimatelja</w:t>
      </w:r>
      <w:r w:rsidRPr="00401BF4">
        <w:rPr>
          <w:rFonts w:ascii="Times New Roman" w:hAnsi="Times New Roman" w:cs="Times New Roman"/>
          <w:sz w:val="24"/>
          <w:szCs w:val="24"/>
          <w:lang w:val="it-IT"/>
        </w:rPr>
        <w:t xml:space="preserve"> (aritmetička sredina = 4,000; medijan = 4; mod = 4; standardna devijacija = 0,632) se percipira kao važan, pri čemu niska varijabilnost odgovora ukazuje na relativno visok stupanj suglasnosti među ispitanicima.</w:t>
      </w:r>
    </w:p>
    <w:p w14:paraId="5841B3A8" w14:textId="77777777" w:rsidR="00120B4F" w:rsidRPr="00401BF4" w:rsidRDefault="00120B4F" w:rsidP="00401BF4">
      <w:pPr>
        <w:pStyle w:val="ListParagraph"/>
        <w:numPr>
          <w:ilvl w:val="0"/>
          <w:numId w:val="105"/>
        </w:numPr>
        <w:spacing w:line="360" w:lineRule="auto"/>
        <w:jc w:val="both"/>
        <w:rPr>
          <w:rFonts w:ascii="Times New Roman" w:hAnsi="Times New Roman" w:cs="Times New Roman"/>
          <w:sz w:val="24"/>
          <w:szCs w:val="24"/>
          <w:lang w:val="it-IT"/>
        </w:rPr>
      </w:pPr>
      <w:r w:rsidRPr="00401BF4">
        <w:rPr>
          <w:rFonts w:ascii="Times New Roman" w:hAnsi="Times New Roman" w:cs="Times New Roman"/>
          <w:bCs/>
          <w:sz w:val="24"/>
          <w:szCs w:val="24"/>
          <w:lang w:val="it-IT"/>
        </w:rPr>
        <w:t>Smanjivanje troškova putem racionalizacije poslovanja i učinaka ekonomije obujma</w:t>
      </w:r>
      <w:r w:rsidRPr="00401BF4">
        <w:rPr>
          <w:rFonts w:ascii="Times New Roman" w:hAnsi="Times New Roman" w:cs="Times New Roman"/>
          <w:sz w:val="24"/>
          <w:szCs w:val="24"/>
          <w:lang w:val="it-IT"/>
        </w:rPr>
        <w:t xml:space="preserve"> (aritmetička sredina = 3,833; standardna devijacija = 1,169) ostvaruje relativno visoku prosječnu ocjenu, ali uz veću raspršenost odgovora. To sugerira da dio ispitanika ovaj motiv smatra vrlo važnim, dok drugi daju prednost strateškim i tržišno orijentiranim razlozima.</w:t>
      </w:r>
    </w:p>
    <w:p w14:paraId="29EFA77A" w14:textId="77777777" w:rsidR="007969EF" w:rsidRDefault="00120B4F" w:rsidP="00120B4F">
      <w:pPr>
        <w:pStyle w:val="ListParagraph"/>
        <w:numPr>
          <w:ilvl w:val="0"/>
          <w:numId w:val="105"/>
        </w:numPr>
        <w:spacing w:line="360" w:lineRule="auto"/>
        <w:jc w:val="both"/>
        <w:rPr>
          <w:rFonts w:ascii="Times New Roman" w:hAnsi="Times New Roman" w:cs="Times New Roman"/>
          <w:sz w:val="24"/>
          <w:szCs w:val="24"/>
          <w:lang w:val="it-IT"/>
        </w:rPr>
      </w:pPr>
      <w:r w:rsidRPr="00401BF4">
        <w:rPr>
          <w:rFonts w:ascii="Times New Roman" w:hAnsi="Times New Roman" w:cs="Times New Roman"/>
          <w:sz w:val="24"/>
          <w:szCs w:val="24"/>
          <w:lang w:val="it-IT"/>
        </w:rPr>
        <w:t xml:space="preserve">Motivi </w:t>
      </w:r>
      <w:r w:rsidRPr="00401BF4">
        <w:rPr>
          <w:rFonts w:ascii="Times New Roman" w:hAnsi="Times New Roman" w:cs="Times New Roman"/>
          <w:bCs/>
          <w:sz w:val="24"/>
          <w:szCs w:val="24"/>
          <w:lang w:val="it-IT"/>
        </w:rPr>
        <w:t>ostvarivanja liderske pozicije u industriji</w:t>
      </w:r>
      <w:r w:rsidRPr="00401BF4">
        <w:rPr>
          <w:rFonts w:ascii="Times New Roman" w:hAnsi="Times New Roman" w:cs="Times New Roman"/>
          <w:sz w:val="24"/>
          <w:szCs w:val="24"/>
          <w:lang w:val="it-IT"/>
        </w:rPr>
        <w:t xml:space="preserve"> (aritmetička sredina = 3,667; standardna devijacija = 1,366) i </w:t>
      </w:r>
      <w:r w:rsidRPr="00401BF4">
        <w:rPr>
          <w:rFonts w:ascii="Times New Roman" w:hAnsi="Times New Roman" w:cs="Times New Roman"/>
          <w:bCs/>
          <w:sz w:val="24"/>
          <w:szCs w:val="24"/>
          <w:lang w:val="it-IT"/>
        </w:rPr>
        <w:t>nemogućnosti internog rasta</w:t>
      </w:r>
      <w:r w:rsidRPr="00401BF4">
        <w:rPr>
          <w:rFonts w:ascii="Times New Roman" w:hAnsi="Times New Roman" w:cs="Times New Roman"/>
          <w:sz w:val="24"/>
          <w:szCs w:val="24"/>
          <w:lang w:val="it-IT"/>
        </w:rPr>
        <w:t xml:space="preserve"> (aritmetička sredina = 3,667; standardna devijacija = 1,033) ocijenjeni su kao umjereno važni. Visoke standardne devijacije kod oba motiva upućuju na znatna razilaženja u stavovima ispitanika, što ukazuje na neujednačeno shvaćanje njihove uloge u poticanju procesa spajanja i preuzimanja.</w:t>
      </w:r>
    </w:p>
    <w:p w14:paraId="7711F082" w14:textId="36710C3F" w:rsidR="00120B4F" w:rsidRPr="007969EF" w:rsidRDefault="00120B4F" w:rsidP="007969EF">
      <w:pPr>
        <w:pStyle w:val="ListParagraph"/>
        <w:spacing w:line="360" w:lineRule="auto"/>
        <w:jc w:val="both"/>
        <w:rPr>
          <w:rFonts w:ascii="Times New Roman" w:hAnsi="Times New Roman" w:cs="Times New Roman"/>
          <w:sz w:val="24"/>
          <w:szCs w:val="24"/>
          <w:lang w:val="it-IT"/>
        </w:rPr>
      </w:pPr>
      <w:r w:rsidRPr="007969EF">
        <w:rPr>
          <w:rFonts w:ascii="Times New Roman" w:hAnsi="Times New Roman" w:cs="Times New Roman"/>
          <w:bCs/>
          <w:sz w:val="24"/>
          <w:szCs w:val="24"/>
          <w:lang w:val="it-IT"/>
        </w:rPr>
        <w:t>Izdvojeni su i motivi niže važnosti s podijeljenim ili neutralnim stavovima.</w:t>
      </w:r>
    </w:p>
    <w:p w14:paraId="06449FBE" w14:textId="77777777" w:rsidR="00120B4F" w:rsidRPr="007969EF" w:rsidRDefault="00120B4F" w:rsidP="007969EF">
      <w:pPr>
        <w:pStyle w:val="ListParagraph"/>
        <w:numPr>
          <w:ilvl w:val="0"/>
          <w:numId w:val="105"/>
        </w:numPr>
        <w:spacing w:line="360" w:lineRule="auto"/>
        <w:jc w:val="both"/>
        <w:rPr>
          <w:rFonts w:ascii="Times New Roman" w:hAnsi="Times New Roman" w:cs="Times New Roman"/>
          <w:sz w:val="24"/>
          <w:szCs w:val="24"/>
          <w:lang w:val="it-IT"/>
        </w:rPr>
      </w:pPr>
      <w:r w:rsidRPr="007969EF">
        <w:rPr>
          <w:rFonts w:ascii="Times New Roman" w:hAnsi="Times New Roman" w:cs="Times New Roman"/>
          <w:sz w:val="24"/>
          <w:szCs w:val="24"/>
          <w:lang w:val="it-IT"/>
        </w:rPr>
        <w:t xml:space="preserve">Motivi </w:t>
      </w:r>
      <w:r w:rsidRPr="007969EF">
        <w:rPr>
          <w:rFonts w:ascii="Times New Roman" w:hAnsi="Times New Roman" w:cs="Times New Roman"/>
          <w:bCs/>
          <w:sz w:val="24"/>
          <w:szCs w:val="24"/>
          <w:lang w:val="it-IT"/>
        </w:rPr>
        <w:t>kontrole upravljačke strukture u poduzeću meti</w:t>
      </w:r>
      <w:r w:rsidRPr="007969EF">
        <w:rPr>
          <w:rFonts w:ascii="Times New Roman" w:hAnsi="Times New Roman" w:cs="Times New Roman"/>
          <w:sz w:val="24"/>
          <w:szCs w:val="24"/>
          <w:lang w:val="it-IT"/>
        </w:rPr>
        <w:t xml:space="preserve"> (aritmetička sredina = 3,333; standardna devijacija = 1,633) i </w:t>
      </w:r>
      <w:r w:rsidRPr="007969EF">
        <w:rPr>
          <w:rFonts w:ascii="Times New Roman" w:hAnsi="Times New Roman" w:cs="Times New Roman"/>
          <w:bCs/>
          <w:sz w:val="24"/>
          <w:szCs w:val="24"/>
          <w:lang w:val="it-IT"/>
        </w:rPr>
        <w:t>povećanja vrijednosti dionica poduzeća preuzimatelja</w:t>
      </w:r>
      <w:r w:rsidRPr="007969EF">
        <w:rPr>
          <w:rFonts w:ascii="Times New Roman" w:hAnsi="Times New Roman" w:cs="Times New Roman"/>
          <w:sz w:val="24"/>
          <w:szCs w:val="24"/>
          <w:lang w:val="it-IT"/>
        </w:rPr>
        <w:t xml:space="preserve"> </w:t>
      </w:r>
      <w:r w:rsidRPr="007969EF">
        <w:rPr>
          <w:rFonts w:ascii="Times New Roman" w:hAnsi="Times New Roman" w:cs="Times New Roman"/>
          <w:sz w:val="24"/>
          <w:szCs w:val="24"/>
          <w:lang w:val="it-IT"/>
        </w:rPr>
        <w:lastRenderedPageBreak/>
        <w:t>(aritmetička sredina = 3,333; standardna devijacija = 0,816) nalaze se u sredini ljestvice važnosti. Dok prvi motiv pokazuje visoku razinu neslaganja među ispitanicima, drugi se odlikuje umjerenom suglasnošću i blagom sklonošću višim ocjenama.</w:t>
      </w:r>
    </w:p>
    <w:p w14:paraId="11B100E3" w14:textId="77777777" w:rsidR="00120B4F" w:rsidRPr="007969EF" w:rsidRDefault="00120B4F" w:rsidP="007969EF">
      <w:pPr>
        <w:pStyle w:val="ListParagraph"/>
        <w:numPr>
          <w:ilvl w:val="0"/>
          <w:numId w:val="105"/>
        </w:numPr>
        <w:spacing w:line="360" w:lineRule="auto"/>
        <w:jc w:val="both"/>
        <w:rPr>
          <w:rFonts w:ascii="Times New Roman" w:hAnsi="Times New Roman" w:cs="Times New Roman"/>
          <w:sz w:val="24"/>
          <w:szCs w:val="24"/>
          <w:lang w:val="it-IT"/>
        </w:rPr>
      </w:pPr>
      <w:r w:rsidRPr="007969EF">
        <w:rPr>
          <w:rFonts w:ascii="Times New Roman" w:hAnsi="Times New Roman" w:cs="Times New Roman"/>
          <w:sz w:val="24"/>
          <w:szCs w:val="24"/>
          <w:lang w:val="it-IT"/>
        </w:rPr>
        <w:t xml:space="preserve">Motiv </w:t>
      </w:r>
      <w:r w:rsidRPr="007969EF">
        <w:rPr>
          <w:rFonts w:ascii="Times New Roman" w:hAnsi="Times New Roman" w:cs="Times New Roman"/>
          <w:bCs/>
          <w:sz w:val="24"/>
          <w:szCs w:val="24"/>
          <w:lang w:val="it-IT"/>
        </w:rPr>
        <w:t>plasiranja viška slobodnih financijskih sredstava</w:t>
      </w:r>
      <w:r w:rsidRPr="007969EF">
        <w:rPr>
          <w:rFonts w:ascii="Times New Roman" w:hAnsi="Times New Roman" w:cs="Times New Roman"/>
          <w:sz w:val="24"/>
          <w:szCs w:val="24"/>
          <w:lang w:val="it-IT"/>
        </w:rPr>
        <w:t xml:space="preserve"> (aritmetička sredina = 3,167; standardna devijacija = 0,408) ocijenjen je kao srednje važan, uz vrlo nisku varijabilnost odgovora, što ukazuje na stabilan i uglavnom neutralan stav ispitanika.</w:t>
      </w:r>
    </w:p>
    <w:p w14:paraId="4E7BB52B" w14:textId="77777777" w:rsidR="00120B4F" w:rsidRPr="007969EF" w:rsidRDefault="00120B4F" w:rsidP="007969EF">
      <w:pPr>
        <w:pStyle w:val="ListParagraph"/>
        <w:numPr>
          <w:ilvl w:val="0"/>
          <w:numId w:val="105"/>
        </w:numPr>
        <w:spacing w:line="360" w:lineRule="auto"/>
        <w:jc w:val="both"/>
        <w:rPr>
          <w:rFonts w:ascii="Times New Roman" w:hAnsi="Times New Roman" w:cs="Times New Roman"/>
          <w:sz w:val="24"/>
          <w:szCs w:val="24"/>
          <w:lang w:val="it-IT"/>
        </w:rPr>
      </w:pPr>
      <w:r w:rsidRPr="007969EF">
        <w:rPr>
          <w:rFonts w:ascii="Times New Roman" w:hAnsi="Times New Roman" w:cs="Times New Roman"/>
          <w:sz w:val="24"/>
          <w:szCs w:val="24"/>
          <w:lang w:val="it-IT"/>
        </w:rPr>
        <w:t xml:space="preserve">Kao </w:t>
      </w:r>
      <w:r w:rsidRPr="007969EF">
        <w:rPr>
          <w:rFonts w:ascii="Times New Roman" w:hAnsi="Times New Roman" w:cs="Times New Roman"/>
          <w:bCs/>
          <w:sz w:val="24"/>
          <w:szCs w:val="24"/>
          <w:lang w:val="it-IT"/>
        </w:rPr>
        <w:t>manje važni motivi</w:t>
      </w:r>
      <w:r w:rsidRPr="007969EF">
        <w:rPr>
          <w:rFonts w:ascii="Times New Roman" w:hAnsi="Times New Roman" w:cs="Times New Roman"/>
          <w:sz w:val="24"/>
          <w:szCs w:val="24"/>
          <w:lang w:val="it-IT"/>
        </w:rPr>
        <w:t xml:space="preserve"> identificirani su </w:t>
      </w:r>
      <w:r w:rsidRPr="007969EF">
        <w:rPr>
          <w:rFonts w:ascii="Times New Roman" w:hAnsi="Times New Roman" w:cs="Times New Roman"/>
          <w:bCs/>
          <w:sz w:val="24"/>
          <w:szCs w:val="24"/>
          <w:lang w:val="it-IT"/>
        </w:rPr>
        <w:t>poboljšanje kreditne sposobnosti novoosnovanog poduzeća</w:t>
      </w:r>
      <w:r w:rsidRPr="007969EF">
        <w:rPr>
          <w:rFonts w:ascii="Times New Roman" w:hAnsi="Times New Roman" w:cs="Times New Roman"/>
          <w:sz w:val="24"/>
          <w:szCs w:val="24"/>
          <w:lang w:val="it-IT"/>
        </w:rPr>
        <w:t xml:space="preserve"> (aritmetička sredina = 2,667; standardna devijacija = 1,033) te </w:t>
      </w:r>
      <w:r w:rsidRPr="007969EF">
        <w:rPr>
          <w:rFonts w:ascii="Times New Roman" w:hAnsi="Times New Roman" w:cs="Times New Roman"/>
          <w:bCs/>
          <w:sz w:val="24"/>
          <w:szCs w:val="24"/>
          <w:lang w:val="it-IT"/>
        </w:rPr>
        <w:t>preuzimanje ključnih zaposlenika i talenata iz poduzeća mete</w:t>
      </w:r>
      <w:r w:rsidRPr="007969EF">
        <w:rPr>
          <w:rFonts w:ascii="Times New Roman" w:hAnsi="Times New Roman" w:cs="Times New Roman"/>
          <w:sz w:val="24"/>
          <w:szCs w:val="24"/>
          <w:lang w:val="it-IT"/>
        </w:rPr>
        <w:t xml:space="preserve"> (aritmetička sredina = 2,500; standardna devijacija = 0,548). Iako pojedini ispitanici ovim motivima pridaju određenu važnost, ukupni rezultati upućuju na njihov marginalniji značaj u odnosu na ostale razmatrane motive.</w:t>
      </w:r>
    </w:p>
    <w:p w14:paraId="7AE20F01" w14:textId="77777777" w:rsidR="00120B4F" w:rsidRPr="00325B45" w:rsidRDefault="00120B4F" w:rsidP="00325B45">
      <w:pPr>
        <w:pStyle w:val="ListParagraph"/>
        <w:numPr>
          <w:ilvl w:val="0"/>
          <w:numId w:val="105"/>
        </w:numPr>
        <w:spacing w:line="360" w:lineRule="auto"/>
        <w:jc w:val="both"/>
        <w:rPr>
          <w:rFonts w:ascii="Times New Roman" w:hAnsi="Times New Roman" w:cs="Times New Roman"/>
          <w:sz w:val="24"/>
          <w:szCs w:val="24"/>
          <w:lang w:val="it-IT"/>
        </w:rPr>
      </w:pPr>
      <w:r w:rsidRPr="00325B45">
        <w:rPr>
          <w:rFonts w:ascii="Times New Roman" w:hAnsi="Times New Roman" w:cs="Times New Roman"/>
          <w:sz w:val="24"/>
          <w:szCs w:val="24"/>
          <w:lang w:val="it-IT"/>
        </w:rPr>
        <w:t xml:space="preserve">Najniže rangirani motiv jest </w:t>
      </w:r>
      <w:r w:rsidRPr="00325B45">
        <w:rPr>
          <w:rFonts w:ascii="Times New Roman" w:hAnsi="Times New Roman" w:cs="Times New Roman"/>
          <w:bCs/>
          <w:sz w:val="24"/>
          <w:szCs w:val="24"/>
          <w:lang w:val="it-IT"/>
        </w:rPr>
        <w:t>ispunjavanje osobnih ciljeva i/ili vizije izvršnog direktora poduzeća preuzimatelja</w:t>
      </w:r>
      <w:r w:rsidRPr="00325B45">
        <w:rPr>
          <w:rFonts w:ascii="Times New Roman" w:hAnsi="Times New Roman" w:cs="Times New Roman"/>
          <w:sz w:val="24"/>
          <w:szCs w:val="24"/>
          <w:lang w:val="it-IT"/>
        </w:rPr>
        <w:t xml:space="preserve"> (aritmetička sredina = 1,833; standardna devijacija = 0,408), pri čemu niska prosječna ocjena i mala varijabilnost jasno ukazuju na dosljedan stav ispitanika da ovaj motiv nema značajnu ulogu u pokretanju procesa spajanja i preuzimanja.</w:t>
      </w:r>
    </w:p>
    <w:p w14:paraId="4D669824" w14:textId="77777777" w:rsidR="00120B4F" w:rsidRPr="00325B45" w:rsidRDefault="00120B4F" w:rsidP="00325B45">
      <w:pPr>
        <w:pStyle w:val="ListParagraph"/>
        <w:numPr>
          <w:ilvl w:val="0"/>
          <w:numId w:val="105"/>
        </w:numPr>
        <w:spacing w:line="360" w:lineRule="auto"/>
        <w:jc w:val="both"/>
        <w:rPr>
          <w:rFonts w:ascii="Times New Roman" w:hAnsi="Times New Roman" w:cs="Times New Roman"/>
          <w:sz w:val="24"/>
          <w:szCs w:val="24"/>
          <w:lang w:val="it-IT"/>
        </w:rPr>
      </w:pPr>
      <w:r w:rsidRPr="00325B45">
        <w:rPr>
          <w:rFonts w:ascii="Times New Roman" w:hAnsi="Times New Roman" w:cs="Times New Roman"/>
          <w:sz w:val="24"/>
          <w:szCs w:val="24"/>
          <w:lang w:val="it-IT"/>
        </w:rPr>
        <w:t xml:space="preserve">Dodatno, pojedini ispitanici predložili su </w:t>
      </w:r>
      <w:r w:rsidRPr="00325B45">
        <w:rPr>
          <w:rFonts w:ascii="Times New Roman" w:hAnsi="Times New Roman" w:cs="Times New Roman"/>
          <w:bCs/>
          <w:sz w:val="24"/>
          <w:szCs w:val="24"/>
          <w:lang w:val="it-IT"/>
        </w:rPr>
        <w:t>zaokruživanje ciklusa unutar industrije</w:t>
      </w:r>
      <w:r w:rsidRPr="00325B45">
        <w:rPr>
          <w:rFonts w:ascii="Times New Roman" w:hAnsi="Times New Roman" w:cs="Times New Roman"/>
          <w:sz w:val="24"/>
          <w:szCs w:val="24"/>
          <w:lang w:val="it-IT"/>
        </w:rPr>
        <w:t xml:space="preserve"> kao dodatni motiv, što upućuje na mogućnost identifikacije novih, kontekstualno specifičnih čimbenika u kasnijim krugovima ispitivanja.</w:t>
      </w:r>
    </w:p>
    <w:p w14:paraId="73E783CD" w14:textId="77777777" w:rsidR="00120B4F" w:rsidRPr="00BE5472" w:rsidRDefault="00120B4F" w:rsidP="00120B4F">
      <w:pPr>
        <w:spacing w:line="360" w:lineRule="auto"/>
        <w:jc w:val="both"/>
        <w:rPr>
          <w:rFonts w:ascii="Times New Roman" w:hAnsi="Times New Roman" w:cs="Times New Roman"/>
          <w:sz w:val="24"/>
          <w:szCs w:val="24"/>
        </w:rPr>
      </w:pPr>
    </w:p>
    <w:p w14:paraId="13B850C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rezultata prvog kruga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ispitivanja identificirani su </w:t>
      </w:r>
      <w:r w:rsidRPr="00BE5472">
        <w:rPr>
          <w:rFonts w:ascii="Times New Roman" w:hAnsi="Times New Roman" w:cs="Times New Roman"/>
          <w:b/>
          <w:sz w:val="24"/>
          <w:szCs w:val="24"/>
        </w:rPr>
        <w:t>ključni čimbenici uspjeha procesa spajanja i preuzimanja u fazi koja prethodi preuzimanju poduzeća mete</w:t>
      </w:r>
      <w:r w:rsidRPr="00BE5472">
        <w:rPr>
          <w:rFonts w:ascii="Times New Roman" w:hAnsi="Times New Roman" w:cs="Times New Roman"/>
          <w:sz w:val="24"/>
          <w:szCs w:val="24"/>
        </w:rPr>
        <w:t>. Procjena važnosti pojedinih čimbenika temelji se na aritmetičkoj sredini kao pokazatelju percipirane važnosti te standardnoj devijaciji kao mjeri stupnja suglasnosti među ispitanicima. Rangiranje čimbenika provedeno je uz istodobno razmatranje oba kriterija.</w:t>
      </w:r>
    </w:p>
    <w:p w14:paraId="21008FBB"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čimbenici uspjeha</w:t>
      </w:r>
      <w:r w:rsidRPr="00BE5472">
        <w:rPr>
          <w:rFonts w:ascii="Times New Roman" w:hAnsi="Times New Roman" w:cs="Times New Roman"/>
          <w:sz w:val="24"/>
          <w:szCs w:val="24"/>
        </w:rPr>
        <w:t xml:space="preserve">, uz potpunu suglasnost ispitanika, izdvajaju se </w:t>
      </w:r>
      <w:r w:rsidRPr="00BE5472">
        <w:rPr>
          <w:rFonts w:ascii="Times New Roman" w:hAnsi="Times New Roman" w:cs="Times New Roman"/>
          <w:bCs/>
          <w:sz w:val="24"/>
          <w:szCs w:val="24"/>
        </w:rPr>
        <w:t>dobro poznavanje regulative i propisa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dubinsko snimanje poduzeća mete</w:t>
      </w:r>
      <w:r w:rsidRPr="00BE5472">
        <w:rPr>
          <w:rFonts w:ascii="Times New Roman" w:hAnsi="Times New Roman" w:cs="Times New Roman"/>
          <w:sz w:val="24"/>
          <w:szCs w:val="24"/>
        </w:rPr>
        <w:t>. Oba čimbenika ostvaruju maksimalnu prosječnu ocjenu (aritmetička sredina = 5,000), uz medijan i mod jednake vrijednosti te standardnu devijaciju 0,000. Izostanak bilo kakve varijabilnosti jasno upućuje na potpuni konsenzus ispitanika o njihovoj kritičnoj ulozi u fazi koja prethodi procesu spajanja i preuzimanja.</w:t>
      </w:r>
    </w:p>
    <w:p w14:paraId="2D96C8C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Vrlo visoku razinu važnosti ostvaruje i </w:t>
      </w:r>
      <w:r w:rsidRPr="00BE5472">
        <w:rPr>
          <w:rFonts w:ascii="Times New Roman" w:hAnsi="Times New Roman" w:cs="Times New Roman"/>
          <w:bCs/>
          <w:sz w:val="24"/>
          <w:szCs w:val="24"/>
        </w:rPr>
        <w:t>dobra procjena potencijalne operativne sinergije poduzeća mete na poduzeće preuzimatelja</w:t>
      </w:r>
      <w:r w:rsidRPr="00BE5472">
        <w:rPr>
          <w:rFonts w:ascii="Times New Roman" w:hAnsi="Times New Roman" w:cs="Times New Roman"/>
          <w:sz w:val="24"/>
          <w:szCs w:val="24"/>
        </w:rPr>
        <w:t xml:space="preserve"> (aritmetička sredina = 4,667; standardna devijacija = 0,516). Visoka prosječna ocjena, uz nizak stupanj raspršenosti odgovora, ukazuje na stabilan konsenzus ispitanika o važnosti precizne procjene operativnih učinaka akvizicije.</w:t>
      </w:r>
    </w:p>
    <w:p w14:paraId="0CA278CE"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istu skupinu visoko rangiranih čimbenika ubraja se i </w:t>
      </w:r>
      <w:r w:rsidRPr="00BE5472">
        <w:rPr>
          <w:rFonts w:ascii="Times New Roman" w:hAnsi="Times New Roman" w:cs="Times New Roman"/>
          <w:bCs/>
          <w:sz w:val="24"/>
          <w:szCs w:val="24"/>
        </w:rPr>
        <w:t>sadašnja vrijednost očekivanih sinergija preuzimanja u odnosu na plaćenu premiju</w:t>
      </w:r>
      <w:r w:rsidRPr="00BE5472">
        <w:rPr>
          <w:rFonts w:ascii="Times New Roman" w:hAnsi="Times New Roman" w:cs="Times New Roman"/>
          <w:sz w:val="24"/>
          <w:szCs w:val="24"/>
        </w:rPr>
        <w:t xml:space="preserve"> (aritmetička sredina = 4,500; standardna devijacija = 0,548), pri čemu visoke ocjene i niska varijabilnost upućuju na dosljedno percipiranje financijske opravdanosti transakcije kao ključnog preduvjeta uspješnog preuzimanja.</w:t>
      </w:r>
    </w:p>
    <w:p w14:paraId="500134E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čimbenika s visokom prosječnom ocjenom, ali nešto većom varijabilnošću mišljenja, čine </w:t>
      </w:r>
      <w:r w:rsidRPr="00BE5472">
        <w:rPr>
          <w:rFonts w:ascii="Times New Roman" w:hAnsi="Times New Roman" w:cs="Times New Roman"/>
          <w:bCs/>
          <w:sz w:val="24"/>
          <w:szCs w:val="24"/>
        </w:rPr>
        <w:t>potencijalna financijska sinergija akvizicije</w:t>
      </w:r>
      <w:r w:rsidRPr="00BE5472">
        <w:rPr>
          <w:rFonts w:ascii="Times New Roman" w:hAnsi="Times New Roman" w:cs="Times New Roman"/>
          <w:sz w:val="24"/>
          <w:szCs w:val="24"/>
        </w:rPr>
        <w:t xml:space="preserve"> (aritmetička sredina = 4,333; standardna devijacija = 0,816) te </w:t>
      </w:r>
      <w:r w:rsidRPr="00BE5472">
        <w:rPr>
          <w:rFonts w:ascii="Times New Roman" w:hAnsi="Times New Roman" w:cs="Times New Roman"/>
          <w:bCs/>
          <w:sz w:val="24"/>
          <w:szCs w:val="24"/>
        </w:rPr>
        <w:t>uključivanje ključnih menadžera i zaposlenika poduzeća preuzimatelja u planiranje akvizicije</w:t>
      </w:r>
      <w:r w:rsidRPr="00BE5472">
        <w:rPr>
          <w:rFonts w:ascii="Times New Roman" w:hAnsi="Times New Roman" w:cs="Times New Roman"/>
          <w:sz w:val="24"/>
          <w:szCs w:val="24"/>
        </w:rPr>
        <w:t xml:space="preserve"> (aritmetička sredina = 4,333; standardna devijacija = 0,516). Iako većina ispitanika ove čimbenike smatra vrlo važnima, blaga raspršenost odgovora ukazuje na razlike u percepciji njihove relativne važnosti.</w:t>
      </w:r>
    </w:p>
    <w:p w14:paraId="59565E8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Slično tome, </w:t>
      </w:r>
      <w:r w:rsidRPr="00BE5472">
        <w:rPr>
          <w:rFonts w:ascii="Times New Roman" w:hAnsi="Times New Roman" w:cs="Times New Roman"/>
          <w:bCs/>
          <w:sz w:val="24"/>
          <w:szCs w:val="24"/>
        </w:rPr>
        <w:t>lokacija poduzeća mete</w:t>
      </w:r>
      <w:r w:rsidRPr="00BE5472">
        <w:rPr>
          <w:rFonts w:ascii="Times New Roman" w:hAnsi="Times New Roman" w:cs="Times New Roman"/>
          <w:sz w:val="24"/>
          <w:szCs w:val="24"/>
        </w:rPr>
        <w:t xml:space="preserve"> (aritmetička sredina = 4,167; standardna devijacija = 0,753) ocijenjena je kao značajan čimbenik, uz relativno stabilan konsenzus ispitanika, dok </w:t>
      </w:r>
      <w:r w:rsidRPr="00BE5472">
        <w:rPr>
          <w:rFonts w:ascii="Times New Roman" w:hAnsi="Times New Roman" w:cs="Times New Roman"/>
          <w:bCs/>
          <w:sz w:val="24"/>
          <w:szCs w:val="24"/>
        </w:rPr>
        <w:t>identifikacija karakterističnih aspekata organizacijske kulture mete</w:t>
      </w:r>
      <w:r w:rsidRPr="00BE5472">
        <w:rPr>
          <w:rFonts w:ascii="Times New Roman" w:hAnsi="Times New Roman" w:cs="Times New Roman"/>
          <w:sz w:val="24"/>
          <w:szCs w:val="24"/>
        </w:rPr>
        <w:t xml:space="preserve"> (aritmetička sredina = 4,167; standardna devijacija = 1,169) pokazuje veću varijabilnost, što upućuje na razilaženja u procjeni utjecaja kulturne kompatibilnosti u ovoj fazi procesa.</w:t>
      </w:r>
    </w:p>
    <w:p w14:paraId="61742845" w14:textId="77777777" w:rsidR="00120B4F" w:rsidRPr="00BE5472" w:rsidRDefault="00120B4F" w:rsidP="00120B4F">
      <w:pPr>
        <w:spacing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Čimbenici umjereno visoke važnosti s relativno stabilnim konsenzusom jesu trendovi glavnih hotelskih pokazatelja uspješnosti poduzeća mete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imidž turističke destinacije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potencijalni učinak na jačanje marke i reputacije poduzeća preuzimatelja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upravljačke sinergije</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potreba za kapitalnim izdacima. Oni</w:t>
      </w:r>
      <w:r w:rsidRPr="00BE5472">
        <w:rPr>
          <w:rFonts w:ascii="Times New Roman" w:hAnsi="Times New Roman" w:cs="Times New Roman"/>
          <w:sz w:val="24"/>
          <w:szCs w:val="24"/>
        </w:rPr>
        <w:t xml:space="preserve"> ostvaruju prosječne ocjene oko vrijednosti 4,000. Kod većine navedenih čimbenika zabilježena je niska do umjerena standardna devijacija, što ukazuje na relativno stabilan konsenzus ispitanika o njihovoj važnosti, uz određene razlike u intenzitetu percipiranog utjecaja.</w:t>
      </w:r>
    </w:p>
    <w:p w14:paraId="4039BBC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čimbenika umjerene važnosti čine </w:t>
      </w:r>
      <w:r w:rsidRPr="00BE5472">
        <w:rPr>
          <w:rFonts w:ascii="Times New Roman" w:hAnsi="Times New Roman" w:cs="Times New Roman"/>
          <w:bCs/>
          <w:sz w:val="24"/>
          <w:szCs w:val="24"/>
        </w:rPr>
        <w:t>vlasnička struktura poduzeća mete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preliminarni razgovori u poduzeću meti</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trend operativnog novčanog toka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informacijska kompatibilnost</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računovodstveni pokazatelji uspješnosti</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strateška povezanost poduzeća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način akvizicije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iznos akvizicijske premije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potencijalna buduća potražnja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kapitalna struktura i troškovi kapitala poduzeća mete</w:t>
      </w:r>
      <w:r w:rsidRPr="00BE5472">
        <w:rPr>
          <w:rFonts w:ascii="Times New Roman" w:hAnsi="Times New Roman" w:cs="Times New Roman"/>
          <w:sz w:val="24"/>
          <w:szCs w:val="24"/>
        </w:rPr>
        <w:t xml:space="preserve"> (aritmetičke sredine ≈ 3,667–3,833). Povišene standardne devijacije </w:t>
      </w:r>
      <w:r w:rsidRPr="00BE5472">
        <w:rPr>
          <w:rFonts w:ascii="Times New Roman" w:hAnsi="Times New Roman" w:cs="Times New Roman"/>
          <w:sz w:val="24"/>
          <w:szCs w:val="24"/>
        </w:rPr>
        <w:lastRenderedPageBreak/>
        <w:t>kod dijela navedenih čimbenika upućuju na znatna razilaženja u stavovima ispitanika, što sugerira da njihova važnost uvelike ovisi o specifičnostima pojedine transakcije.</w:t>
      </w:r>
    </w:p>
    <w:p w14:paraId="01E4A90B" w14:textId="1643838B"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Među </w:t>
      </w:r>
      <w:r w:rsidRPr="00BE5472">
        <w:rPr>
          <w:rFonts w:ascii="Times New Roman" w:hAnsi="Times New Roman" w:cs="Times New Roman"/>
          <w:bCs/>
          <w:sz w:val="24"/>
          <w:szCs w:val="24"/>
        </w:rPr>
        <w:t>niže rangiranim čimbenicima</w:t>
      </w:r>
      <w:r w:rsidRPr="00BE5472">
        <w:rPr>
          <w:rFonts w:ascii="Times New Roman" w:hAnsi="Times New Roman" w:cs="Times New Roman"/>
          <w:sz w:val="24"/>
          <w:szCs w:val="24"/>
        </w:rPr>
        <w:t xml:space="preserve"> nalaze se </w:t>
      </w:r>
      <w:r w:rsidRPr="00BE5472">
        <w:rPr>
          <w:rFonts w:ascii="Times New Roman" w:hAnsi="Times New Roman" w:cs="Times New Roman"/>
          <w:bCs/>
          <w:sz w:val="24"/>
          <w:szCs w:val="24"/>
        </w:rPr>
        <w:t>upravljačke i franšizne naknade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utjecaj na jačanje marke poduzeća mete kroz stvaranje novog poduzeća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savjeti investicijskih banaka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postojanje više ponuđača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način plaćanja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razumijevanje reakcije dioničara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mjera prirasta ili razrjeđenja dionica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reputacija poduzeća mete</w:t>
      </w:r>
      <w:r w:rsidRPr="00BE5472">
        <w:rPr>
          <w:rFonts w:ascii="Times New Roman" w:hAnsi="Times New Roman" w:cs="Times New Roman"/>
          <w:sz w:val="24"/>
          <w:szCs w:val="24"/>
        </w:rPr>
        <w:t>, s prosječnim ocjenama oko vrijednosti 3,000</w:t>
      </w:r>
      <w:r w:rsidR="009967EB" w:rsidRPr="00BE5472">
        <w:rPr>
          <w:rFonts w:ascii="Times New Roman" w:hAnsi="Times New Roman" w:cs="Times New Roman"/>
          <w:sz w:val="24"/>
          <w:szCs w:val="24"/>
        </w:rPr>
        <w:t xml:space="preserve"> </w:t>
      </w:r>
      <w:r w:rsidRPr="00BE5472">
        <w:rPr>
          <w:rFonts w:ascii="Times New Roman" w:hAnsi="Times New Roman" w:cs="Times New Roman"/>
          <w:sz w:val="24"/>
          <w:szCs w:val="24"/>
        </w:rPr>
        <w:t>–3,500. Ovi čimbenici općenito se percipiraju kao sekundarni, pri čemu standardne devijacije upućuju na različite procjene njihove relevantnosti među ispitanicima.</w:t>
      </w:r>
    </w:p>
    <w:p w14:paraId="3C35BAE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Dodatno, pojedini ispitanici naveli su </w:t>
      </w:r>
      <w:r w:rsidRPr="00BE5472">
        <w:rPr>
          <w:rFonts w:ascii="Times New Roman" w:hAnsi="Times New Roman" w:cs="Times New Roman"/>
          <w:bCs/>
          <w:sz w:val="24"/>
          <w:szCs w:val="24"/>
        </w:rPr>
        <w:t>globalnu ekonomsku situaciju</w:t>
      </w:r>
      <w:r w:rsidRPr="00BE5472">
        <w:rPr>
          <w:rFonts w:ascii="Times New Roman" w:hAnsi="Times New Roman" w:cs="Times New Roman"/>
          <w:sz w:val="24"/>
          <w:szCs w:val="24"/>
        </w:rPr>
        <w:t xml:space="preserve"> kao potencijalno važan čimbenik koji nije bio obuhvaćen početnim popisom, što upućuje na potrebu razmatranja šireg makroekonomskog konteksta u daljnjim fazama istraživanja.</w:t>
      </w:r>
    </w:p>
    <w:p w14:paraId="15B9AB22"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Analizom rezultata prvog kruga </w:t>
      </w:r>
      <w:r w:rsidRPr="00BE5472">
        <w:rPr>
          <w:rFonts w:ascii="Times New Roman" w:eastAsia="Times New Roman" w:hAnsi="Times New Roman" w:cs="Times New Roman"/>
          <w:i/>
          <w:iCs/>
          <w:sz w:val="24"/>
          <w:szCs w:val="24"/>
        </w:rPr>
        <w:t>Delphi</w:t>
      </w:r>
      <w:r w:rsidRPr="00BE5472">
        <w:rPr>
          <w:rFonts w:ascii="Times New Roman" w:eastAsia="Times New Roman" w:hAnsi="Times New Roman" w:cs="Times New Roman"/>
          <w:sz w:val="24"/>
          <w:szCs w:val="24"/>
        </w:rPr>
        <w:t xml:space="preserve"> ispitivanja identificirani su </w:t>
      </w:r>
      <w:r w:rsidRPr="00BE5472">
        <w:rPr>
          <w:rFonts w:ascii="Times New Roman" w:eastAsia="Times New Roman" w:hAnsi="Times New Roman" w:cs="Times New Roman"/>
          <w:b/>
          <w:sz w:val="24"/>
          <w:szCs w:val="24"/>
        </w:rPr>
        <w:t xml:space="preserve">ključni čimbenici uspjeha procesa spajanja i preuzimanja u fazi integracije, </w:t>
      </w:r>
      <w:r w:rsidRPr="00BE5472">
        <w:rPr>
          <w:rFonts w:ascii="Times New Roman" w:eastAsia="Times New Roman" w:hAnsi="Times New Roman" w:cs="Times New Roman"/>
          <w:sz w:val="24"/>
          <w:szCs w:val="24"/>
        </w:rPr>
        <w:t>odnosno nakon preuzimanja poduzeća mete. Procjena važnosti pojedinih čimbenika temelji se na aritmetičkoj sredini kao pokazatelju percipirane važnosti te standardnoj devijaciji kao mjeri stupnja suglasnosti među ispitanicima. Rangiranje čimbenika provedeno je uz istodobno razmatranje oba kriterija.</w:t>
      </w:r>
    </w:p>
    <w:p w14:paraId="0EE6EA88"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Kao </w:t>
      </w:r>
      <w:r w:rsidRPr="00BE5472">
        <w:rPr>
          <w:rFonts w:ascii="Times New Roman" w:eastAsia="Times New Roman" w:hAnsi="Times New Roman" w:cs="Times New Roman"/>
          <w:bCs/>
          <w:sz w:val="24"/>
          <w:szCs w:val="24"/>
        </w:rPr>
        <w:t>najvažniji čimbenik uspjeha u fazi integracije</w:t>
      </w:r>
      <w:r w:rsidRPr="00BE5472">
        <w:rPr>
          <w:rFonts w:ascii="Times New Roman" w:eastAsia="Times New Roman" w:hAnsi="Times New Roman" w:cs="Times New Roman"/>
          <w:sz w:val="24"/>
          <w:szCs w:val="24"/>
        </w:rPr>
        <w:t xml:space="preserve"> izdvaja se </w:t>
      </w:r>
      <w:r w:rsidRPr="00BE5472">
        <w:rPr>
          <w:rFonts w:ascii="Times New Roman" w:eastAsia="Times New Roman" w:hAnsi="Times New Roman" w:cs="Times New Roman"/>
          <w:bCs/>
          <w:sz w:val="24"/>
          <w:szCs w:val="24"/>
        </w:rPr>
        <w:t>definiranje nove strategije razvoja poduzeća nakon akvizicije</w:t>
      </w:r>
      <w:r w:rsidRPr="00BE5472">
        <w:rPr>
          <w:rFonts w:ascii="Times New Roman" w:eastAsia="Times New Roman" w:hAnsi="Times New Roman" w:cs="Times New Roman"/>
          <w:sz w:val="24"/>
          <w:szCs w:val="24"/>
        </w:rPr>
        <w:t xml:space="preserve"> (aritmetička sredina = 5,000; medijan = 5; mod = 5; standardna devijacija = 0,000). Svi ispitanici ovom su čimbeniku dodijelili maksimalnu ocjenu, a izostanak varijabilnosti ukazuje na potpun konsenzus o njegovoj ključnoj ulozi u uspješnoj integraciji nakon preuzimanja.</w:t>
      </w:r>
    </w:p>
    <w:p w14:paraId="4BC01934"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Vrlo visoku važnost, uz izraženu suglasnost ispitanika, ostvaruju </w:t>
      </w:r>
      <w:r w:rsidRPr="00BE5472">
        <w:rPr>
          <w:rFonts w:ascii="Times New Roman" w:eastAsia="Times New Roman" w:hAnsi="Times New Roman" w:cs="Times New Roman"/>
          <w:bCs/>
          <w:sz w:val="24"/>
          <w:szCs w:val="24"/>
        </w:rPr>
        <w:t>formalni plan zajedničke integracije od strane vodećih upravljačkih timova</w:t>
      </w:r>
      <w:r w:rsidRPr="00BE5472">
        <w:rPr>
          <w:rFonts w:ascii="Times New Roman" w:eastAsia="Times New Roman" w:hAnsi="Times New Roman" w:cs="Times New Roman"/>
          <w:sz w:val="24"/>
          <w:szCs w:val="24"/>
        </w:rPr>
        <w:t xml:space="preserve"> te </w:t>
      </w:r>
      <w:r w:rsidRPr="00BE5472">
        <w:rPr>
          <w:rFonts w:ascii="Times New Roman" w:eastAsia="Times New Roman" w:hAnsi="Times New Roman" w:cs="Times New Roman"/>
          <w:bCs/>
          <w:sz w:val="24"/>
          <w:szCs w:val="24"/>
        </w:rPr>
        <w:t>osiguranje resursa potrebnih za integraciju nakon procesa akvizicije</w:t>
      </w:r>
      <w:r w:rsidRPr="00BE5472">
        <w:rPr>
          <w:rFonts w:ascii="Times New Roman" w:eastAsia="Times New Roman" w:hAnsi="Times New Roman" w:cs="Times New Roman"/>
          <w:sz w:val="24"/>
          <w:szCs w:val="24"/>
        </w:rPr>
        <w:t xml:space="preserve"> (aritmetičke sredine = 4,833; standardne devijacije = 0,408). Visoke prosječne ocjene uz nisku varijabilnost odgovora upućuju na stabilan konsenzus o važnosti sustavnog i resursno podržanog pristupa integraciji.</w:t>
      </w:r>
    </w:p>
    <w:p w14:paraId="2393C9C4"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U istu skupinu vrlo važnih čimbenika ubrajaju se i </w:t>
      </w:r>
      <w:r w:rsidRPr="00BE5472">
        <w:rPr>
          <w:rFonts w:ascii="Times New Roman" w:eastAsia="Times New Roman" w:hAnsi="Times New Roman" w:cs="Times New Roman"/>
          <w:bCs/>
          <w:sz w:val="24"/>
          <w:szCs w:val="24"/>
        </w:rPr>
        <w:t>uspostavljanje učinkovite komunikacijske strategije</w:t>
      </w:r>
      <w:r w:rsidRPr="00BE5472">
        <w:rPr>
          <w:rFonts w:ascii="Times New Roman" w:eastAsia="Times New Roman" w:hAnsi="Times New Roman" w:cs="Times New Roman"/>
          <w:sz w:val="24"/>
          <w:szCs w:val="24"/>
        </w:rPr>
        <w:t xml:space="preserve"> te </w:t>
      </w:r>
      <w:r w:rsidRPr="00BE5472">
        <w:rPr>
          <w:rFonts w:ascii="Times New Roman" w:eastAsia="Times New Roman" w:hAnsi="Times New Roman" w:cs="Times New Roman"/>
          <w:bCs/>
          <w:sz w:val="24"/>
          <w:szCs w:val="24"/>
        </w:rPr>
        <w:t>odlučan i pravedan odnos prema zaposlenicima koje je potrebno otpustiti</w:t>
      </w:r>
      <w:r w:rsidRPr="00BE5472">
        <w:rPr>
          <w:rFonts w:ascii="Times New Roman" w:eastAsia="Times New Roman" w:hAnsi="Times New Roman" w:cs="Times New Roman"/>
          <w:sz w:val="24"/>
          <w:szCs w:val="24"/>
        </w:rPr>
        <w:t xml:space="preserve"> (aritmetičke sredine = 4,667; standardne devijacije = 0,516). Ovi rezultati ukazuju na </w:t>
      </w:r>
      <w:r w:rsidRPr="00BE5472">
        <w:rPr>
          <w:rFonts w:ascii="Times New Roman" w:eastAsia="Times New Roman" w:hAnsi="Times New Roman" w:cs="Times New Roman"/>
          <w:sz w:val="24"/>
          <w:szCs w:val="24"/>
        </w:rPr>
        <w:lastRenderedPageBreak/>
        <w:t>prepoznavanje važnosti komunikacijskih i socijalnih aspekata integracije, uz relativno visok stupanj slaganja među ispitanicima.</w:t>
      </w:r>
    </w:p>
    <w:p w14:paraId="77B030ED"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Čimbenici </w:t>
      </w:r>
      <w:r w:rsidRPr="00BE5472">
        <w:rPr>
          <w:rFonts w:ascii="Times New Roman" w:eastAsia="Times New Roman" w:hAnsi="Times New Roman" w:cs="Times New Roman"/>
          <w:bCs/>
          <w:sz w:val="24"/>
          <w:szCs w:val="24"/>
        </w:rPr>
        <w:t>učinkovite komunikacije s javnošću</w:t>
      </w:r>
      <w:r w:rsidRPr="00BE5472">
        <w:rPr>
          <w:rFonts w:ascii="Times New Roman" w:eastAsia="Times New Roman" w:hAnsi="Times New Roman" w:cs="Times New Roman"/>
          <w:sz w:val="24"/>
          <w:szCs w:val="24"/>
        </w:rPr>
        <w:t xml:space="preserve"> i </w:t>
      </w:r>
      <w:r w:rsidRPr="00BE5472">
        <w:rPr>
          <w:rFonts w:ascii="Times New Roman" w:eastAsia="Times New Roman" w:hAnsi="Times New Roman" w:cs="Times New Roman"/>
          <w:bCs/>
          <w:sz w:val="24"/>
          <w:szCs w:val="24"/>
        </w:rPr>
        <w:t>postavljanja nove upravljačke strukture u poduzeću meti</w:t>
      </w:r>
      <w:r w:rsidRPr="00BE5472">
        <w:rPr>
          <w:rFonts w:ascii="Times New Roman" w:eastAsia="Times New Roman" w:hAnsi="Times New Roman" w:cs="Times New Roman"/>
          <w:sz w:val="24"/>
          <w:szCs w:val="24"/>
        </w:rPr>
        <w:t xml:space="preserve"> (aritmetičke sredine = 4,500) percipirani su kao važni, no uz umjerenu varijabilnost odgovora (standardne devijacije = 0,548 i 0,837), što upućuje na razlike u procjeni njihove relativne važnosti među ispitanicima.</w:t>
      </w:r>
    </w:p>
    <w:p w14:paraId="3D51F44D"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Slično tome, skupina čimbenika s aritmetičkom sredinom 4,333 — </w:t>
      </w:r>
      <w:r w:rsidRPr="00BE5472">
        <w:rPr>
          <w:rFonts w:ascii="Times New Roman" w:eastAsia="Times New Roman" w:hAnsi="Times New Roman" w:cs="Times New Roman"/>
          <w:bCs/>
          <w:sz w:val="24"/>
          <w:szCs w:val="24"/>
        </w:rPr>
        <w:t>identificiranje i usmjeravanje na ostvarivanje glavnih vrijednosnih pokretača akvizicije</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brza integracija radi ostvarivanja zacrtanog plana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identificiranje prilika za poboljšanje konkurentske pozicije</w:t>
      </w:r>
      <w:r w:rsidRPr="00BE5472">
        <w:rPr>
          <w:rFonts w:ascii="Times New Roman" w:eastAsia="Times New Roman" w:hAnsi="Times New Roman" w:cs="Times New Roman"/>
          <w:sz w:val="24"/>
          <w:szCs w:val="24"/>
        </w:rPr>
        <w:t xml:space="preserve"> te </w:t>
      </w:r>
      <w:r w:rsidRPr="00BE5472">
        <w:rPr>
          <w:rFonts w:ascii="Times New Roman" w:eastAsia="Times New Roman" w:hAnsi="Times New Roman" w:cs="Times New Roman"/>
          <w:bCs/>
          <w:sz w:val="24"/>
          <w:szCs w:val="24"/>
        </w:rPr>
        <w:t>uspostavljanje unutarnjih mehanizama za prijenos kompetencija i sredstava</w:t>
      </w:r>
      <w:r w:rsidRPr="00BE5472">
        <w:rPr>
          <w:rFonts w:ascii="Times New Roman" w:eastAsia="Times New Roman" w:hAnsi="Times New Roman" w:cs="Times New Roman"/>
          <w:sz w:val="24"/>
          <w:szCs w:val="24"/>
        </w:rPr>
        <w:t xml:space="preserve"> — ocijenjena je kao važna. Međutim, kod pojedinih čimbenika zabilježene su više standardne devijacije, što ukazuje na izraženija razilaženja u stavovima ispitanika o dinamici i načinu provedbe integracijskih aktivnosti.</w:t>
      </w:r>
    </w:p>
    <w:p w14:paraId="0C15FFB9"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Čimbenik </w:t>
      </w:r>
      <w:r w:rsidRPr="00BE5472">
        <w:rPr>
          <w:rFonts w:ascii="Times New Roman" w:eastAsia="Times New Roman" w:hAnsi="Times New Roman" w:cs="Times New Roman"/>
          <w:bCs/>
          <w:sz w:val="24"/>
          <w:szCs w:val="24"/>
        </w:rPr>
        <w:t>detektiranja i zadržavanja ključnih zaposlenika i menadžera poduzeća mete u slučaju zadržavanja samostalne pravne osobnosti</w:t>
      </w:r>
      <w:r w:rsidRPr="00BE5472">
        <w:rPr>
          <w:rFonts w:ascii="Times New Roman" w:eastAsia="Times New Roman" w:hAnsi="Times New Roman" w:cs="Times New Roman"/>
          <w:sz w:val="24"/>
          <w:szCs w:val="24"/>
        </w:rPr>
        <w:t xml:space="preserve"> (aritmetička sredina = 4,167; standardna devijacija = 0,753) percipiran je kao umjereno važan, uz relativno stabilan konsenzus ispitanika o njegovoj ulozi u procesu integracije.</w:t>
      </w:r>
    </w:p>
    <w:p w14:paraId="43001634"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Skupinu čimbenika umjerene važnosti, ali s izraženijim razilaženjima u mišljenjima stručnjaka čine </w:t>
      </w:r>
      <w:r w:rsidRPr="00BE5472">
        <w:rPr>
          <w:rFonts w:ascii="Times New Roman" w:eastAsia="Times New Roman" w:hAnsi="Times New Roman" w:cs="Times New Roman"/>
          <w:bCs/>
          <w:sz w:val="24"/>
          <w:szCs w:val="24"/>
        </w:rPr>
        <w:t>povezivanje naknada s poboljšanjima u slobodnim novčanim tokovima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promptna objava plana razvoja ljudskih resursa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zadržavanje ključnih zaposlenika u slučaju spajanja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integracija informacijske infrastrukture</w:t>
      </w:r>
      <w:r w:rsidRPr="00BE5472">
        <w:rPr>
          <w:rFonts w:ascii="Times New Roman" w:eastAsia="Times New Roman" w:hAnsi="Times New Roman" w:cs="Times New Roman"/>
          <w:sz w:val="24"/>
          <w:szCs w:val="24"/>
        </w:rPr>
        <w:t xml:space="preserve"> te </w:t>
      </w:r>
      <w:r w:rsidRPr="00BE5472">
        <w:rPr>
          <w:rFonts w:ascii="Times New Roman" w:eastAsia="Times New Roman" w:hAnsi="Times New Roman" w:cs="Times New Roman"/>
          <w:bCs/>
          <w:sz w:val="24"/>
          <w:szCs w:val="24"/>
        </w:rPr>
        <w:t>niveliranje razlika u stilovima upravljanja</w:t>
      </w:r>
      <w:r w:rsidRPr="00BE5472">
        <w:rPr>
          <w:rFonts w:ascii="Times New Roman" w:eastAsia="Times New Roman" w:hAnsi="Times New Roman" w:cs="Times New Roman"/>
          <w:sz w:val="24"/>
          <w:szCs w:val="24"/>
        </w:rPr>
        <w:t xml:space="preserve"> (aritmetičke sredine oko 3,833–4,000). Povišene standardne devijacije kod dijela navedenih čimbenika upućuju na raznolike poglede ispitanika o njihovoj relativnoj važnosti i načinu implementacije.</w:t>
      </w:r>
    </w:p>
    <w:p w14:paraId="756092FE"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 xml:space="preserve">Niže prosječne ocjene ostvaruju čimbenici povezani s </w:t>
      </w:r>
      <w:r w:rsidRPr="00BE5472">
        <w:rPr>
          <w:rFonts w:ascii="Times New Roman" w:eastAsia="Times New Roman" w:hAnsi="Times New Roman" w:cs="Times New Roman"/>
          <w:bCs/>
          <w:sz w:val="24"/>
          <w:szCs w:val="24"/>
        </w:rPr>
        <w:t>razvojem zajedničkih programa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izgradnjom zajedničkih alata i procedura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novim sustavima procjene učinka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asimilacijom kulturoloških sustava</w:t>
      </w:r>
      <w:r w:rsidRPr="00BE5472">
        <w:rPr>
          <w:rFonts w:ascii="Times New Roman" w:eastAsia="Times New Roman" w:hAnsi="Times New Roman" w:cs="Times New Roman"/>
          <w:sz w:val="24"/>
          <w:szCs w:val="24"/>
        </w:rPr>
        <w:t xml:space="preserve">, </w:t>
      </w:r>
      <w:r w:rsidRPr="00BE5472">
        <w:rPr>
          <w:rFonts w:ascii="Times New Roman" w:eastAsia="Times New Roman" w:hAnsi="Times New Roman" w:cs="Times New Roman"/>
          <w:bCs/>
          <w:sz w:val="24"/>
          <w:szCs w:val="24"/>
        </w:rPr>
        <w:t>ujednačavanjem strateških motiva i operativnih strategija</w:t>
      </w:r>
      <w:r w:rsidRPr="00BE5472">
        <w:rPr>
          <w:rFonts w:ascii="Times New Roman" w:eastAsia="Times New Roman" w:hAnsi="Times New Roman" w:cs="Times New Roman"/>
          <w:sz w:val="24"/>
          <w:szCs w:val="24"/>
        </w:rPr>
        <w:t xml:space="preserve"> te </w:t>
      </w:r>
      <w:r w:rsidRPr="00BE5472">
        <w:rPr>
          <w:rFonts w:ascii="Times New Roman" w:eastAsia="Times New Roman" w:hAnsi="Times New Roman" w:cs="Times New Roman"/>
          <w:bCs/>
          <w:sz w:val="24"/>
          <w:szCs w:val="24"/>
        </w:rPr>
        <w:t>utvrđivanjem razine centralizacije i autonomije zaposlenika</w:t>
      </w:r>
      <w:r w:rsidRPr="00BE5472">
        <w:rPr>
          <w:rFonts w:ascii="Times New Roman" w:eastAsia="Times New Roman" w:hAnsi="Times New Roman" w:cs="Times New Roman"/>
          <w:sz w:val="24"/>
          <w:szCs w:val="24"/>
        </w:rPr>
        <w:t xml:space="preserve"> (aritmetičke sredine = 3,333–3,667). Relativno visoke standardne devijacije kod većine navedenih čimbenika ukazuju na podijeljene stavove ispitanika o njihovoj važnosti u fazi integracije.</w:t>
      </w:r>
    </w:p>
    <w:p w14:paraId="14F40CC4" w14:textId="77777777" w:rsidR="00120B4F" w:rsidRPr="00BE5472" w:rsidRDefault="00120B4F" w:rsidP="00120B4F">
      <w:pPr>
        <w:spacing w:before="100" w:beforeAutospacing="1" w:after="100" w:afterAutospacing="1" w:line="360" w:lineRule="auto"/>
        <w:jc w:val="both"/>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lastRenderedPageBreak/>
        <w:t xml:space="preserve">Kao </w:t>
      </w:r>
      <w:r w:rsidRPr="00BE5472">
        <w:rPr>
          <w:rFonts w:ascii="Times New Roman" w:eastAsia="Times New Roman" w:hAnsi="Times New Roman" w:cs="Times New Roman"/>
          <w:bCs/>
          <w:sz w:val="24"/>
          <w:szCs w:val="24"/>
        </w:rPr>
        <w:t>najmanje važni čimbenici</w:t>
      </w:r>
      <w:r w:rsidRPr="00BE5472">
        <w:rPr>
          <w:rFonts w:ascii="Times New Roman" w:eastAsia="Times New Roman" w:hAnsi="Times New Roman" w:cs="Times New Roman"/>
          <w:sz w:val="24"/>
          <w:szCs w:val="24"/>
        </w:rPr>
        <w:t xml:space="preserve"> identificirani su </w:t>
      </w:r>
      <w:r w:rsidRPr="00BE5472">
        <w:rPr>
          <w:rFonts w:ascii="Times New Roman" w:eastAsia="Times New Roman" w:hAnsi="Times New Roman" w:cs="Times New Roman"/>
          <w:bCs/>
          <w:sz w:val="24"/>
          <w:szCs w:val="24"/>
        </w:rPr>
        <w:t>razvoj novog skupa konkurentskih proizvoda</w:t>
      </w:r>
      <w:r w:rsidRPr="00BE5472">
        <w:rPr>
          <w:rFonts w:ascii="Times New Roman" w:eastAsia="Times New Roman" w:hAnsi="Times New Roman" w:cs="Times New Roman"/>
          <w:sz w:val="24"/>
          <w:szCs w:val="24"/>
        </w:rPr>
        <w:t xml:space="preserve"> (aritmetička sredina = 3,167; standardna devijacija = 1,472) te </w:t>
      </w:r>
      <w:r w:rsidRPr="00BE5472">
        <w:rPr>
          <w:rFonts w:ascii="Times New Roman" w:eastAsia="Times New Roman" w:hAnsi="Times New Roman" w:cs="Times New Roman"/>
          <w:bCs/>
          <w:sz w:val="24"/>
          <w:szCs w:val="24"/>
        </w:rPr>
        <w:t>definiranje novih metoda i postupaka analize konkurencije u hotelskom sektoru</w:t>
      </w:r>
      <w:r w:rsidRPr="00BE5472">
        <w:rPr>
          <w:rFonts w:ascii="Times New Roman" w:eastAsia="Times New Roman" w:hAnsi="Times New Roman" w:cs="Times New Roman"/>
          <w:sz w:val="24"/>
          <w:szCs w:val="24"/>
        </w:rPr>
        <w:t xml:space="preserve"> (aritmetička sredina = 2,833; standardna devijacija = 0,983). Niske prosječne ocjene, uz izraženu varijabilnost odgovora, upućuju na to da ispitanici ove čimbenike ne smatraju prioritetnima u početnoj fazi integracije nakon preuzimanja.</w:t>
      </w:r>
    </w:p>
    <w:p w14:paraId="719A83A8" w14:textId="371A2724"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rezultata prvog kruga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ispitivanja identificirani su </w:t>
      </w:r>
      <w:r w:rsidRPr="00BE5472">
        <w:rPr>
          <w:rFonts w:ascii="Times New Roman" w:hAnsi="Times New Roman" w:cs="Times New Roman"/>
          <w:b/>
          <w:sz w:val="24"/>
          <w:szCs w:val="24"/>
        </w:rPr>
        <w:t>ključni čimbenici uspjeha procesa spajanja i preuzimanja u postakvizicijskoj fazi</w:t>
      </w:r>
      <w:r w:rsidRPr="00BE5472">
        <w:rPr>
          <w:rFonts w:ascii="Times New Roman" w:hAnsi="Times New Roman" w:cs="Times New Roman"/>
          <w:sz w:val="24"/>
          <w:szCs w:val="24"/>
        </w:rPr>
        <w:t>, odnosno nakon završetka faze integracije. Procjena važnosti pojedinih čimbenika temelji se na aritmetičkoj sredini kao pokazatelju percipirane važnosti te standardnoj devijaciji kao mjeri stupnja suglasnosti među ispitanicima.</w:t>
      </w:r>
    </w:p>
    <w:p w14:paraId="4FB9B6AC" w14:textId="015C5A09"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čimbenici uspjeha u postakvizicijskoj fazi</w:t>
      </w:r>
      <w:r w:rsidRPr="00BE5472">
        <w:rPr>
          <w:rFonts w:ascii="Times New Roman" w:hAnsi="Times New Roman" w:cs="Times New Roman"/>
          <w:sz w:val="24"/>
          <w:szCs w:val="24"/>
        </w:rPr>
        <w:t xml:space="preserve"> izdvajaju se </w:t>
      </w:r>
      <w:r w:rsidRPr="00BE5472">
        <w:rPr>
          <w:rFonts w:ascii="Times New Roman" w:hAnsi="Times New Roman" w:cs="Times New Roman"/>
          <w:bCs/>
          <w:sz w:val="24"/>
          <w:szCs w:val="24"/>
        </w:rPr>
        <w:t>povrat na ukupno uloženi kapital</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novčani tijek iz operacija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računovodstveni pokazatelji uspješnosti (ROI, ROE, ROA)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uobičajeni hotelski pokazatelji uspješnosti (ADR, stopa popunjenosti, RevPAR, TRevPAR)</w:t>
      </w:r>
      <w:r w:rsidRPr="00BE5472">
        <w:rPr>
          <w:rFonts w:ascii="Times New Roman" w:hAnsi="Times New Roman" w:cs="Times New Roman"/>
          <w:sz w:val="24"/>
          <w:szCs w:val="24"/>
        </w:rPr>
        <w:t>. Svi navedeni čimbenici ostvaruju jednaku, vrlo visoku aritmetičku sredinu (4,667), uz medijan i mod jednake vrijednosti te nisku standardnu devijaciju (0,516).</w:t>
      </w:r>
    </w:p>
    <w:p w14:paraId="22A1BB07" w14:textId="6C9B8490"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Takvi rezultati ukazuju na visoku razinu suglasnosti među ispitanicima i jasno upućuju na dominantnu orijentaciju stručnjaka prema financijskim i operativnim pokazateljima kao primarnim mjerilima uspješnosti spajanja i preuzimanja u postakvizicijskoj fazi.</w:t>
      </w:r>
    </w:p>
    <w:p w14:paraId="3190CD84"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Čimbenik </w:t>
      </w:r>
      <w:r w:rsidRPr="00BE5472">
        <w:rPr>
          <w:rFonts w:ascii="Times New Roman" w:hAnsi="Times New Roman" w:cs="Times New Roman"/>
          <w:bCs/>
          <w:sz w:val="24"/>
          <w:szCs w:val="24"/>
        </w:rPr>
        <w:t>tržišnog udjela (dobitak ili gubitak)</w:t>
      </w:r>
      <w:r w:rsidRPr="00BE5472">
        <w:rPr>
          <w:rFonts w:ascii="Times New Roman" w:hAnsi="Times New Roman" w:cs="Times New Roman"/>
          <w:sz w:val="24"/>
          <w:szCs w:val="24"/>
        </w:rPr>
        <w:t xml:space="preserve"> je ocijenjen kao vrlo važan (aritmetička sredina = 4,333), uz nisku standardnu devijaciju (0,516). Ovakav rezultat upućuje na stabilan konsenzus ispitanika o važnosti praćenja tržišne pozicije kao jednog od ključnih ishoda procesa spajanja i preuzimanja.</w:t>
      </w:r>
    </w:p>
    <w:p w14:paraId="1B290FDB" w14:textId="4EF6C976"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Cs/>
          <w:sz w:val="24"/>
          <w:szCs w:val="24"/>
        </w:rPr>
        <w:t>Slobodni novčani tijek po dionici</w:t>
      </w:r>
      <w:r w:rsidRPr="00BE5472">
        <w:rPr>
          <w:rFonts w:ascii="Times New Roman" w:hAnsi="Times New Roman" w:cs="Times New Roman"/>
          <w:sz w:val="24"/>
          <w:szCs w:val="24"/>
        </w:rPr>
        <w:t xml:space="preserve"> (aritmetička sredina = 4,000; standardna devijacija = 1,095) percipiran je kao umjereno važan čimbenik, ali uz izraženiju varijabilnost odgovora. To upućuje na razlike u stavovima ispitanika o njegovoj relativnoj važnosti u odnosu na ostale financijske pokazatelje u postakvizicijskoj fazi.</w:t>
      </w:r>
    </w:p>
    <w:p w14:paraId="1152024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Slično tome, </w:t>
      </w:r>
      <w:r w:rsidRPr="00BE5472">
        <w:rPr>
          <w:rFonts w:ascii="Times New Roman" w:hAnsi="Times New Roman" w:cs="Times New Roman"/>
          <w:bCs/>
          <w:sz w:val="24"/>
          <w:szCs w:val="24"/>
        </w:rPr>
        <w:t>promjena kretanja cijene dionica</w:t>
      </w:r>
      <w:r w:rsidRPr="00BE5472">
        <w:rPr>
          <w:rFonts w:ascii="Times New Roman" w:hAnsi="Times New Roman" w:cs="Times New Roman"/>
          <w:sz w:val="24"/>
          <w:szCs w:val="24"/>
        </w:rPr>
        <w:t xml:space="preserve"> (aritmetička sredina = 3,833; standardna devijacija = 0,983) ocijenjena je kao umjereno važna. Najčešća ocjena 3 i relativno visoka standardna devijacija upućuju na podijeljena mišljenja ispitanika o tome u kojoj mjeri kretanje </w:t>
      </w:r>
      <w:r w:rsidRPr="00BE5472">
        <w:rPr>
          <w:rFonts w:ascii="Times New Roman" w:hAnsi="Times New Roman" w:cs="Times New Roman"/>
          <w:sz w:val="24"/>
          <w:szCs w:val="24"/>
        </w:rPr>
        <w:lastRenderedPageBreak/>
        <w:t>cijene dionica predstavlja relevantan pokazatelj uspješnosti provedenog procesa spajanja i preuzimanja.</w:t>
      </w:r>
    </w:p>
    <w:p w14:paraId="0541A37E" w14:textId="1B0048D0" w:rsidR="00120B4F" w:rsidRPr="001E0DF0" w:rsidRDefault="00120B4F" w:rsidP="001E0DF0">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Čimbenici </w:t>
      </w:r>
      <w:r w:rsidRPr="00BE5472">
        <w:rPr>
          <w:rFonts w:ascii="Times New Roman" w:hAnsi="Times New Roman" w:cs="Times New Roman"/>
          <w:bCs/>
          <w:sz w:val="24"/>
          <w:szCs w:val="24"/>
        </w:rPr>
        <w:t>prihvaćanja nove ili izmijenjene organizacijske kulture</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prihvaćanja nove organizacijske strukture</w:t>
      </w:r>
      <w:r w:rsidRPr="00BE5472">
        <w:rPr>
          <w:rFonts w:ascii="Times New Roman" w:hAnsi="Times New Roman" w:cs="Times New Roman"/>
          <w:sz w:val="24"/>
          <w:szCs w:val="24"/>
        </w:rPr>
        <w:t xml:space="preserve"> ostvaruju aritmetičku sredinu od 3,833, uz vrlo nisku standardnu devijaciju (0,408). Ovi rezultati ukazuju na visok stupanj suglasnosti među ispitanicima o njihovoj umjerenoj važnosti, što sugerira da se organizacijski aspekti u postakvizicijskoj fazi percipiraju kao relevantni, ali sekundarni u odnosu na financijske i tržišne pokazatelje uspješnosti.</w:t>
      </w:r>
      <w:r w:rsidR="001E0DF0">
        <w:rPr>
          <w:rFonts w:ascii="Times New Roman" w:hAnsi="Times New Roman" w:cs="Times New Roman"/>
          <w:sz w:val="24"/>
          <w:szCs w:val="24"/>
        </w:rPr>
        <w:t xml:space="preserve"> </w:t>
      </w:r>
      <w:r w:rsidR="0022220D" w:rsidRPr="00BE5472">
        <w:rPr>
          <w:rFonts w:ascii="Times New Roman" w:hAnsi="Times New Roman" w:cs="Times New Roman"/>
          <w:sz w:val="24"/>
          <w:szCs w:val="24"/>
          <w:lang w:val="it-IT"/>
        </w:rPr>
        <w:t>U</w:t>
      </w:r>
      <w:r w:rsidRPr="00BE5472">
        <w:rPr>
          <w:rFonts w:ascii="Times New Roman" w:hAnsi="Times New Roman" w:cs="Times New Roman"/>
          <w:sz w:val="24"/>
          <w:szCs w:val="24"/>
          <w:lang w:val="it-IT"/>
        </w:rPr>
        <w:t xml:space="preserve"> </w:t>
      </w:r>
      <w:r w:rsidR="00127A4E">
        <w:rPr>
          <w:rFonts w:ascii="Times New Roman" w:hAnsi="Times New Roman" w:cs="Times New Roman"/>
          <w:sz w:val="24"/>
          <w:szCs w:val="24"/>
          <w:lang w:val="it-IT"/>
        </w:rPr>
        <w:t>Tablici</w:t>
      </w:r>
      <w:r w:rsidRPr="00BE5472">
        <w:rPr>
          <w:rFonts w:ascii="Times New Roman" w:hAnsi="Times New Roman" w:cs="Times New Roman"/>
          <w:sz w:val="24"/>
          <w:szCs w:val="24"/>
          <w:lang w:val="it-IT"/>
        </w:rPr>
        <w:t xml:space="preserve"> </w:t>
      </w:r>
      <w:r w:rsidR="00302F02" w:rsidRPr="00BE5472">
        <w:rPr>
          <w:rFonts w:ascii="Times New Roman" w:hAnsi="Times New Roman" w:cs="Times New Roman"/>
          <w:sz w:val="24"/>
          <w:szCs w:val="24"/>
          <w:lang w:val="it-IT"/>
        </w:rPr>
        <w:t>30</w:t>
      </w:r>
      <w:r w:rsidRPr="00BE5472">
        <w:rPr>
          <w:rFonts w:ascii="Times New Roman" w:hAnsi="Times New Roman" w:cs="Times New Roman"/>
          <w:sz w:val="24"/>
          <w:szCs w:val="24"/>
          <w:lang w:val="it-IT"/>
        </w:rPr>
        <w:t xml:space="preserve"> su prikazani motivi čimbeni</w:t>
      </w:r>
      <w:r w:rsidR="0022220D" w:rsidRPr="00BE5472">
        <w:rPr>
          <w:rFonts w:ascii="Times New Roman" w:hAnsi="Times New Roman" w:cs="Times New Roman"/>
          <w:sz w:val="24"/>
          <w:szCs w:val="24"/>
          <w:lang w:val="it-IT"/>
        </w:rPr>
        <w:t>ka</w:t>
      </w:r>
      <w:r w:rsidRPr="00BE5472">
        <w:rPr>
          <w:rFonts w:ascii="Times New Roman" w:hAnsi="Times New Roman" w:cs="Times New Roman"/>
          <w:sz w:val="24"/>
          <w:szCs w:val="24"/>
          <w:lang w:val="it-IT"/>
        </w:rPr>
        <w:t xml:space="preserve"> koje je potrebno evaluirati u drugo</w:t>
      </w:r>
      <w:r w:rsidR="008E42EA" w:rsidRPr="00BE5472">
        <w:rPr>
          <w:rFonts w:ascii="Times New Roman" w:hAnsi="Times New Roman" w:cs="Times New Roman"/>
          <w:sz w:val="24"/>
          <w:szCs w:val="24"/>
          <w:lang w:val="it-IT"/>
        </w:rPr>
        <w:t>m ciklusu</w:t>
      </w:r>
      <w:r w:rsidRPr="00BE5472">
        <w:rPr>
          <w:rFonts w:ascii="Times New Roman" w:hAnsi="Times New Roman" w:cs="Times New Roman"/>
          <w:sz w:val="24"/>
          <w:szCs w:val="24"/>
          <w:lang w:val="it-IT"/>
        </w:rPr>
        <w:t xml:space="preserve">. </w:t>
      </w:r>
    </w:p>
    <w:p w14:paraId="4229DD55" w14:textId="58AFC9F3" w:rsidR="00120B4F" w:rsidRPr="00E1098E" w:rsidRDefault="00E1098E" w:rsidP="00E1098E">
      <w:pPr>
        <w:pStyle w:val="Caption"/>
        <w:rPr>
          <w:rFonts w:ascii="Times New Roman" w:hAnsi="Times New Roman" w:cs="Times New Roman"/>
          <w:sz w:val="24"/>
          <w:szCs w:val="24"/>
          <w:lang w:val="it-IT"/>
        </w:rPr>
      </w:pPr>
      <w:bookmarkStart w:id="178" w:name="_Toc241865224"/>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30</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lang w:val="it-IT"/>
        </w:rPr>
        <w:t>: Rezultati prv</w:t>
      </w:r>
      <w:r w:rsidR="007D0E77" w:rsidRPr="00E1098E">
        <w:rPr>
          <w:rFonts w:ascii="Times New Roman" w:hAnsi="Times New Roman" w:cs="Times New Roman"/>
          <w:sz w:val="24"/>
          <w:szCs w:val="24"/>
          <w:lang w:val="it-IT"/>
        </w:rPr>
        <w:t>og ciklusa</w:t>
      </w:r>
      <w:r w:rsidR="00120B4F" w:rsidRPr="00E1098E">
        <w:rPr>
          <w:rFonts w:ascii="Times New Roman" w:hAnsi="Times New Roman" w:cs="Times New Roman"/>
          <w:sz w:val="24"/>
          <w:szCs w:val="24"/>
          <w:lang w:val="it-IT"/>
        </w:rPr>
        <w:t xml:space="preserve"> </w:t>
      </w:r>
      <w:r w:rsidR="00120B4F" w:rsidRPr="00E1098E">
        <w:rPr>
          <w:rFonts w:ascii="Times New Roman" w:hAnsi="Times New Roman" w:cs="Times New Roman"/>
          <w:i w:val="0"/>
          <w:iCs w:val="0"/>
          <w:sz w:val="24"/>
          <w:szCs w:val="24"/>
          <w:lang w:val="it-IT"/>
        </w:rPr>
        <w:t>Delphi</w:t>
      </w:r>
      <w:r w:rsidR="00120B4F" w:rsidRPr="00E1098E">
        <w:rPr>
          <w:rFonts w:ascii="Times New Roman" w:hAnsi="Times New Roman" w:cs="Times New Roman"/>
          <w:sz w:val="24"/>
          <w:szCs w:val="24"/>
          <w:lang w:val="it-IT"/>
        </w:rPr>
        <w:t xml:space="preserve"> postupka – selekcija motiva i čimbenika za drug</w:t>
      </w:r>
      <w:r w:rsidR="007D0E77" w:rsidRPr="00E1098E">
        <w:rPr>
          <w:rFonts w:ascii="Times New Roman" w:hAnsi="Times New Roman" w:cs="Times New Roman"/>
          <w:sz w:val="24"/>
          <w:szCs w:val="24"/>
          <w:lang w:val="it-IT"/>
        </w:rPr>
        <w:t>i ciklus</w:t>
      </w:r>
      <w:bookmarkEnd w:id="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484"/>
        <w:gridCol w:w="1443"/>
        <w:gridCol w:w="636"/>
      </w:tblGrid>
      <w:tr w:rsidR="00120B4F" w:rsidRPr="00BE5472" w14:paraId="5EA0A2EC" w14:textId="77777777" w:rsidTr="0022220D">
        <w:trPr>
          <w:trHeight w:val="855"/>
        </w:trPr>
        <w:tc>
          <w:tcPr>
            <w:tcW w:w="311" w:type="pct"/>
            <w:noWrap/>
            <w:vAlign w:val="bottom"/>
            <w:hideMark/>
          </w:tcPr>
          <w:p w14:paraId="5B1CE76F" w14:textId="77777777" w:rsidR="00120B4F" w:rsidRPr="00BE5472" w:rsidRDefault="00120B4F" w:rsidP="003C2F5B">
            <w:pPr>
              <w:jc w:val="both"/>
              <w:rPr>
                <w:rFonts w:ascii="Times New Roman" w:hAnsi="Times New Roman" w:cs="Times New Roman"/>
                <w:sz w:val="24"/>
                <w:szCs w:val="24"/>
              </w:rPr>
            </w:pPr>
          </w:p>
        </w:tc>
        <w:tc>
          <w:tcPr>
            <w:tcW w:w="3807" w:type="pct"/>
            <w:vAlign w:val="center"/>
            <w:hideMark/>
          </w:tcPr>
          <w:p w14:paraId="7EE77A31" w14:textId="77777777" w:rsidR="00120B4F" w:rsidRPr="00BE5472" w:rsidRDefault="00120B4F" w:rsidP="0022220D">
            <w:pPr>
              <w:jc w:val="center"/>
              <w:rPr>
                <w:rFonts w:ascii="Times New Roman" w:hAnsi="Times New Roman" w:cs="Times New Roman"/>
                <w:b/>
                <w:sz w:val="24"/>
                <w:szCs w:val="24"/>
              </w:rPr>
            </w:pPr>
            <w:r w:rsidRPr="00BE5472">
              <w:rPr>
                <w:rFonts w:ascii="Times New Roman" w:hAnsi="Times New Roman" w:cs="Times New Roman"/>
                <w:b/>
                <w:sz w:val="24"/>
                <w:szCs w:val="24"/>
              </w:rPr>
              <w:t>Motivi i čimbenici u svim fazama procesa spajanja i preuzimanja</w:t>
            </w:r>
          </w:p>
        </w:tc>
        <w:tc>
          <w:tcPr>
            <w:tcW w:w="571" w:type="pct"/>
            <w:vAlign w:val="center"/>
            <w:hideMark/>
          </w:tcPr>
          <w:p w14:paraId="1147A716" w14:textId="77777777" w:rsidR="00120B4F" w:rsidRPr="00BE5472" w:rsidRDefault="00120B4F" w:rsidP="0022220D">
            <w:pPr>
              <w:jc w:val="center"/>
              <w:rPr>
                <w:rFonts w:ascii="Times New Roman" w:hAnsi="Times New Roman" w:cs="Times New Roman"/>
                <w:b/>
                <w:sz w:val="24"/>
                <w:szCs w:val="24"/>
              </w:rPr>
            </w:pPr>
            <w:r w:rsidRPr="00BE5472">
              <w:rPr>
                <w:rFonts w:ascii="Times New Roman" w:hAnsi="Times New Roman" w:cs="Times New Roman"/>
                <w:b/>
                <w:sz w:val="24"/>
                <w:szCs w:val="24"/>
              </w:rPr>
              <w:t>Linearno ponderirani indeks suglasnosti</w:t>
            </w:r>
          </w:p>
        </w:tc>
        <w:tc>
          <w:tcPr>
            <w:tcW w:w="311" w:type="pct"/>
            <w:vAlign w:val="center"/>
            <w:hideMark/>
          </w:tcPr>
          <w:p w14:paraId="04E19F15" w14:textId="77777777" w:rsidR="00120B4F" w:rsidRPr="00BE5472" w:rsidRDefault="00120B4F" w:rsidP="0022220D">
            <w:pPr>
              <w:jc w:val="center"/>
              <w:rPr>
                <w:rFonts w:ascii="Times New Roman" w:hAnsi="Times New Roman" w:cs="Times New Roman"/>
                <w:b/>
                <w:sz w:val="24"/>
                <w:szCs w:val="24"/>
              </w:rPr>
            </w:pPr>
            <w:r w:rsidRPr="00BE5472">
              <w:rPr>
                <w:rFonts w:ascii="Times New Roman" w:hAnsi="Times New Roman" w:cs="Times New Roman"/>
                <w:b/>
                <w:sz w:val="24"/>
                <w:szCs w:val="24"/>
              </w:rPr>
              <w:t>M</w:t>
            </w:r>
          </w:p>
        </w:tc>
      </w:tr>
      <w:tr w:rsidR="00120B4F" w:rsidRPr="00BE5472" w14:paraId="1C64167D" w14:textId="77777777" w:rsidTr="0022220D">
        <w:trPr>
          <w:trHeight w:val="300"/>
        </w:trPr>
        <w:tc>
          <w:tcPr>
            <w:tcW w:w="311" w:type="pct"/>
            <w:noWrap/>
            <w:vAlign w:val="center"/>
            <w:hideMark/>
          </w:tcPr>
          <w:p w14:paraId="53971DB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w:t>
            </w:r>
          </w:p>
        </w:tc>
        <w:tc>
          <w:tcPr>
            <w:tcW w:w="3807" w:type="pct"/>
            <w:vAlign w:val="center"/>
            <w:hideMark/>
          </w:tcPr>
          <w:p w14:paraId="675BB11F"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Osiguranje održivog rast poduzeća preuzimatelja</w:t>
            </w:r>
          </w:p>
        </w:tc>
        <w:tc>
          <w:tcPr>
            <w:tcW w:w="571" w:type="pct"/>
            <w:vAlign w:val="center"/>
            <w:hideMark/>
          </w:tcPr>
          <w:p w14:paraId="43A6E29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0.72</w:t>
            </w:r>
          </w:p>
        </w:tc>
        <w:tc>
          <w:tcPr>
            <w:tcW w:w="311" w:type="pct"/>
            <w:vAlign w:val="center"/>
            <w:hideMark/>
          </w:tcPr>
          <w:p w14:paraId="744F2C5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120B4F" w:rsidRPr="00BE5472" w14:paraId="139A6DD7" w14:textId="77777777" w:rsidTr="0022220D">
        <w:trPr>
          <w:trHeight w:val="300"/>
        </w:trPr>
        <w:tc>
          <w:tcPr>
            <w:tcW w:w="311" w:type="pct"/>
            <w:noWrap/>
            <w:vAlign w:val="center"/>
          </w:tcPr>
          <w:p w14:paraId="46BF850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w:t>
            </w:r>
          </w:p>
        </w:tc>
        <w:tc>
          <w:tcPr>
            <w:tcW w:w="3807" w:type="pct"/>
            <w:vAlign w:val="center"/>
            <w:hideMark/>
          </w:tcPr>
          <w:p w14:paraId="3C5EA87F"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Povećanje tržišnog udjela poduzeća preuzimatelja</w:t>
            </w:r>
          </w:p>
        </w:tc>
        <w:tc>
          <w:tcPr>
            <w:tcW w:w="571" w:type="pct"/>
            <w:vAlign w:val="center"/>
            <w:hideMark/>
          </w:tcPr>
          <w:p w14:paraId="1672D2E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311" w:type="pct"/>
            <w:vAlign w:val="center"/>
            <w:hideMark/>
          </w:tcPr>
          <w:p w14:paraId="4E11955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120B4F" w:rsidRPr="00BE5472" w14:paraId="5FB578AC" w14:textId="77777777" w:rsidTr="0022220D">
        <w:trPr>
          <w:trHeight w:val="600"/>
        </w:trPr>
        <w:tc>
          <w:tcPr>
            <w:tcW w:w="311" w:type="pct"/>
            <w:noWrap/>
            <w:vAlign w:val="center"/>
          </w:tcPr>
          <w:p w14:paraId="26749F0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w:t>
            </w:r>
          </w:p>
        </w:tc>
        <w:tc>
          <w:tcPr>
            <w:tcW w:w="3807" w:type="pct"/>
            <w:vAlign w:val="center"/>
            <w:hideMark/>
          </w:tcPr>
          <w:p w14:paraId="6305CC2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Proširivanje tržišnih segmenata (baze kupaca) poduzeća preuzimatelja sirenjem ponude na postojećem ili novom tržištu – destinaciji</w:t>
            </w:r>
          </w:p>
        </w:tc>
        <w:tc>
          <w:tcPr>
            <w:tcW w:w="571" w:type="pct"/>
            <w:vAlign w:val="center"/>
            <w:hideMark/>
          </w:tcPr>
          <w:p w14:paraId="7075AA4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6D11D21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120B4F" w:rsidRPr="00BE5472" w14:paraId="33FE9787" w14:textId="77777777" w:rsidTr="0022220D">
        <w:trPr>
          <w:trHeight w:val="600"/>
        </w:trPr>
        <w:tc>
          <w:tcPr>
            <w:tcW w:w="311" w:type="pct"/>
            <w:noWrap/>
            <w:vAlign w:val="center"/>
          </w:tcPr>
          <w:p w14:paraId="4FE340D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w:t>
            </w:r>
          </w:p>
        </w:tc>
        <w:tc>
          <w:tcPr>
            <w:tcW w:w="3807" w:type="pct"/>
            <w:vAlign w:val="center"/>
            <w:hideMark/>
          </w:tcPr>
          <w:p w14:paraId="5C3C4B14" w14:textId="642636A4"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Povećanje kapaciteta poduzeća preuzimatelja (uz manje kapitalne i operativne troškove nego</w:t>
            </w:r>
            <w:r w:rsidR="009967EB"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li </w:t>
            </w:r>
            <w:r w:rsidR="009967EB" w:rsidRPr="00BE5472">
              <w:rPr>
                <w:rFonts w:ascii="Times New Roman" w:hAnsi="Times New Roman" w:cs="Times New Roman"/>
                <w:sz w:val="24"/>
                <w:szCs w:val="24"/>
              </w:rPr>
              <w:t>š</w:t>
            </w:r>
            <w:r w:rsidRPr="00BE5472">
              <w:rPr>
                <w:rFonts w:ascii="Times New Roman" w:hAnsi="Times New Roman" w:cs="Times New Roman"/>
                <w:sz w:val="24"/>
                <w:szCs w:val="24"/>
              </w:rPr>
              <w:t>to bi to bilo u slučaju izgradnje novih vlastitih objekata)</w:t>
            </w:r>
          </w:p>
        </w:tc>
        <w:tc>
          <w:tcPr>
            <w:tcW w:w="571" w:type="pct"/>
            <w:vAlign w:val="center"/>
            <w:hideMark/>
          </w:tcPr>
          <w:p w14:paraId="1019349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3202E45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120B4F" w:rsidRPr="00BE5472" w14:paraId="36342B67" w14:textId="77777777" w:rsidTr="0022220D">
        <w:trPr>
          <w:trHeight w:val="300"/>
        </w:trPr>
        <w:tc>
          <w:tcPr>
            <w:tcW w:w="311" w:type="pct"/>
            <w:noWrap/>
            <w:vAlign w:val="center"/>
          </w:tcPr>
          <w:p w14:paraId="4907D92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w:t>
            </w:r>
          </w:p>
        </w:tc>
        <w:tc>
          <w:tcPr>
            <w:tcW w:w="3807" w:type="pct"/>
            <w:vAlign w:val="center"/>
            <w:hideMark/>
          </w:tcPr>
          <w:p w14:paraId="4D2389F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Jačanja marke i reputacije poduzeća preuzimatelja</w:t>
            </w:r>
          </w:p>
        </w:tc>
        <w:tc>
          <w:tcPr>
            <w:tcW w:w="571" w:type="pct"/>
            <w:vAlign w:val="center"/>
            <w:hideMark/>
          </w:tcPr>
          <w:p w14:paraId="67706A7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311" w:type="pct"/>
            <w:vAlign w:val="center"/>
            <w:hideMark/>
          </w:tcPr>
          <w:p w14:paraId="5EB08D9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267BA1FB" w14:textId="77777777" w:rsidTr="0022220D">
        <w:trPr>
          <w:trHeight w:val="300"/>
        </w:trPr>
        <w:tc>
          <w:tcPr>
            <w:tcW w:w="311" w:type="pct"/>
            <w:noWrap/>
            <w:vAlign w:val="center"/>
          </w:tcPr>
          <w:p w14:paraId="0A71D09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6</w:t>
            </w:r>
          </w:p>
        </w:tc>
        <w:tc>
          <w:tcPr>
            <w:tcW w:w="3807" w:type="pct"/>
            <w:vAlign w:val="center"/>
            <w:hideMark/>
          </w:tcPr>
          <w:p w14:paraId="4B5BA684"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Nemogućnost internog rasta</w:t>
            </w:r>
          </w:p>
        </w:tc>
        <w:tc>
          <w:tcPr>
            <w:tcW w:w="571" w:type="pct"/>
            <w:vAlign w:val="center"/>
            <w:hideMark/>
          </w:tcPr>
          <w:p w14:paraId="160FED3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7C0D54D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67D731D2" w14:textId="77777777" w:rsidTr="0022220D">
        <w:trPr>
          <w:trHeight w:val="300"/>
        </w:trPr>
        <w:tc>
          <w:tcPr>
            <w:tcW w:w="311" w:type="pct"/>
            <w:noWrap/>
            <w:vAlign w:val="center"/>
          </w:tcPr>
          <w:p w14:paraId="7001DBB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7</w:t>
            </w:r>
          </w:p>
        </w:tc>
        <w:tc>
          <w:tcPr>
            <w:tcW w:w="3807" w:type="pct"/>
            <w:vAlign w:val="center"/>
            <w:hideMark/>
          </w:tcPr>
          <w:p w14:paraId="125805C2"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Dobro poznavanje regulative i propisa</w:t>
            </w:r>
          </w:p>
        </w:tc>
        <w:tc>
          <w:tcPr>
            <w:tcW w:w="571" w:type="pct"/>
            <w:vAlign w:val="center"/>
            <w:hideMark/>
          </w:tcPr>
          <w:p w14:paraId="55E18F2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311" w:type="pct"/>
            <w:vAlign w:val="center"/>
            <w:hideMark/>
          </w:tcPr>
          <w:p w14:paraId="493DEDC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120B4F" w:rsidRPr="00BE5472" w14:paraId="12A89B6C" w14:textId="77777777" w:rsidTr="0022220D">
        <w:trPr>
          <w:trHeight w:val="600"/>
        </w:trPr>
        <w:tc>
          <w:tcPr>
            <w:tcW w:w="311" w:type="pct"/>
            <w:noWrap/>
            <w:vAlign w:val="center"/>
          </w:tcPr>
          <w:p w14:paraId="459F394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8</w:t>
            </w:r>
          </w:p>
        </w:tc>
        <w:tc>
          <w:tcPr>
            <w:tcW w:w="3807" w:type="pct"/>
            <w:vAlign w:val="center"/>
            <w:hideMark/>
          </w:tcPr>
          <w:p w14:paraId="08653987"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Dobra procjena potencijalne operativne sinergije poduzeća mete na poduzeće preuzimatelja </w:t>
            </w:r>
            <w:r w:rsidRPr="00BE5472">
              <w:rPr>
                <w:rFonts w:ascii="Times New Roman" w:hAnsi="Times New Roman" w:cs="Times New Roman"/>
                <w:sz w:val="24"/>
                <w:szCs w:val="24"/>
              </w:rPr>
              <w:br/>
              <w:t>(tj. poboljšanu operativnu učinkovitost)</w:t>
            </w:r>
          </w:p>
        </w:tc>
        <w:tc>
          <w:tcPr>
            <w:tcW w:w="571" w:type="pct"/>
            <w:vAlign w:val="center"/>
            <w:hideMark/>
          </w:tcPr>
          <w:p w14:paraId="2E5CB6A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35D6F60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121CE1B6" w14:textId="77777777" w:rsidTr="0022220D">
        <w:trPr>
          <w:trHeight w:val="300"/>
        </w:trPr>
        <w:tc>
          <w:tcPr>
            <w:tcW w:w="311" w:type="pct"/>
            <w:noWrap/>
            <w:vAlign w:val="center"/>
          </w:tcPr>
          <w:p w14:paraId="695F38E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9</w:t>
            </w:r>
          </w:p>
        </w:tc>
        <w:tc>
          <w:tcPr>
            <w:tcW w:w="3807" w:type="pct"/>
            <w:vAlign w:val="center"/>
            <w:hideMark/>
          </w:tcPr>
          <w:p w14:paraId="0516D861"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Imidž turističke destinacije u kojoj posluje poduzeće meta</w:t>
            </w:r>
          </w:p>
        </w:tc>
        <w:tc>
          <w:tcPr>
            <w:tcW w:w="571" w:type="pct"/>
            <w:vAlign w:val="center"/>
            <w:hideMark/>
          </w:tcPr>
          <w:p w14:paraId="5877A84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311" w:type="pct"/>
            <w:vAlign w:val="center"/>
            <w:hideMark/>
          </w:tcPr>
          <w:p w14:paraId="017F77A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6A880E24" w14:textId="77777777" w:rsidTr="0022220D">
        <w:trPr>
          <w:trHeight w:val="300"/>
        </w:trPr>
        <w:tc>
          <w:tcPr>
            <w:tcW w:w="311" w:type="pct"/>
            <w:noWrap/>
            <w:vAlign w:val="center"/>
          </w:tcPr>
          <w:p w14:paraId="790BB98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w:t>
            </w:r>
          </w:p>
        </w:tc>
        <w:tc>
          <w:tcPr>
            <w:tcW w:w="3807" w:type="pct"/>
            <w:vAlign w:val="center"/>
            <w:hideMark/>
          </w:tcPr>
          <w:p w14:paraId="51D8DD59"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Lokacija poduzeća mete </w:t>
            </w:r>
          </w:p>
        </w:tc>
        <w:tc>
          <w:tcPr>
            <w:tcW w:w="571" w:type="pct"/>
            <w:vAlign w:val="center"/>
            <w:hideMark/>
          </w:tcPr>
          <w:p w14:paraId="07B0803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1933928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120B4F" w:rsidRPr="00BE5472" w14:paraId="24496CF0" w14:textId="77777777" w:rsidTr="0022220D">
        <w:trPr>
          <w:trHeight w:val="300"/>
        </w:trPr>
        <w:tc>
          <w:tcPr>
            <w:tcW w:w="311" w:type="pct"/>
            <w:noWrap/>
            <w:vAlign w:val="center"/>
          </w:tcPr>
          <w:p w14:paraId="00936C8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11</w:t>
            </w:r>
          </w:p>
        </w:tc>
        <w:tc>
          <w:tcPr>
            <w:tcW w:w="3807" w:type="pct"/>
            <w:vAlign w:val="center"/>
            <w:hideMark/>
          </w:tcPr>
          <w:p w14:paraId="32B7044E"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Dubinsko snimanje poduzeća mete </w:t>
            </w:r>
          </w:p>
        </w:tc>
        <w:tc>
          <w:tcPr>
            <w:tcW w:w="571" w:type="pct"/>
            <w:vAlign w:val="center"/>
            <w:hideMark/>
          </w:tcPr>
          <w:p w14:paraId="322D03F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311" w:type="pct"/>
            <w:vAlign w:val="center"/>
            <w:hideMark/>
          </w:tcPr>
          <w:p w14:paraId="03FD379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120B4F" w:rsidRPr="00BE5472" w14:paraId="063D74B2" w14:textId="77777777" w:rsidTr="0022220D">
        <w:trPr>
          <w:trHeight w:val="300"/>
        </w:trPr>
        <w:tc>
          <w:tcPr>
            <w:tcW w:w="311" w:type="pct"/>
            <w:noWrap/>
            <w:vAlign w:val="center"/>
          </w:tcPr>
          <w:p w14:paraId="2FE4F84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12</w:t>
            </w:r>
          </w:p>
        </w:tc>
        <w:tc>
          <w:tcPr>
            <w:tcW w:w="3807" w:type="pct"/>
            <w:vAlign w:val="center"/>
            <w:hideMark/>
          </w:tcPr>
          <w:p w14:paraId="7E16CAF8"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Vlasnička struktura poduzeća mete</w:t>
            </w:r>
          </w:p>
        </w:tc>
        <w:tc>
          <w:tcPr>
            <w:tcW w:w="571" w:type="pct"/>
            <w:vAlign w:val="center"/>
            <w:hideMark/>
          </w:tcPr>
          <w:p w14:paraId="4B75939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78AC54C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1BC62265" w14:textId="77777777" w:rsidTr="0022220D">
        <w:trPr>
          <w:trHeight w:val="300"/>
        </w:trPr>
        <w:tc>
          <w:tcPr>
            <w:tcW w:w="311" w:type="pct"/>
            <w:noWrap/>
            <w:vAlign w:val="center"/>
          </w:tcPr>
          <w:p w14:paraId="7EB283D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13</w:t>
            </w:r>
          </w:p>
        </w:tc>
        <w:tc>
          <w:tcPr>
            <w:tcW w:w="3807" w:type="pct"/>
            <w:vAlign w:val="center"/>
            <w:hideMark/>
          </w:tcPr>
          <w:p w14:paraId="2178AB4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Preliminarni razgovori u poduzeću meti</w:t>
            </w:r>
          </w:p>
        </w:tc>
        <w:tc>
          <w:tcPr>
            <w:tcW w:w="571" w:type="pct"/>
            <w:vAlign w:val="center"/>
            <w:hideMark/>
          </w:tcPr>
          <w:p w14:paraId="2D4F39B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0.75</w:t>
            </w:r>
          </w:p>
        </w:tc>
        <w:tc>
          <w:tcPr>
            <w:tcW w:w="311" w:type="pct"/>
            <w:vAlign w:val="center"/>
            <w:hideMark/>
          </w:tcPr>
          <w:p w14:paraId="53666F3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5CFA6232" w14:textId="77777777" w:rsidTr="0022220D">
        <w:trPr>
          <w:trHeight w:val="300"/>
        </w:trPr>
        <w:tc>
          <w:tcPr>
            <w:tcW w:w="311" w:type="pct"/>
            <w:noWrap/>
            <w:vAlign w:val="center"/>
          </w:tcPr>
          <w:p w14:paraId="1B224F1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14</w:t>
            </w:r>
          </w:p>
        </w:tc>
        <w:tc>
          <w:tcPr>
            <w:tcW w:w="3807" w:type="pct"/>
            <w:vAlign w:val="center"/>
            <w:hideMark/>
          </w:tcPr>
          <w:p w14:paraId="0E41DDE2"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Trend glavnih hotelskih pokazatelje uspješnosti poduzeća mete (popunjenost, RevPAR, slobodni novčani tijek i ADR)</w:t>
            </w:r>
          </w:p>
        </w:tc>
        <w:tc>
          <w:tcPr>
            <w:tcW w:w="571" w:type="pct"/>
            <w:vAlign w:val="center"/>
            <w:hideMark/>
          </w:tcPr>
          <w:p w14:paraId="0FE9F27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311" w:type="pct"/>
            <w:vAlign w:val="center"/>
            <w:hideMark/>
          </w:tcPr>
          <w:p w14:paraId="1D08282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591E21E3" w14:textId="77777777" w:rsidTr="0022220D">
        <w:trPr>
          <w:trHeight w:val="300"/>
        </w:trPr>
        <w:tc>
          <w:tcPr>
            <w:tcW w:w="311" w:type="pct"/>
            <w:noWrap/>
            <w:vAlign w:val="center"/>
          </w:tcPr>
          <w:p w14:paraId="0C96112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15</w:t>
            </w:r>
          </w:p>
        </w:tc>
        <w:tc>
          <w:tcPr>
            <w:tcW w:w="3807" w:type="pct"/>
            <w:vAlign w:val="center"/>
            <w:hideMark/>
          </w:tcPr>
          <w:p w14:paraId="741DAC3C"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Trend glavnih računovodstvenih pokazatelja uspješnosti poduzeća mete </w:t>
            </w:r>
          </w:p>
        </w:tc>
        <w:tc>
          <w:tcPr>
            <w:tcW w:w="571" w:type="pct"/>
            <w:vAlign w:val="center"/>
            <w:hideMark/>
          </w:tcPr>
          <w:p w14:paraId="31655F2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1901120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179EF0E0" w14:textId="77777777" w:rsidTr="0022220D">
        <w:trPr>
          <w:trHeight w:val="300"/>
        </w:trPr>
        <w:tc>
          <w:tcPr>
            <w:tcW w:w="311" w:type="pct"/>
            <w:noWrap/>
            <w:vAlign w:val="center"/>
          </w:tcPr>
          <w:p w14:paraId="7406DEE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16</w:t>
            </w:r>
          </w:p>
        </w:tc>
        <w:tc>
          <w:tcPr>
            <w:tcW w:w="3807" w:type="pct"/>
            <w:vAlign w:val="center"/>
            <w:hideMark/>
          </w:tcPr>
          <w:p w14:paraId="46A20ACD"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Potreba kapitalnih izdataka kod poduzeća mete (npr. potencijalni troškovi obnove nekretnina)</w:t>
            </w:r>
          </w:p>
        </w:tc>
        <w:tc>
          <w:tcPr>
            <w:tcW w:w="571" w:type="pct"/>
            <w:vAlign w:val="center"/>
            <w:hideMark/>
          </w:tcPr>
          <w:p w14:paraId="51852E0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311" w:type="pct"/>
            <w:vAlign w:val="center"/>
            <w:hideMark/>
          </w:tcPr>
          <w:p w14:paraId="7D433D9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027E41CD" w14:textId="77777777" w:rsidTr="0022220D">
        <w:trPr>
          <w:trHeight w:val="300"/>
        </w:trPr>
        <w:tc>
          <w:tcPr>
            <w:tcW w:w="311" w:type="pct"/>
            <w:noWrap/>
            <w:vAlign w:val="center"/>
          </w:tcPr>
          <w:p w14:paraId="478B703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17</w:t>
            </w:r>
          </w:p>
        </w:tc>
        <w:tc>
          <w:tcPr>
            <w:tcW w:w="3807" w:type="pct"/>
            <w:vAlign w:val="center"/>
            <w:hideMark/>
          </w:tcPr>
          <w:p w14:paraId="4B5C68E3"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Potencijalni učinak na jačanje marke i reputacije poduzeća preuzimatelja</w:t>
            </w:r>
          </w:p>
        </w:tc>
        <w:tc>
          <w:tcPr>
            <w:tcW w:w="571" w:type="pct"/>
            <w:vAlign w:val="center"/>
            <w:hideMark/>
          </w:tcPr>
          <w:p w14:paraId="333098D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311" w:type="pct"/>
            <w:vAlign w:val="center"/>
            <w:hideMark/>
          </w:tcPr>
          <w:p w14:paraId="6A63674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2CAB4A15" w14:textId="77777777" w:rsidTr="0022220D">
        <w:trPr>
          <w:trHeight w:val="300"/>
        </w:trPr>
        <w:tc>
          <w:tcPr>
            <w:tcW w:w="311" w:type="pct"/>
            <w:noWrap/>
            <w:vAlign w:val="center"/>
          </w:tcPr>
          <w:p w14:paraId="40AF06A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18</w:t>
            </w:r>
          </w:p>
        </w:tc>
        <w:tc>
          <w:tcPr>
            <w:tcW w:w="3807" w:type="pct"/>
            <w:vAlign w:val="center"/>
            <w:hideMark/>
          </w:tcPr>
          <w:p w14:paraId="159E07F7"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Strateška povezanost između poduzeća preuzimatelja i poduzeća mete </w:t>
            </w:r>
          </w:p>
        </w:tc>
        <w:tc>
          <w:tcPr>
            <w:tcW w:w="571" w:type="pct"/>
            <w:vAlign w:val="center"/>
            <w:hideMark/>
          </w:tcPr>
          <w:p w14:paraId="6AA43F0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3A14025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10C597FD" w14:textId="77777777" w:rsidTr="0022220D">
        <w:trPr>
          <w:trHeight w:val="300"/>
        </w:trPr>
        <w:tc>
          <w:tcPr>
            <w:tcW w:w="311" w:type="pct"/>
            <w:noWrap/>
            <w:vAlign w:val="center"/>
          </w:tcPr>
          <w:p w14:paraId="4245C61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19</w:t>
            </w:r>
          </w:p>
        </w:tc>
        <w:tc>
          <w:tcPr>
            <w:tcW w:w="3807" w:type="pct"/>
            <w:vAlign w:val="center"/>
            <w:hideMark/>
          </w:tcPr>
          <w:p w14:paraId="09CE5979"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Sadašnja vrijednost očekivanih sinergija preuzimanja za poduzeće preuzimatelja će biti veća od plaćenih premija </w:t>
            </w:r>
          </w:p>
        </w:tc>
        <w:tc>
          <w:tcPr>
            <w:tcW w:w="571" w:type="pct"/>
            <w:vAlign w:val="center"/>
            <w:hideMark/>
          </w:tcPr>
          <w:p w14:paraId="4C4B320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0.85</w:t>
            </w:r>
          </w:p>
        </w:tc>
        <w:tc>
          <w:tcPr>
            <w:tcW w:w="311" w:type="pct"/>
            <w:vAlign w:val="center"/>
            <w:hideMark/>
          </w:tcPr>
          <w:p w14:paraId="7BCA08E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120B4F" w:rsidRPr="00BE5472" w14:paraId="7723D17B" w14:textId="77777777" w:rsidTr="0022220D">
        <w:trPr>
          <w:trHeight w:val="300"/>
        </w:trPr>
        <w:tc>
          <w:tcPr>
            <w:tcW w:w="311" w:type="pct"/>
            <w:noWrap/>
            <w:vAlign w:val="center"/>
          </w:tcPr>
          <w:p w14:paraId="07646C6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20</w:t>
            </w:r>
          </w:p>
        </w:tc>
        <w:tc>
          <w:tcPr>
            <w:tcW w:w="3807" w:type="pct"/>
            <w:vAlign w:val="center"/>
            <w:hideMark/>
          </w:tcPr>
          <w:p w14:paraId="329F5454"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Iznos akvizicijske premije </w:t>
            </w:r>
          </w:p>
        </w:tc>
        <w:tc>
          <w:tcPr>
            <w:tcW w:w="571" w:type="pct"/>
            <w:vAlign w:val="center"/>
            <w:hideMark/>
          </w:tcPr>
          <w:p w14:paraId="2572FB1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4717CD1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1061B95C" w14:textId="77777777" w:rsidTr="0022220D">
        <w:trPr>
          <w:trHeight w:val="300"/>
        </w:trPr>
        <w:tc>
          <w:tcPr>
            <w:tcW w:w="311" w:type="pct"/>
            <w:noWrap/>
            <w:vAlign w:val="center"/>
          </w:tcPr>
          <w:p w14:paraId="34284BA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21</w:t>
            </w:r>
          </w:p>
        </w:tc>
        <w:tc>
          <w:tcPr>
            <w:tcW w:w="3807" w:type="pct"/>
            <w:vAlign w:val="center"/>
            <w:hideMark/>
          </w:tcPr>
          <w:p w14:paraId="08EA215B"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Način akvizicije (npr. spajanje, neprijateljsko preuzimanje, itd.)</w:t>
            </w:r>
          </w:p>
        </w:tc>
        <w:tc>
          <w:tcPr>
            <w:tcW w:w="571" w:type="pct"/>
            <w:vAlign w:val="center"/>
            <w:hideMark/>
          </w:tcPr>
          <w:p w14:paraId="190E469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53B636D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4FCF52D1" w14:textId="77777777" w:rsidTr="0022220D">
        <w:trPr>
          <w:trHeight w:val="300"/>
        </w:trPr>
        <w:tc>
          <w:tcPr>
            <w:tcW w:w="311" w:type="pct"/>
            <w:noWrap/>
            <w:vAlign w:val="center"/>
          </w:tcPr>
          <w:p w14:paraId="1010B23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22</w:t>
            </w:r>
          </w:p>
        </w:tc>
        <w:tc>
          <w:tcPr>
            <w:tcW w:w="3807" w:type="pct"/>
            <w:vAlign w:val="center"/>
            <w:hideMark/>
          </w:tcPr>
          <w:p w14:paraId="6B9115B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Potencijalna financijska sinergija akvizicije (npr. niži troškovi kapitala, niza poreznu stopu)</w:t>
            </w:r>
          </w:p>
        </w:tc>
        <w:tc>
          <w:tcPr>
            <w:tcW w:w="571" w:type="pct"/>
            <w:vAlign w:val="center"/>
            <w:hideMark/>
          </w:tcPr>
          <w:p w14:paraId="37FAB00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273FA5F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41CE93E8" w14:textId="77777777" w:rsidTr="0022220D">
        <w:trPr>
          <w:trHeight w:val="300"/>
        </w:trPr>
        <w:tc>
          <w:tcPr>
            <w:tcW w:w="311" w:type="pct"/>
            <w:noWrap/>
            <w:vAlign w:val="center"/>
          </w:tcPr>
          <w:p w14:paraId="5FA9047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23</w:t>
            </w:r>
          </w:p>
        </w:tc>
        <w:tc>
          <w:tcPr>
            <w:tcW w:w="3807" w:type="pct"/>
            <w:vAlign w:val="center"/>
            <w:hideMark/>
          </w:tcPr>
          <w:p w14:paraId="721C988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Cijena ponude (akvizicije) temelji se na konkurentnom položaju poduzeća mete u hotelskom sektoru</w:t>
            </w:r>
          </w:p>
        </w:tc>
        <w:tc>
          <w:tcPr>
            <w:tcW w:w="571" w:type="pct"/>
            <w:vAlign w:val="center"/>
            <w:hideMark/>
          </w:tcPr>
          <w:p w14:paraId="4E144A5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7B74903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2B5402B7" w14:textId="77777777" w:rsidTr="0022220D">
        <w:trPr>
          <w:trHeight w:val="600"/>
        </w:trPr>
        <w:tc>
          <w:tcPr>
            <w:tcW w:w="311" w:type="pct"/>
            <w:noWrap/>
            <w:vAlign w:val="center"/>
          </w:tcPr>
          <w:p w14:paraId="2D0D0F0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24</w:t>
            </w:r>
          </w:p>
        </w:tc>
        <w:tc>
          <w:tcPr>
            <w:tcW w:w="3807" w:type="pct"/>
            <w:vAlign w:val="center"/>
            <w:hideMark/>
          </w:tcPr>
          <w:p w14:paraId="6905B6DC" w14:textId="3A6C8C23"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Potencijalna potražnju za proizvodima (uslugama) poduzeća (kombiniranog poduzeća ili poduzeća mete </w:t>
            </w:r>
            <w:r w:rsidR="00F87611" w:rsidRPr="00BE5472">
              <w:rPr>
                <w:rFonts w:ascii="Times New Roman" w:hAnsi="Times New Roman" w:cs="Times New Roman"/>
                <w:sz w:val="24"/>
                <w:szCs w:val="24"/>
              </w:rPr>
              <w:t>ako</w:t>
            </w:r>
            <w:r w:rsidRPr="00BE5472">
              <w:rPr>
                <w:rFonts w:ascii="Times New Roman" w:hAnsi="Times New Roman" w:cs="Times New Roman"/>
                <w:sz w:val="24"/>
                <w:szCs w:val="24"/>
              </w:rPr>
              <w:t xml:space="preserve"> ostaje kao samostalna pravna osoba u sljedećih pet godina)</w:t>
            </w:r>
          </w:p>
        </w:tc>
        <w:tc>
          <w:tcPr>
            <w:tcW w:w="571" w:type="pct"/>
            <w:vAlign w:val="center"/>
            <w:hideMark/>
          </w:tcPr>
          <w:p w14:paraId="1B450EC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0.60</w:t>
            </w:r>
          </w:p>
        </w:tc>
        <w:tc>
          <w:tcPr>
            <w:tcW w:w="311" w:type="pct"/>
            <w:vAlign w:val="center"/>
            <w:hideMark/>
          </w:tcPr>
          <w:p w14:paraId="4354E7F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5C6EAB91" w14:textId="77777777" w:rsidTr="0022220D">
        <w:trPr>
          <w:trHeight w:val="600"/>
        </w:trPr>
        <w:tc>
          <w:tcPr>
            <w:tcW w:w="311" w:type="pct"/>
            <w:noWrap/>
            <w:vAlign w:val="center"/>
          </w:tcPr>
          <w:p w14:paraId="50F8F65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25</w:t>
            </w:r>
          </w:p>
        </w:tc>
        <w:tc>
          <w:tcPr>
            <w:tcW w:w="3807" w:type="pct"/>
            <w:vAlign w:val="center"/>
            <w:hideMark/>
          </w:tcPr>
          <w:p w14:paraId="7A0FCCA8"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Potencijalna upravljačka sinergija (tj. poboljšani konkurentni položaj poduzeća mete prijenosom upravljačkog znanja poduzeća preuzimatelja)</w:t>
            </w:r>
          </w:p>
        </w:tc>
        <w:tc>
          <w:tcPr>
            <w:tcW w:w="571" w:type="pct"/>
            <w:vAlign w:val="center"/>
            <w:hideMark/>
          </w:tcPr>
          <w:p w14:paraId="4B2B53C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311" w:type="pct"/>
            <w:vAlign w:val="center"/>
            <w:hideMark/>
          </w:tcPr>
          <w:p w14:paraId="583AA23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71BBD15A" w14:textId="77777777" w:rsidTr="0022220D">
        <w:trPr>
          <w:trHeight w:val="300"/>
        </w:trPr>
        <w:tc>
          <w:tcPr>
            <w:tcW w:w="311" w:type="pct"/>
            <w:noWrap/>
            <w:vAlign w:val="center"/>
          </w:tcPr>
          <w:p w14:paraId="1CB8B65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26</w:t>
            </w:r>
          </w:p>
        </w:tc>
        <w:tc>
          <w:tcPr>
            <w:tcW w:w="3807" w:type="pct"/>
            <w:vAlign w:val="center"/>
            <w:hideMark/>
          </w:tcPr>
          <w:p w14:paraId="7538DBB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Upravljačke naknade i franšizne naknade poduzeća mete</w:t>
            </w:r>
          </w:p>
        </w:tc>
        <w:tc>
          <w:tcPr>
            <w:tcW w:w="571" w:type="pct"/>
            <w:vAlign w:val="center"/>
            <w:hideMark/>
          </w:tcPr>
          <w:p w14:paraId="2151AB5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5527C4F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3.50</w:t>
            </w:r>
          </w:p>
        </w:tc>
      </w:tr>
      <w:tr w:rsidR="00120B4F" w:rsidRPr="00BE5472" w14:paraId="6D91C68D" w14:textId="77777777" w:rsidTr="0022220D">
        <w:trPr>
          <w:trHeight w:val="300"/>
        </w:trPr>
        <w:tc>
          <w:tcPr>
            <w:tcW w:w="311" w:type="pct"/>
            <w:noWrap/>
            <w:vAlign w:val="center"/>
          </w:tcPr>
          <w:p w14:paraId="4D5B6E8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27</w:t>
            </w:r>
          </w:p>
        </w:tc>
        <w:tc>
          <w:tcPr>
            <w:tcW w:w="3807" w:type="pct"/>
            <w:vAlign w:val="center"/>
            <w:hideMark/>
          </w:tcPr>
          <w:p w14:paraId="47ACA648"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Kapitalna strukturu i troškovi kapitala poduzeća mete </w:t>
            </w:r>
          </w:p>
        </w:tc>
        <w:tc>
          <w:tcPr>
            <w:tcW w:w="571" w:type="pct"/>
            <w:vAlign w:val="center"/>
            <w:hideMark/>
          </w:tcPr>
          <w:p w14:paraId="4574058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0F05D38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34E85575" w14:textId="77777777" w:rsidTr="0022220D">
        <w:trPr>
          <w:trHeight w:val="300"/>
        </w:trPr>
        <w:tc>
          <w:tcPr>
            <w:tcW w:w="311" w:type="pct"/>
            <w:noWrap/>
            <w:vAlign w:val="center"/>
          </w:tcPr>
          <w:p w14:paraId="0C7AF28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28</w:t>
            </w:r>
          </w:p>
        </w:tc>
        <w:tc>
          <w:tcPr>
            <w:tcW w:w="3807" w:type="pct"/>
            <w:vAlign w:val="center"/>
            <w:hideMark/>
          </w:tcPr>
          <w:p w14:paraId="63B60C43"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Uključivanje ključnih menadžera i zaposlenika poduzeća preuzimatelja u planiranje akvizicije</w:t>
            </w:r>
          </w:p>
        </w:tc>
        <w:tc>
          <w:tcPr>
            <w:tcW w:w="571" w:type="pct"/>
            <w:vAlign w:val="center"/>
            <w:hideMark/>
          </w:tcPr>
          <w:p w14:paraId="5A01588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00AE2C5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61E3CD1B" w14:textId="77777777" w:rsidTr="0022220D">
        <w:trPr>
          <w:trHeight w:val="300"/>
        </w:trPr>
        <w:tc>
          <w:tcPr>
            <w:tcW w:w="311" w:type="pct"/>
            <w:noWrap/>
            <w:vAlign w:val="center"/>
          </w:tcPr>
          <w:p w14:paraId="50233E6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29</w:t>
            </w:r>
          </w:p>
        </w:tc>
        <w:tc>
          <w:tcPr>
            <w:tcW w:w="3807" w:type="pct"/>
            <w:vAlign w:val="center"/>
            <w:hideMark/>
          </w:tcPr>
          <w:p w14:paraId="731DACAD"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Povezanost i kompatibilnost poduzeća mete s informacijskom infrastrukturom poduzeća preuzimatelja</w:t>
            </w:r>
          </w:p>
        </w:tc>
        <w:tc>
          <w:tcPr>
            <w:tcW w:w="571" w:type="pct"/>
            <w:vAlign w:val="center"/>
            <w:hideMark/>
          </w:tcPr>
          <w:p w14:paraId="5476544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5A8CAD5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2BC81307" w14:textId="77777777" w:rsidTr="0022220D">
        <w:trPr>
          <w:trHeight w:val="600"/>
        </w:trPr>
        <w:tc>
          <w:tcPr>
            <w:tcW w:w="311" w:type="pct"/>
            <w:noWrap/>
            <w:vAlign w:val="center"/>
          </w:tcPr>
          <w:p w14:paraId="7B407C7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30</w:t>
            </w:r>
          </w:p>
        </w:tc>
        <w:tc>
          <w:tcPr>
            <w:tcW w:w="3807" w:type="pct"/>
            <w:vAlign w:val="center"/>
            <w:hideMark/>
          </w:tcPr>
          <w:p w14:paraId="73F3E481"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Definiranje nove strategije razvoja poduzeća nakon akvizicije (novog zajedničkog poduzeća ili pak svakog pojedinog poduzeća koje je sudjelovalo u procesu akvizicije ako ostaju kao samostalne pravne osobe)</w:t>
            </w:r>
          </w:p>
        </w:tc>
        <w:tc>
          <w:tcPr>
            <w:tcW w:w="571" w:type="pct"/>
            <w:vAlign w:val="center"/>
            <w:hideMark/>
          </w:tcPr>
          <w:p w14:paraId="6E920BB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1.00</w:t>
            </w:r>
          </w:p>
        </w:tc>
        <w:tc>
          <w:tcPr>
            <w:tcW w:w="311" w:type="pct"/>
            <w:vAlign w:val="center"/>
            <w:hideMark/>
          </w:tcPr>
          <w:p w14:paraId="73D7759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5.00</w:t>
            </w:r>
          </w:p>
        </w:tc>
      </w:tr>
      <w:tr w:rsidR="00120B4F" w:rsidRPr="00BE5472" w14:paraId="2234DB60" w14:textId="77777777" w:rsidTr="0022220D">
        <w:trPr>
          <w:trHeight w:val="600"/>
        </w:trPr>
        <w:tc>
          <w:tcPr>
            <w:tcW w:w="311" w:type="pct"/>
            <w:noWrap/>
            <w:vAlign w:val="center"/>
          </w:tcPr>
          <w:p w14:paraId="358ECB4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31</w:t>
            </w:r>
          </w:p>
        </w:tc>
        <w:tc>
          <w:tcPr>
            <w:tcW w:w="3807" w:type="pct"/>
            <w:vAlign w:val="center"/>
            <w:hideMark/>
          </w:tcPr>
          <w:p w14:paraId="42197DE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Formalni plan zajedničke integracije od strane vodećih upravljačkih timova oba poduzeća (poduzeća preuzimatelja i poduzeća mete) </w:t>
            </w:r>
          </w:p>
        </w:tc>
        <w:tc>
          <w:tcPr>
            <w:tcW w:w="571" w:type="pct"/>
            <w:vAlign w:val="center"/>
            <w:hideMark/>
          </w:tcPr>
          <w:p w14:paraId="66FF93E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311" w:type="pct"/>
            <w:vAlign w:val="center"/>
            <w:hideMark/>
          </w:tcPr>
          <w:p w14:paraId="75D908D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4.83</w:t>
            </w:r>
          </w:p>
        </w:tc>
      </w:tr>
      <w:tr w:rsidR="00120B4F" w:rsidRPr="00BE5472" w14:paraId="68174795" w14:textId="77777777" w:rsidTr="0022220D">
        <w:trPr>
          <w:trHeight w:val="300"/>
        </w:trPr>
        <w:tc>
          <w:tcPr>
            <w:tcW w:w="311" w:type="pct"/>
            <w:noWrap/>
            <w:vAlign w:val="center"/>
          </w:tcPr>
          <w:p w14:paraId="60D0BF6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32</w:t>
            </w:r>
          </w:p>
        </w:tc>
        <w:tc>
          <w:tcPr>
            <w:tcW w:w="3807" w:type="pct"/>
            <w:vAlign w:val="center"/>
            <w:hideMark/>
          </w:tcPr>
          <w:p w14:paraId="434C925D"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menadžera poduzeća mete ako dolazi do spajanja poduzeća</w:t>
            </w:r>
          </w:p>
        </w:tc>
        <w:tc>
          <w:tcPr>
            <w:tcW w:w="571" w:type="pct"/>
            <w:vAlign w:val="center"/>
            <w:hideMark/>
          </w:tcPr>
          <w:p w14:paraId="6B97C47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3859CCE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3D547710" w14:textId="77777777" w:rsidTr="0022220D">
        <w:trPr>
          <w:trHeight w:val="600"/>
        </w:trPr>
        <w:tc>
          <w:tcPr>
            <w:tcW w:w="311" w:type="pct"/>
            <w:noWrap/>
            <w:vAlign w:val="center"/>
          </w:tcPr>
          <w:p w14:paraId="602214C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33</w:t>
            </w:r>
          </w:p>
        </w:tc>
        <w:tc>
          <w:tcPr>
            <w:tcW w:w="3807" w:type="pct"/>
            <w:vAlign w:val="center"/>
            <w:hideMark/>
          </w:tcPr>
          <w:p w14:paraId="168383CA"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menadžere poduzeća mete ako poduzeća koja su sudjelovala u akvizicijskom procesu ostaju kao samostalne pravne osobe</w:t>
            </w:r>
          </w:p>
        </w:tc>
        <w:tc>
          <w:tcPr>
            <w:tcW w:w="571" w:type="pct"/>
            <w:vAlign w:val="center"/>
            <w:hideMark/>
          </w:tcPr>
          <w:p w14:paraId="4E63950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5D5913A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4.17</w:t>
            </w:r>
          </w:p>
        </w:tc>
      </w:tr>
      <w:tr w:rsidR="00120B4F" w:rsidRPr="00BE5472" w14:paraId="66B985A5" w14:textId="77777777" w:rsidTr="0022220D">
        <w:trPr>
          <w:trHeight w:val="900"/>
        </w:trPr>
        <w:tc>
          <w:tcPr>
            <w:tcW w:w="311" w:type="pct"/>
            <w:noWrap/>
            <w:vAlign w:val="center"/>
          </w:tcPr>
          <w:p w14:paraId="6C6888E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34</w:t>
            </w:r>
          </w:p>
        </w:tc>
        <w:tc>
          <w:tcPr>
            <w:tcW w:w="3807" w:type="pct"/>
            <w:vAlign w:val="center"/>
            <w:hideMark/>
          </w:tcPr>
          <w:p w14:paraId="015851C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c>
          <w:tcPr>
            <w:tcW w:w="571" w:type="pct"/>
            <w:vAlign w:val="center"/>
            <w:hideMark/>
          </w:tcPr>
          <w:p w14:paraId="3445BC3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72529F6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27C9639D" w14:textId="77777777" w:rsidTr="0022220D">
        <w:trPr>
          <w:trHeight w:val="600"/>
        </w:trPr>
        <w:tc>
          <w:tcPr>
            <w:tcW w:w="311" w:type="pct"/>
            <w:noWrap/>
            <w:vAlign w:val="center"/>
          </w:tcPr>
          <w:p w14:paraId="76490A1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35</w:t>
            </w:r>
          </w:p>
        </w:tc>
        <w:tc>
          <w:tcPr>
            <w:tcW w:w="3807" w:type="pct"/>
            <w:vAlign w:val="center"/>
            <w:hideMark/>
          </w:tcPr>
          <w:p w14:paraId="6B151DEC" w14:textId="141890D9"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Razvojni programi kojima se potiče osjećaj zajedništva između zaposlenika poduzeća koja su sudjelovala u akvizicijskom procesu (bez obzira na njihov trenut</w:t>
            </w:r>
            <w:r w:rsidR="009F3C04" w:rsidRPr="00BE5472">
              <w:rPr>
                <w:rFonts w:ascii="Times New Roman" w:hAnsi="Times New Roman" w:cs="Times New Roman"/>
                <w:sz w:val="24"/>
                <w:szCs w:val="24"/>
              </w:rPr>
              <w:t>ač</w:t>
            </w:r>
            <w:r w:rsidRPr="00BE5472">
              <w:rPr>
                <w:rFonts w:ascii="Times New Roman" w:hAnsi="Times New Roman" w:cs="Times New Roman"/>
                <w:sz w:val="24"/>
                <w:szCs w:val="24"/>
              </w:rPr>
              <w:t>ni pravni status)</w:t>
            </w:r>
          </w:p>
        </w:tc>
        <w:tc>
          <w:tcPr>
            <w:tcW w:w="571" w:type="pct"/>
            <w:vAlign w:val="center"/>
            <w:hideMark/>
          </w:tcPr>
          <w:p w14:paraId="2429D37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73A1F88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509BD1C2" w14:textId="77777777" w:rsidTr="0022220D">
        <w:trPr>
          <w:trHeight w:val="300"/>
        </w:trPr>
        <w:tc>
          <w:tcPr>
            <w:tcW w:w="311" w:type="pct"/>
            <w:noWrap/>
            <w:vAlign w:val="center"/>
          </w:tcPr>
          <w:p w14:paraId="73FF339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w:t>
            </w:r>
          </w:p>
        </w:tc>
        <w:tc>
          <w:tcPr>
            <w:tcW w:w="3807" w:type="pct"/>
            <w:vAlign w:val="center"/>
            <w:hideMark/>
          </w:tcPr>
          <w:p w14:paraId="206BBCA5" w14:textId="339A09AE"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Identificiranje i usmjeravanje na ostvarivanje glavnih vrijednosnih pokretača procesa akvizicije </w:t>
            </w:r>
          </w:p>
        </w:tc>
        <w:tc>
          <w:tcPr>
            <w:tcW w:w="571" w:type="pct"/>
            <w:vAlign w:val="center"/>
            <w:hideMark/>
          </w:tcPr>
          <w:p w14:paraId="6030B8D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482F109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472FC08A" w14:textId="77777777" w:rsidTr="0022220D">
        <w:trPr>
          <w:trHeight w:val="300"/>
        </w:trPr>
        <w:tc>
          <w:tcPr>
            <w:tcW w:w="311" w:type="pct"/>
            <w:noWrap/>
            <w:vAlign w:val="center"/>
          </w:tcPr>
          <w:p w14:paraId="04CAF11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37</w:t>
            </w:r>
          </w:p>
        </w:tc>
        <w:tc>
          <w:tcPr>
            <w:tcW w:w="3807" w:type="pct"/>
            <w:vAlign w:val="center"/>
            <w:hideMark/>
          </w:tcPr>
          <w:p w14:paraId="788F0119"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Osiguranje resursa potrebnih za integraciju nakon procesa akvizicije</w:t>
            </w:r>
          </w:p>
        </w:tc>
        <w:tc>
          <w:tcPr>
            <w:tcW w:w="571" w:type="pct"/>
            <w:vAlign w:val="center"/>
            <w:hideMark/>
          </w:tcPr>
          <w:p w14:paraId="212A19D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311" w:type="pct"/>
            <w:vAlign w:val="center"/>
            <w:hideMark/>
          </w:tcPr>
          <w:p w14:paraId="672D129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4.83</w:t>
            </w:r>
          </w:p>
        </w:tc>
      </w:tr>
      <w:tr w:rsidR="00120B4F" w:rsidRPr="00BE5472" w14:paraId="2FC33C64" w14:textId="77777777" w:rsidTr="0022220D">
        <w:trPr>
          <w:trHeight w:val="300"/>
        </w:trPr>
        <w:tc>
          <w:tcPr>
            <w:tcW w:w="311" w:type="pct"/>
            <w:noWrap/>
            <w:vAlign w:val="center"/>
          </w:tcPr>
          <w:p w14:paraId="0DFA4E1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w:t>
            </w:r>
          </w:p>
        </w:tc>
        <w:tc>
          <w:tcPr>
            <w:tcW w:w="3807" w:type="pct"/>
            <w:vAlign w:val="center"/>
            <w:hideMark/>
          </w:tcPr>
          <w:p w14:paraId="5693A28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Učinkovita komunikacija s javnošću</w:t>
            </w:r>
          </w:p>
        </w:tc>
        <w:tc>
          <w:tcPr>
            <w:tcW w:w="571" w:type="pct"/>
            <w:vAlign w:val="center"/>
            <w:hideMark/>
          </w:tcPr>
          <w:p w14:paraId="78CECF6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0.85</w:t>
            </w:r>
          </w:p>
        </w:tc>
        <w:tc>
          <w:tcPr>
            <w:tcW w:w="311" w:type="pct"/>
            <w:vAlign w:val="center"/>
            <w:hideMark/>
          </w:tcPr>
          <w:p w14:paraId="30F7DC1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120B4F" w:rsidRPr="00BE5472" w14:paraId="1AFF9FD1" w14:textId="77777777" w:rsidTr="0022220D">
        <w:trPr>
          <w:trHeight w:val="300"/>
        </w:trPr>
        <w:tc>
          <w:tcPr>
            <w:tcW w:w="311" w:type="pct"/>
            <w:noWrap/>
            <w:vAlign w:val="center"/>
          </w:tcPr>
          <w:p w14:paraId="6FF0A097"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39</w:t>
            </w:r>
          </w:p>
        </w:tc>
        <w:tc>
          <w:tcPr>
            <w:tcW w:w="3807" w:type="pct"/>
            <w:vAlign w:val="center"/>
            <w:hideMark/>
          </w:tcPr>
          <w:p w14:paraId="7D4DC001"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Brza integracija radi ostvarivanja zacrtanog plana</w:t>
            </w:r>
          </w:p>
        </w:tc>
        <w:tc>
          <w:tcPr>
            <w:tcW w:w="571" w:type="pct"/>
            <w:vAlign w:val="center"/>
            <w:hideMark/>
          </w:tcPr>
          <w:p w14:paraId="2ACBF00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0.73</w:t>
            </w:r>
          </w:p>
        </w:tc>
        <w:tc>
          <w:tcPr>
            <w:tcW w:w="311" w:type="pct"/>
            <w:vAlign w:val="center"/>
            <w:hideMark/>
          </w:tcPr>
          <w:p w14:paraId="6CC34A2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371CB2C4" w14:textId="77777777" w:rsidTr="0022220D">
        <w:trPr>
          <w:trHeight w:val="300"/>
        </w:trPr>
        <w:tc>
          <w:tcPr>
            <w:tcW w:w="311" w:type="pct"/>
            <w:noWrap/>
            <w:vAlign w:val="center"/>
          </w:tcPr>
          <w:p w14:paraId="5BA2E7D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w:t>
            </w:r>
          </w:p>
        </w:tc>
        <w:tc>
          <w:tcPr>
            <w:tcW w:w="3807" w:type="pct"/>
            <w:vAlign w:val="center"/>
            <w:hideMark/>
          </w:tcPr>
          <w:p w14:paraId="13A632C7"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Integracija informacijske infrastrukturu poduzeća koja su sudjelovale u akvizicijskom procesu</w:t>
            </w:r>
          </w:p>
        </w:tc>
        <w:tc>
          <w:tcPr>
            <w:tcW w:w="571" w:type="pct"/>
            <w:vAlign w:val="center"/>
            <w:hideMark/>
          </w:tcPr>
          <w:p w14:paraId="69F6AAD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370432C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40DFDA41" w14:textId="77777777" w:rsidTr="0022220D">
        <w:trPr>
          <w:trHeight w:val="900"/>
        </w:trPr>
        <w:tc>
          <w:tcPr>
            <w:tcW w:w="311" w:type="pct"/>
            <w:noWrap/>
            <w:vAlign w:val="center"/>
          </w:tcPr>
          <w:p w14:paraId="6302E51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41</w:t>
            </w:r>
          </w:p>
        </w:tc>
        <w:tc>
          <w:tcPr>
            <w:tcW w:w="3807" w:type="pct"/>
            <w:vAlign w:val="center"/>
            <w:hideMark/>
          </w:tcPr>
          <w:p w14:paraId="011A8B2E"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Promptna objava plana razvoja ljudskih resursa nakon procesa akvizicije (npr. kljucne funkcije, ovlasti i odgovornosti, planovi otpuštanja itd. u novoosnovanom zajedničkom poduzeću ili u oba poduzeća koje su sudjelovala u akvizicijskom procesu)</w:t>
            </w:r>
          </w:p>
        </w:tc>
        <w:tc>
          <w:tcPr>
            <w:tcW w:w="571" w:type="pct"/>
            <w:vAlign w:val="center"/>
            <w:hideMark/>
          </w:tcPr>
          <w:p w14:paraId="725A1A8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0.83</w:t>
            </w:r>
          </w:p>
        </w:tc>
        <w:tc>
          <w:tcPr>
            <w:tcW w:w="311" w:type="pct"/>
            <w:vAlign w:val="center"/>
            <w:hideMark/>
          </w:tcPr>
          <w:p w14:paraId="05B9B84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5827CC61" w14:textId="77777777" w:rsidTr="0022220D">
        <w:trPr>
          <w:trHeight w:val="300"/>
        </w:trPr>
        <w:tc>
          <w:tcPr>
            <w:tcW w:w="311" w:type="pct"/>
            <w:noWrap/>
            <w:vAlign w:val="center"/>
          </w:tcPr>
          <w:p w14:paraId="66C4D49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42</w:t>
            </w:r>
          </w:p>
        </w:tc>
        <w:tc>
          <w:tcPr>
            <w:tcW w:w="3807" w:type="pct"/>
            <w:vAlign w:val="center"/>
            <w:hideMark/>
          </w:tcPr>
          <w:p w14:paraId="281D858B"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Odlučan i pravedan odnos prema zaposlenicima koje je potrebno otpustiti</w:t>
            </w:r>
          </w:p>
        </w:tc>
        <w:tc>
          <w:tcPr>
            <w:tcW w:w="571" w:type="pct"/>
            <w:vAlign w:val="center"/>
            <w:hideMark/>
          </w:tcPr>
          <w:p w14:paraId="0F98FEA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7B6E791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25BB9528" w14:textId="77777777" w:rsidTr="0022220D">
        <w:trPr>
          <w:trHeight w:val="300"/>
        </w:trPr>
        <w:tc>
          <w:tcPr>
            <w:tcW w:w="311" w:type="pct"/>
            <w:noWrap/>
            <w:vAlign w:val="center"/>
          </w:tcPr>
          <w:p w14:paraId="09D8967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w:t>
            </w:r>
          </w:p>
        </w:tc>
        <w:tc>
          <w:tcPr>
            <w:tcW w:w="3807" w:type="pct"/>
            <w:vAlign w:val="center"/>
            <w:hideMark/>
          </w:tcPr>
          <w:p w14:paraId="5510CB9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Uspostaviti odgovarajuće unutarnje mehanizme za prijenos kompetencija i sredstava između poslovnih jedinica </w:t>
            </w:r>
          </w:p>
        </w:tc>
        <w:tc>
          <w:tcPr>
            <w:tcW w:w="571" w:type="pct"/>
            <w:vAlign w:val="center"/>
            <w:hideMark/>
          </w:tcPr>
          <w:p w14:paraId="005F257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5D2D164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6DA7139E" w14:textId="77777777" w:rsidTr="0022220D">
        <w:trPr>
          <w:trHeight w:val="600"/>
        </w:trPr>
        <w:tc>
          <w:tcPr>
            <w:tcW w:w="311" w:type="pct"/>
            <w:noWrap/>
            <w:vAlign w:val="center"/>
          </w:tcPr>
          <w:p w14:paraId="2855E3B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44</w:t>
            </w:r>
          </w:p>
        </w:tc>
        <w:tc>
          <w:tcPr>
            <w:tcW w:w="3807" w:type="pct"/>
            <w:vAlign w:val="center"/>
            <w:hideMark/>
          </w:tcPr>
          <w:p w14:paraId="020DC890"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Povezivanje naknada (kompenzacija)  s poboljšanjima u realizaciji slobodnih novčanih tokova (u novoosnovanom zajedničkom poduzeću ili u oba poduzeća koja su sudjelovala u procesu preuzimanja) </w:t>
            </w:r>
          </w:p>
        </w:tc>
        <w:tc>
          <w:tcPr>
            <w:tcW w:w="571" w:type="pct"/>
            <w:vAlign w:val="center"/>
            <w:hideMark/>
          </w:tcPr>
          <w:p w14:paraId="65D3F10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0ED3C7D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28FEE6F3" w14:textId="77777777" w:rsidTr="0022220D">
        <w:trPr>
          <w:trHeight w:val="300"/>
        </w:trPr>
        <w:tc>
          <w:tcPr>
            <w:tcW w:w="311" w:type="pct"/>
            <w:noWrap/>
            <w:vAlign w:val="center"/>
          </w:tcPr>
          <w:p w14:paraId="3DA8864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45</w:t>
            </w:r>
          </w:p>
        </w:tc>
        <w:tc>
          <w:tcPr>
            <w:tcW w:w="3807" w:type="pct"/>
            <w:vAlign w:val="center"/>
            <w:hideMark/>
          </w:tcPr>
          <w:p w14:paraId="0534A253"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Niveliranje razlika u stilovima upravljanja između poduzeća koja su sudjelovale u procesu spajanja i preuzimanja</w:t>
            </w:r>
          </w:p>
        </w:tc>
        <w:tc>
          <w:tcPr>
            <w:tcW w:w="571" w:type="pct"/>
            <w:vAlign w:val="center"/>
            <w:hideMark/>
          </w:tcPr>
          <w:p w14:paraId="4F43EAA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7B8E9BE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40CAC511" w14:textId="77777777" w:rsidTr="0022220D">
        <w:trPr>
          <w:trHeight w:val="600"/>
        </w:trPr>
        <w:tc>
          <w:tcPr>
            <w:tcW w:w="311" w:type="pct"/>
            <w:noWrap/>
            <w:vAlign w:val="center"/>
          </w:tcPr>
          <w:p w14:paraId="55EEB47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lastRenderedPageBreak/>
              <w:t>46</w:t>
            </w:r>
          </w:p>
        </w:tc>
        <w:tc>
          <w:tcPr>
            <w:tcW w:w="3807" w:type="pct"/>
            <w:vAlign w:val="center"/>
            <w:hideMark/>
          </w:tcPr>
          <w:p w14:paraId="418D4DC9"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Identificiranje prilika za poboljšanje konkurentske pozicije novostvorenog zajedničkog poduzeća ili oba poduzeća koja su sudjelovala u procesu spajanja i preuzimanja, ali su ostala kao samostalne pravne osobe</w:t>
            </w:r>
          </w:p>
        </w:tc>
        <w:tc>
          <w:tcPr>
            <w:tcW w:w="571" w:type="pct"/>
            <w:vAlign w:val="center"/>
            <w:hideMark/>
          </w:tcPr>
          <w:p w14:paraId="64EDDFB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14ACB5E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44467110" w14:textId="77777777" w:rsidTr="0022220D">
        <w:trPr>
          <w:trHeight w:val="300"/>
        </w:trPr>
        <w:tc>
          <w:tcPr>
            <w:tcW w:w="311" w:type="pct"/>
            <w:noWrap/>
            <w:vAlign w:val="center"/>
          </w:tcPr>
          <w:p w14:paraId="3DF703D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47</w:t>
            </w:r>
          </w:p>
        </w:tc>
        <w:tc>
          <w:tcPr>
            <w:tcW w:w="3807" w:type="pct"/>
            <w:vAlign w:val="center"/>
            <w:hideMark/>
          </w:tcPr>
          <w:p w14:paraId="485AB003"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Asimiliranje kulturoloških sustava poduzeća preuzimatelja (tj. vrijednosti, norme) u poslovnu kulturu poduzeća mete</w:t>
            </w:r>
          </w:p>
        </w:tc>
        <w:tc>
          <w:tcPr>
            <w:tcW w:w="571" w:type="pct"/>
            <w:vAlign w:val="center"/>
            <w:hideMark/>
          </w:tcPr>
          <w:p w14:paraId="5A1F2E51"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0.68</w:t>
            </w:r>
          </w:p>
        </w:tc>
        <w:tc>
          <w:tcPr>
            <w:tcW w:w="311" w:type="pct"/>
            <w:vAlign w:val="center"/>
            <w:hideMark/>
          </w:tcPr>
          <w:p w14:paraId="7940C15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3.50</w:t>
            </w:r>
          </w:p>
        </w:tc>
      </w:tr>
      <w:tr w:rsidR="00120B4F" w:rsidRPr="00BE5472" w14:paraId="579E95A9" w14:textId="77777777" w:rsidTr="0022220D">
        <w:trPr>
          <w:trHeight w:val="300"/>
        </w:trPr>
        <w:tc>
          <w:tcPr>
            <w:tcW w:w="311" w:type="pct"/>
            <w:noWrap/>
            <w:vAlign w:val="center"/>
          </w:tcPr>
          <w:p w14:paraId="5D6C44D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48</w:t>
            </w:r>
          </w:p>
        </w:tc>
        <w:tc>
          <w:tcPr>
            <w:tcW w:w="3807" w:type="pct"/>
            <w:vAlign w:val="center"/>
            <w:hideMark/>
          </w:tcPr>
          <w:p w14:paraId="1D9A81CB"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Postavljanje nove upravljačke strukture u poduzeću meti </w:t>
            </w:r>
          </w:p>
        </w:tc>
        <w:tc>
          <w:tcPr>
            <w:tcW w:w="571" w:type="pct"/>
            <w:vAlign w:val="center"/>
            <w:hideMark/>
          </w:tcPr>
          <w:p w14:paraId="4B72025E"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0.78</w:t>
            </w:r>
          </w:p>
        </w:tc>
        <w:tc>
          <w:tcPr>
            <w:tcW w:w="311" w:type="pct"/>
            <w:vAlign w:val="center"/>
            <w:hideMark/>
          </w:tcPr>
          <w:p w14:paraId="6FD19DC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4.50</w:t>
            </w:r>
          </w:p>
        </w:tc>
      </w:tr>
      <w:tr w:rsidR="00120B4F" w:rsidRPr="00BE5472" w14:paraId="62D28413" w14:textId="77777777" w:rsidTr="0022220D">
        <w:trPr>
          <w:trHeight w:val="600"/>
        </w:trPr>
        <w:tc>
          <w:tcPr>
            <w:tcW w:w="311" w:type="pct"/>
            <w:noWrap/>
            <w:vAlign w:val="center"/>
          </w:tcPr>
          <w:p w14:paraId="79E0616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49</w:t>
            </w:r>
          </w:p>
        </w:tc>
        <w:tc>
          <w:tcPr>
            <w:tcW w:w="3807" w:type="pct"/>
            <w:vAlign w:val="center"/>
            <w:hideMark/>
          </w:tcPr>
          <w:p w14:paraId="3006045D" w14:textId="0E8E17EA"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Uspostavljanje novih programa procjene učinka uspješnosti u poduzećima koje su sudjelovale u procesu spajanja i preuzimanja bez obzira na njihovu trenut</w:t>
            </w:r>
            <w:r w:rsidR="009F3C04" w:rsidRPr="00BE5472">
              <w:rPr>
                <w:rFonts w:ascii="Times New Roman" w:hAnsi="Times New Roman" w:cs="Times New Roman"/>
                <w:sz w:val="24"/>
                <w:szCs w:val="24"/>
              </w:rPr>
              <w:t>ač</w:t>
            </w:r>
            <w:r w:rsidRPr="00BE5472">
              <w:rPr>
                <w:rFonts w:ascii="Times New Roman" w:hAnsi="Times New Roman" w:cs="Times New Roman"/>
                <w:sz w:val="24"/>
                <w:szCs w:val="24"/>
              </w:rPr>
              <w:t>nu pravnu osobnost</w:t>
            </w:r>
          </w:p>
        </w:tc>
        <w:tc>
          <w:tcPr>
            <w:tcW w:w="571" w:type="pct"/>
            <w:vAlign w:val="center"/>
            <w:hideMark/>
          </w:tcPr>
          <w:p w14:paraId="71E22A2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0.77</w:t>
            </w:r>
          </w:p>
        </w:tc>
        <w:tc>
          <w:tcPr>
            <w:tcW w:w="311" w:type="pct"/>
            <w:vAlign w:val="center"/>
            <w:hideMark/>
          </w:tcPr>
          <w:p w14:paraId="0C77966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3.67</w:t>
            </w:r>
          </w:p>
        </w:tc>
      </w:tr>
      <w:tr w:rsidR="00120B4F" w:rsidRPr="00BE5472" w14:paraId="47648169" w14:textId="77777777" w:rsidTr="0022220D">
        <w:trPr>
          <w:trHeight w:val="300"/>
        </w:trPr>
        <w:tc>
          <w:tcPr>
            <w:tcW w:w="311" w:type="pct"/>
            <w:noWrap/>
            <w:vAlign w:val="center"/>
          </w:tcPr>
          <w:p w14:paraId="4121BABF"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50</w:t>
            </w:r>
          </w:p>
        </w:tc>
        <w:tc>
          <w:tcPr>
            <w:tcW w:w="3807" w:type="pct"/>
            <w:vAlign w:val="center"/>
            <w:hideMark/>
          </w:tcPr>
          <w:p w14:paraId="4606162A"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Povrat na ukupno uloženi kapital (WACC)</w:t>
            </w:r>
          </w:p>
        </w:tc>
        <w:tc>
          <w:tcPr>
            <w:tcW w:w="571" w:type="pct"/>
            <w:vAlign w:val="center"/>
            <w:hideMark/>
          </w:tcPr>
          <w:p w14:paraId="728D2EDC"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2D4B937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1A227F2F" w14:textId="77777777" w:rsidTr="0022220D">
        <w:trPr>
          <w:trHeight w:val="300"/>
        </w:trPr>
        <w:tc>
          <w:tcPr>
            <w:tcW w:w="311" w:type="pct"/>
            <w:noWrap/>
            <w:vAlign w:val="center"/>
          </w:tcPr>
          <w:p w14:paraId="75C582C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51</w:t>
            </w:r>
          </w:p>
        </w:tc>
        <w:tc>
          <w:tcPr>
            <w:tcW w:w="3807" w:type="pct"/>
            <w:vAlign w:val="center"/>
            <w:hideMark/>
          </w:tcPr>
          <w:p w14:paraId="353783EF"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Slobodni novčani tijek po dionici </w:t>
            </w:r>
          </w:p>
        </w:tc>
        <w:tc>
          <w:tcPr>
            <w:tcW w:w="571" w:type="pct"/>
            <w:vAlign w:val="center"/>
            <w:hideMark/>
          </w:tcPr>
          <w:p w14:paraId="2DCD27B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0.70</w:t>
            </w:r>
          </w:p>
        </w:tc>
        <w:tc>
          <w:tcPr>
            <w:tcW w:w="311" w:type="pct"/>
            <w:vAlign w:val="center"/>
            <w:hideMark/>
          </w:tcPr>
          <w:p w14:paraId="327A552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4.00</w:t>
            </w:r>
          </w:p>
        </w:tc>
      </w:tr>
      <w:tr w:rsidR="00120B4F" w:rsidRPr="00BE5472" w14:paraId="0EDA4F09" w14:textId="77777777" w:rsidTr="0022220D">
        <w:trPr>
          <w:trHeight w:val="600"/>
        </w:trPr>
        <w:tc>
          <w:tcPr>
            <w:tcW w:w="311" w:type="pct"/>
            <w:noWrap/>
            <w:vAlign w:val="center"/>
          </w:tcPr>
          <w:p w14:paraId="3875EDC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52</w:t>
            </w:r>
          </w:p>
        </w:tc>
        <w:tc>
          <w:tcPr>
            <w:tcW w:w="3807" w:type="pct"/>
            <w:vAlign w:val="center"/>
            <w:hideMark/>
          </w:tcPr>
          <w:p w14:paraId="1F2F3AD1"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Novčani tijek iz operacija (prodaja umanjena za troškove prodanih dobara i usluga, administrativne troškove uvećano za deprecijaciju i </w:t>
            </w:r>
            <w:r w:rsidRPr="00BE5472">
              <w:rPr>
                <w:rFonts w:ascii="Times New Roman" w:hAnsi="Times New Roman" w:cs="Times New Roman"/>
                <w:i/>
                <w:sz w:val="24"/>
                <w:szCs w:val="24"/>
              </w:rPr>
              <w:t>goodwill</w:t>
            </w:r>
            <w:r w:rsidRPr="00BE5472">
              <w:rPr>
                <w:rFonts w:ascii="Times New Roman" w:hAnsi="Times New Roman" w:cs="Times New Roman"/>
                <w:sz w:val="24"/>
                <w:szCs w:val="24"/>
              </w:rPr>
              <w:t>)</w:t>
            </w:r>
          </w:p>
        </w:tc>
        <w:tc>
          <w:tcPr>
            <w:tcW w:w="571" w:type="pct"/>
            <w:vAlign w:val="center"/>
            <w:hideMark/>
          </w:tcPr>
          <w:p w14:paraId="71F029C2"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257EDC6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1AC1A2ED" w14:textId="77777777" w:rsidTr="0022220D">
        <w:trPr>
          <w:trHeight w:val="300"/>
        </w:trPr>
        <w:tc>
          <w:tcPr>
            <w:tcW w:w="311" w:type="pct"/>
            <w:noWrap/>
            <w:vAlign w:val="center"/>
          </w:tcPr>
          <w:p w14:paraId="6816CA2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53</w:t>
            </w:r>
          </w:p>
        </w:tc>
        <w:tc>
          <w:tcPr>
            <w:tcW w:w="3807" w:type="pct"/>
            <w:vAlign w:val="center"/>
            <w:hideMark/>
          </w:tcPr>
          <w:p w14:paraId="4D566215"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Računovodstveni pokazatelji (ROI, ROE, ROA)</w:t>
            </w:r>
          </w:p>
        </w:tc>
        <w:tc>
          <w:tcPr>
            <w:tcW w:w="571" w:type="pct"/>
            <w:vAlign w:val="center"/>
            <w:hideMark/>
          </w:tcPr>
          <w:p w14:paraId="05FD9BA5"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6D48BE8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1C24F1B5" w14:textId="77777777" w:rsidTr="0022220D">
        <w:trPr>
          <w:trHeight w:val="300"/>
        </w:trPr>
        <w:tc>
          <w:tcPr>
            <w:tcW w:w="311" w:type="pct"/>
            <w:noWrap/>
            <w:vAlign w:val="center"/>
          </w:tcPr>
          <w:p w14:paraId="119410F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54</w:t>
            </w:r>
          </w:p>
        </w:tc>
        <w:tc>
          <w:tcPr>
            <w:tcW w:w="3807" w:type="pct"/>
            <w:vAlign w:val="center"/>
            <w:hideMark/>
          </w:tcPr>
          <w:p w14:paraId="785C071B"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Uobičajeni hotelski pokazatelji uspješnosti (ADR, stopa popunjenosti, REVPAR, TREVPAR)</w:t>
            </w:r>
          </w:p>
        </w:tc>
        <w:tc>
          <w:tcPr>
            <w:tcW w:w="571" w:type="pct"/>
            <w:vAlign w:val="center"/>
            <w:hideMark/>
          </w:tcPr>
          <w:p w14:paraId="7D89912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2192E9E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4.67</w:t>
            </w:r>
          </w:p>
        </w:tc>
      </w:tr>
      <w:tr w:rsidR="00120B4F" w:rsidRPr="00BE5472" w14:paraId="7D07D0B6" w14:textId="77777777" w:rsidTr="0022220D">
        <w:trPr>
          <w:trHeight w:val="300"/>
        </w:trPr>
        <w:tc>
          <w:tcPr>
            <w:tcW w:w="311" w:type="pct"/>
            <w:noWrap/>
            <w:vAlign w:val="center"/>
          </w:tcPr>
          <w:p w14:paraId="5059609B"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55</w:t>
            </w:r>
          </w:p>
        </w:tc>
        <w:tc>
          <w:tcPr>
            <w:tcW w:w="3807" w:type="pct"/>
            <w:vAlign w:val="center"/>
            <w:hideMark/>
          </w:tcPr>
          <w:p w14:paraId="0FDBE876"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Tržišni udio (gubitak/dobitak)</w:t>
            </w:r>
          </w:p>
        </w:tc>
        <w:tc>
          <w:tcPr>
            <w:tcW w:w="571" w:type="pct"/>
            <w:vAlign w:val="center"/>
            <w:hideMark/>
          </w:tcPr>
          <w:p w14:paraId="0271BBA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0.87</w:t>
            </w:r>
          </w:p>
        </w:tc>
        <w:tc>
          <w:tcPr>
            <w:tcW w:w="311" w:type="pct"/>
            <w:vAlign w:val="center"/>
            <w:hideMark/>
          </w:tcPr>
          <w:p w14:paraId="6038C5C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4.33</w:t>
            </w:r>
          </w:p>
        </w:tc>
      </w:tr>
      <w:tr w:rsidR="00120B4F" w:rsidRPr="00BE5472" w14:paraId="19743E8D" w14:textId="77777777" w:rsidTr="0022220D">
        <w:trPr>
          <w:trHeight w:val="300"/>
        </w:trPr>
        <w:tc>
          <w:tcPr>
            <w:tcW w:w="311" w:type="pct"/>
            <w:noWrap/>
            <w:vAlign w:val="center"/>
          </w:tcPr>
          <w:p w14:paraId="2FDEC52A"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56</w:t>
            </w:r>
          </w:p>
        </w:tc>
        <w:tc>
          <w:tcPr>
            <w:tcW w:w="3807" w:type="pct"/>
            <w:vAlign w:val="center"/>
            <w:hideMark/>
          </w:tcPr>
          <w:p w14:paraId="103E973B"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Promjena kretanja cijene dionica</w:t>
            </w:r>
          </w:p>
        </w:tc>
        <w:tc>
          <w:tcPr>
            <w:tcW w:w="571" w:type="pct"/>
            <w:vAlign w:val="center"/>
            <w:hideMark/>
          </w:tcPr>
          <w:p w14:paraId="4C3C6409"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0.72</w:t>
            </w:r>
          </w:p>
        </w:tc>
        <w:tc>
          <w:tcPr>
            <w:tcW w:w="311" w:type="pct"/>
            <w:vAlign w:val="center"/>
            <w:hideMark/>
          </w:tcPr>
          <w:p w14:paraId="43D6908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2F4F8D71" w14:textId="77777777" w:rsidTr="0022220D">
        <w:trPr>
          <w:trHeight w:val="300"/>
        </w:trPr>
        <w:tc>
          <w:tcPr>
            <w:tcW w:w="311" w:type="pct"/>
            <w:noWrap/>
            <w:vAlign w:val="center"/>
          </w:tcPr>
          <w:p w14:paraId="1B906C16"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57</w:t>
            </w:r>
          </w:p>
        </w:tc>
        <w:tc>
          <w:tcPr>
            <w:tcW w:w="3807" w:type="pct"/>
            <w:vAlign w:val="center"/>
            <w:hideMark/>
          </w:tcPr>
          <w:p w14:paraId="0E8F38B3"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Prihvaćanje nove/izmijenjene organizacijske kulture</w:t>
            </w:r>
          </w:p>
        </w:tc>
        <w:tc>
          <w:tcPr>
            <w:tcW w:w="571" w:type="pct"/>
            <w:vAlign w:val="center"/>
            <w:hideMark/>
          </w:tcPr>
          <w:p w14:paraId="277EE10D"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311" w:type="pct"/>
            <w:vAlign w:val="center"/>
            <w:hideMark/>
          </w:tcPr>
          <w:p w14:paraId="498C8823"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r w:rsidR="00120B4F" w:rsidRPr="00BE5472" w14:paraId="1F973460" w14:textId="77777777" w:rsidTr="0022220D">
        <w:trPr>
          <w:trHeight w:val="300"/>
        </w:trPr>
        <w:tc>
          <w:tcPr>
            <w:tcW w:w="311" w:type="pct"/>
            <w:noWrap/>
            <w:vAlign w:val="center"/>
          </w:tcPr>
          <w:p w14:paraId="19F20304"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58</w:t>
            </w:r>
          </w:p>
        </w:tc>
        <w:tc>
          <w:tcPr>
            <w:tcW w:w="3807" w:type="pct"/>
            <w:vAlign w:val="center"/>
            <w:hideMark/>
          </w:tcPr>
          <w:p w14:paraId="746A778F" w14:textId="77777777" w:rsidR="00120B4F" w:rsidRPr="00BE5472" w:rsidRDefault="00120B4F" w:rsidP="0022220D">
            <w:pPr>
              <w:rPr>
                <w:rFonts w:ascii="Times New Roman" w:hAnsi="Times New Roman" w:cs="Times New Roman"/>
                <w:sz w:val="24"/>
                <w:szCs w:val="24"/>
              </w:rPr>
            </w:pPr>
            <w:r w:rsidRPr="00BE5472">
              <w:rPr>
                <w:rFonts w:ascii="Times New Roman" w:hAnsi="Times New Roman" w:cs="Times New Roman"/>
                <w:sz w:val="24"/>
                <w:szCs w:val="24"/>
              </w:rPr>
              <w:t xml:space="preserve">Prihvaćanje nove organizacijske strukture </w:t>
            </w:r>
          </w:p>
        </w:tc>
        <w:tc>
          <w:tcPr>
            <w:tcW w:w="571" w:type="pct"/>
            <w:vAlign w:val="center"/>
            <w:hideMark/>
          </w:tcPr>
          <w:p w14:paraId="33799140"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0.92</w:t>
            </w:r>
          </w:p>
        </w:tc>
        <w:tc>
          <w:tcPr>
            <w:tcW w:w="311" w:type="pct"/>
            <w:vAlign w:val="center"/>
            <w:hideMark/>
          </w:tcPr>
          <w:p w14:paraId="59C61818" w14:textId="77777777" w:rsidR="00120B4F" w:rsidRPr="00BE5472" w:rsidRDefault="00120B4F" w:rsidP="0022220D">
            <w:pPr>
              <w:jc w:val="center"/>
              <w:rPr>
                <w:rFonts w:ascii="Times New Roman" w:hAnsi="Times New Roman" w:cs="Times New Roman"/>
                <w:sz w:val="24"/>
                <w:szCs w:val="24"/>
              </w:rPr>
            </w:pPr>
            <w:r w:rsidRPr="00BE5472">
              <w:rPr>
                <w:rFonts w:ascii="Times New Roman" w:hAnsi="Times New Roman" w:cs="Times New Roman"/>
                <w:sz w:val="24"/>
                <w:szCs w:val="24"/>
              </w:rPr>
              <w:t>3.83</w:t>
            </w:r>
          </w:p>
        </w:tc>
      </w:tr>
    </w:tbl>
    <w:p w14:paraId="06C110AF" w14:textId="449125C1" w:rsidR="00120B4F" w:rsidRPr="00BE5472" w:rsidRDefault="001E6E98" w:rsidP="00A97F79">
      <w:pPr>
        <w:rPr>
          <w:rFonts w:ascii="Times New Roman" w:hAnsi="Times New Roman" w:cs="Times New Roman"/>
        </w:rPr>
      </w:pPr>
      <w:r w:rsidRPr="00BE5472">
        <w:rPr>
          <w:rFonts w:ascii="Times New Roman" w:hAnsi="Times New Roman" w:cs="Times New Roman"/>
        </w:rPr>
        <w:t>Izvor: obrada autora</w:t>
      </w:r>
    </w:p>
    <w:p w14:paraId="054AD2F6" w14:textId="7E69373A" w:rsidR="00120B4F" w:rsidRDefault="00120B4F" w:rsidP="00A97F79">
      <w:pPr>
        <w:pStyle w:val="Heading4"/>
        <w:rPr>
          <w:rFonts w:ascii="Times New Roman" w:hAnsi="Times New Roman" w:cs="Times New Roman"/>
          <w:bCs/>
        </w:rPr>
      </w:pPr>
      <w:bookmarkStart w:id="179" w:name="_Toc241865171"/>
      <w:r w:rsidRPr="00BE5472">
        <w:rPr>
          <w:rFonts w:ascii="Times New Roman" w:hAnsi="Times New Roman" w:cs="Times New Roman"/>
          <w:bCs/>
        </w:rPr>
        <w:t>5.2.1.2. Rezultati drug</w:t>
      </w:r>
      <w:r w:rsidR="00475AB2" w:rsidRPr="00BE5472">
        <w:rPr>
          <w:rFonts w:ascii="Times New Roman" w:hAnsi="Times New Roman" w:cs="Times New Roman"/>
          <w:bCs/>
        </w:rPr>
        <w:t>og ciklusa</w:t>
      </w:r>
      <w:r w:rsidRPr="00BE5472">
        <w:rPr>
          <w:rFonts w:ascii="Times New Roman" w:hAnsi="Times New Roman" w:cs="Times New Roman"/>
          <w:bCs/>
        </w:rPr>
        <w:t xml:space="preserve"> Delphi postupka</w:t>
      </w:r>
      <w:bookmarkEnd w:id="179"/>
    </w:p>
    <w:p w14:paraId="4E1EF8D7" w14:textId="77777777" w:rsidR="00EE7945" w:rsidRPr="00EE7945" w:rsidRDefault="00EE7945" w:rsidP="00EE7945"/>
    <w:p w14:paraId="228BCBC9" w14:textId="210084F9"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nastavku su prikazani rezultati drug</w:t>
      </w:r>
      <w:r w:rsidR="007D0E77"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koja je provedena s ciljem postizanja višeg stupnja konsenzusa među stručnjacima te konačne identifikacije ključnih motiva i čimbenika uspjeha procesa spajanja i preuzimanja u hrvatskom hotelijerstvu. Drug</w:t>
      </w:r>
      <w:r w:rsidR="007D0E77" w:rsidRPr="00BE5472">
        <w:rPr>
          <w:rFonts w:ascii="Times New Roman" w:hAnsi="Times New Roman" w:cs="Times New Roman"/>
          <w:sz w:val="24"/>
          <w:szCs w:val="24"/>
        </w:rPr>
        <w:t>i ciklus</w:t>
      </w:r>
      <w:r w:rsidRPr="00BE5472">
        <w:rPr>
          <w:rFonts w:ascii="Times New Roman" w:hAnsi="Times New Roman" w:cs="Times New Roman"/>
          <w:sz w:val="24"/>
          <w:szCs w:val="24"/>
        </w:rPr>
        <w:t xml:space="preserve"> obuhvatila je isključivo motive i čimbenike koji su, na temelju rezultata prv</w:t>
      </w:r>
      <w:r w:rsidR="007D0E77"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i unaprijed definiranih kriterija selekcije, odabrani za daljnju evaluaciju. Kao i u prvo</w:t>
      </w:r>
      <w:r w:rsidR="007D0E77" w:rsidRPr="00BE5472">
        <w:rPr>
          <w:rFonts w:ascii="Times New Roman" w:hAnsi="Times New Roman" w:cs="Times New Roman"/>
          <w:sz w:val="24"/>
          <w:szCs w:val="24"/>
        </w:rPr>
        <w:t>m ciklusu</w:t>
      </w:r>
      <w:r w:rsidRPr="00BE5472">
        <w:rPr>
          <w:rFonts w:ascii="Times New Roman" w:hAnsi="Times New Roman" w:cs="Times New Roman"/>
          <w:sz w:val="24"/>
          <w:szCs w:val="24"/>
        </w:rPr>
        <w:t>, rezultati su prikazani fazno, sukladno strukturi procesa spajanja i preuzimanja, pri čemu su analizirani motivi pokretanja procesa, čimbenici uspjeha u fazi prije preuzimanja, tijekom integracije te u postakvizicijskoj fazi. Analiza se temelji na aritmetičkoj sredini kao pokazatelju percipirane važnosti pojedinog motiva ili čimbenika te standardnoj devijaciji kao mjeri stupnja suglasnosti među ispitanicima.</w:t>
      </w:r>
    </w:p>
    <w:p w14:paraId="50319868" w14:textId="7A656AAF" w:rsidR="00945DAC" w:rsidRPr="00BE5472" w:rsidRDefault="00945DAC" w:rsidP="00945DAC">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Kako bi se omogućila objedinjena usporedba rezultata drugog ciklusa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te transparentno prikazali kriteriji za završnu selekciju varijabli, u nastavku je prikazana sumarna </w:t>
      </w:r>
      <w:r w:rsidR="00852F1F" w:rsidRPr="00BE5472">
        <w:rPr>
          <w:rFonts w:ascii="Times New Roman" w:hAnsi="Times New Roman" w:cs="Times New Roman"/>
          <w:sz w:val="24"/>
          <w:szCs w:val="24"/>
        </w:rPr>
        <w:t>T</w:t>
      </w:r>
      <w:r w:rsidRPr="00BE5472">
        <w:rPr>
          <w:rFonts w:ascii="Times New Roman" w:hAnsi="Times New Roman" w:cs="Times New Roman"/>
          <w:sz w:val="24"/>
          <w:szCs w:val="24"/>
        </w:rPr>
        <w:t>ablica 31 koja za svaki motiv i čimbenik prikazuje aritmetičku sredinu kao pokazatelj percipirane važnosti te linearno ponderirani indeks suglasnosti kao mjeru slaganja među stručnjacima, pri čemu su rezultati grupirani prema pojedinim fazama procesa spajanja i preuzimanja u hrvatskom hotelijerstvu.</w:t>
      </w:r>
    </w:p>
    <w:p w14:paraId="2B0C9A10" w14:textId="506D8395" w:rsidR="00945DAC" w:rsidRPr="00E1098E" w:rsidRDefault="00E1098E" w:rsidP="00E1098E">
      <w:pPr>
        <w:pStyle w:val="Caption"/>
        <w:rPr>
          <w:rFonts w:ascii="Times New Roman" w:hAnsi="Times New Roman" w:cs="Times New Roman"/>
          <w:sz w:val="24"/>
          <w:szCs w:val="24"/>
          <w:lang w:val="it-IT"/>
        </w:rPr>
      </w:pPr>
      <w:bookmarkStart w:id="180" w:name="_Toc241865225"/>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31</w:t>
      </w:r>
      <w:r w:rsidRPr="00E1098E">
        <w:rPr>
          <w:rFonts w:ascii="Times New Roman" w:hAnsi="Times New Roman" w:cs="Times New Roman"/>
          <w:sz w:val="24"/>
          <w:szCs w:val="24"/>
        </w:rPr>
        <w:fldChar w:fldCharType="end"/>
      </w:r>
      <w:r w:rsidR="00945DAC" w:rsidRPr="00E1098E">
        <w:rPr>
          <w:rFonts w:ascii="Times New Roman" w:hAnsi="Times New Roman" w:cs="Times New Roman"/>
          <w:sz w:val="24"/>
          <w:szCs w:val="24"/>
        </w:rPr>
        <w:t xml:space="preserve">: </w:t>
      </w:r>
      <w:r w:rsidR="00945DAC" w:rsidRPr="00E1098E">
        <w:rPr>
          <w:rFonts w:ascii="Times New Roman" w:hAnsi="Times New Roman" w:cs="Times New Roman"/>
          <w:sz w:val="24"/>
          <w:szCs w:val="24"/>
          <w:lang w:val="it-IT"/>
        </w:rPr>
        <w:t xml:space="preserve">Sumarni prikaz rezultata drugog ciklusa </w:t>
      </w:r>
      <w:r w:rsidR="00945DAC" w:rsidRPr="00E1098E">
        <w:rPr>
          <w:rFonts w:ascii="Times New Roman" w:hAnsi="Times New Roman" w:cs="Times New Roman"/>
          <w:i w:val="0"/>
          <w:iCs w:val="0"/>
          <w:sz w:val="24"/>
          <w:szCs w:val="24"/>
          <w:lang w:val="it-IT"/>
        </w:rPr>
        <w:t>Delphi</w:t>
      </w:r>
      <w:r w:rsidR="00945DAC" w:rsidRPr="00E1098E">
        <w:rPr>
          <w:rFonts w:ascii="Times New Roman" w:hAnsi="Times New Roman" w:cs="Times New Roman"/>
          <w:sz w:val="24"/>
          <w:szCs w:val="24"/>
          <w:lang w:val="it-IT"/>
        </w:rPr>
        <w:t xml:space="preserve"> postupka – aritmetička sredina i linearno ponderirani indeks suglasnosti po fazama procesa</w:t>
      </w:r>
      <w:bookmarkEnd w:id="180"/>
    </w:p>
    <w:tbl>
      <w:tblPr>
        <w:tblStyle w:val="TableGrid"/>
        <w:tblW w:w="0" w:type="auto"/>
        <w:tblLook w:val="04A0" w:firstRow="1" w:lastRow="0" w:firstColumn="1" w:lastColumn="0" w:noHBand="0" w:noVBand="1"/>
      </w:tblPr>
      <w:tblGrid>
        <w:gridCol w:w="555"/>
        <w:gridCol w:w="5409"/>
        <w:gridCol w:w="1825"/>
        <w:gridCol w:w="1230"/>
      </w:tblGrid>
      <w:tr w:rsidR="00945DAC" w:rsidRPr="00BE5472" w14:paraId="2CE5717F" w14:textId="77777777" w:rsidTr="003C2F5B">
        <w:trPr>
          <w:trHeight w:val="747"/>
        </w:trPr>
        <w:tc>
          <w:tcPr>
            <w:tcW w:w="562" w:type="dxa"/>
          </w:tcPr>
          <w:p w14:paraId="1D7F1ACD" w14:textId="77777777" w:rsidR="00945DAC" w:rsidRPr="00BE5472" w:rsidRDefault="00945DAC" w:rsidP="003C2F5B">
            <w:pPr>
              <w:jc w:val="both"/>
              <w:rPr>
                <w:rFonts w:ascii="Times New Roman" w:hAnsi="Times New Roman" w:cs="Times New Roman"/>
                <w:b/>
                <w:sz w:val="24"/>
                <w:szCs w:val="24"/>
                <w:lang w:val="it-IT"/>
              </w:rPr>
            </w:pPr>
          </w:p>
        </w:tc>
        <w:tc>
          <w:tcPr>
            <w:tcW w:w="5662" w:type="dxa"/>
            <w:vAlign w:val="center"/>
          </w:tcPr>
          <w:p w14:paraId="3033ECC9" w14:textId="77777777" w:rsidR="00945DAC" w:rsidRPr="00BE5472" w:rsidRDefault="00945DAC" w:rsidP="003C2F5B">
            <w:pPr>
              <w:jc w:val="center"/>
              <w:rPr>
                <w:rFonts w:ascii="Times New Roman" w:hAnsi="Times New Roman" w:cs="Times New Roman"/>
                <w:b/>
                <w:sz w:val="24"/>
                <w:szCs w:val="24"/>
                <w:lang w:val="it-IT"/>
              </w:rPr>
            </w:pPr>
            <w:r w:rsidRPr="00BE5472">
              <w:rPr>
                <w:rFonts w:ascii="Times New Roman" w:hAnsi="Times New Roman" w:cs="Times New Roman"/>
                <w:b/>
                <w:sz w:val="24"/>
                <w:szCs w:val="24"/>
                <w:lang w:val="it-IT"/>
              </w:rPr>
              <w:t>Motivi i čimbenici u svim fazama procesa spajanja i preuzimanja</w:t>
            </w:r>
          </w:p>
        </w:tc>
        <w:tc>
          <w:tcPr>
            <w:tcW w:w="1853" w:type="dxa"/>
            <w:vAlign w:val="center"/>
          </w:tcPr>
          <w:p w14:paraId="530FAB58" w14:textId="77777777" w:rsidR="00945DAC" w:rsidRPr="00BE5472" w:rsidRDefault="00945DAC" w:rsidP="003C2F5B">
            <w:pPr>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Linearno ponderirani indeks suglasnosti</w:t>
            </w:r>
          </w:p>
        </w:tc>
        <w:tc>
          <w:tcPr>
            <w:tcW w:w="1273" w:type="dxa"/>
            <w:vAlign w:val="center"/>
          </w:tcPr>
          <w:p w14:paraId="1B2D1E05" w14:textId="77777777" w:rsidR="00945DAC" w:rsidRPr="00BE5472" w:rsidRDefault="00945DAC" w:rsidP="003C2F5B">
            <w:pPr>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M</w:t>
            </w:r>
          </w:p>
        </w:tc>
      </w:tr>
      <w:tr w:rsidR="00945DAC" w:rsidRPr="00BE5472" w14:paraId="21A0A272" w14:textId="77777777" w:rsidTr="003C2F5B">
        <w:trPr>
          <w:trHeight w:val="747"/>
        </w:trPr>
        <w:tc>
          <w:tcPr>
            <w:tcW w:w="9350" w:type="dxa"/>
            <w:gridSpan w:val="4"/>
          </w:tcPr>
          <w:p w14:paraId="793FDA24" w14:textId="77777777" w:rsidR="00945DAC" w:rsidRPr="00BE5472" w:rsidRDefault="00945DAC" w:rsidP="003C2F5B">
            <w:pPr>
              <w:jc w:val="both"/>
              <w:rPr>
                <w:rFonts w:ascii="Times New Roman" w:hAnsi="Times New Roman" w:cs="Times New Roman"/>
                <w:b/>
                <w:sz w:val="24"/>
                <w:szCs w:val="24"/>
              </w:rPr>
            </w:pPr>
            <w:r w:rsidRPr="00BE5472">
              <w:rPr>
                <w:rFonts w:ascii="Times New Roman" w:hAnsi="Times New Roman" w:cs="Times New Roman"/>
                <w:b/>
                <w:caps/>
                <w:sz w:val="24"/>
                <w:szCs w:val="24"/>
              </w:rPr>
              <w:t>Motivi za pokretanje procesa spajanja i preuzimanja u hrvatskom hotelijerstvu</w:t>
            </w:r>
          </w:p>
        </w:tc>
      </w:tr>
      <w:tr w:rsidR="00945DAC" w:rsidRPr="00BE5472" w14:paraId="2C95D3B9" w14:textId="77777777" w:rsidTr="003C2F5B">
        <w:trPr>
          <w:trHeight w:val="448"/>
        </w:trPr>
        <w:tc>
          <w:tcPr>
            <w:tcW w:w="562" w:type="dxa"/>
            <w:vAlign w:val="center"/>
          </w:tcPr>
          <w:p w14:paraId="2A84C38F"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w:t>
            </w:r>
          </w:p>
        </w:tc>
        <w:tc>
          <w:tcPr>
            <w:tcW w:w="5662" w:type="dxa"/>
            <w:vAlign w:val="center"/>
          </w:tcPr>
          <w:p w14:paraId="424F1E1D"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Osiguranje održivog rast poduzeća preuzimatelja</w:t>
            </w:r>
          </w:p>
        </w:tc>
        <w:tc>
          <w:tcPr>
            <w:tcW w:w="1853" w:type="dxa"/>
            <w:vAlign w:val="center"/>
          </w:tcPr>
          <w:p w14:paraId="70431E3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59EB227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32BD7D49" w14:textId="77777777" w:rsidTr="003C2F5B">
        <w:trPr>
          <w:trHeight w:val="448"/>
        </w:trPr>
        <w:tc>
          <w:tcPr>
            <w:tcW w:w="562" w:type="dxa"/>
            <w:vAlign w:val="center"/>
          </w:tcPr>
          <w:p w14:paraId="0AE8254B"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w:t>
            </w:r>
          </w:p>
        </w:tc>
        <w:tc>
          <w:tcPr>
            <w:tcW w:w="5662" w:type="dxa"/>
            <w:vAlign w:val="center"/>
          </w:tcPr>
          <w:p w14:paraId="06EB73DC"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Povećanje tržišnog udjela poduzeća preuzimatelja</w:t>
            </w:r>
          </w:p>
        </w:tc>
        <w:tc>
          <w:tcPr>
            <w:tcW w:w="1853" w:type="dxa"/>
            <w:vAlign w:val="center"/>
          </w:tcPr>
          <w:p w14:paraId="11C8689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5060F5A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4AAC6CB8" w14:textId="77777777" w:rsidTr="003C2F5B">
        <w:trPr>
          <w:trHeight w:val="1047"/>
        </w:trPr>
        <w:tc>
          <w:tcPr>
            <w:tcW w:w="562" w:type="dxa"/>
            <w:vAlign w:val="center"/>
          </w:tcPr>
          <w:p w14:paraId="2A7C1D0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w:t>
            </w:r>
          </w:p>
        </w:tc>
        <w:tc>
          <w:tcPr>
            <w:tcW w:w="5662" w:type="dxa"/>
            <w:vAlign w:val="center"/>
          </w:tcPr>
          <w:p w14:paraId="767288A1"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Proširivanje tržišnih segmenata (baze kupaca) poduzeća preuzimatelja širenjem ponude na postojećem ili novom tržištu – destinaciji</w:t>
            </w:r>
          </w:p>
        </w:tc>
        <w:tc>
          <w:tcPr>
            <w:tcW w:w="1853" w:type="dxa"/>
            <w:vAlign w:val="center"/>
          </w:tcPr>
          <w:p w14:paraId="22F088B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0.90</w:t>
            </w:r>
          </w:p>
        </w:tc>
        <w:tc>
          <w:tcPr>
            <w:tcW w:w="1273" w:type="dxa"/>
            <w:vAlign w:val="center"/>
          </w:tcPr>
          <w:p w14:paraId="00B8C00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170AB21B" w14:textId="77777777" w:rsidTr="003C2F5B">
        <w:trPr>
          <w:trHeight w:val="1047"/>
        </w:trPr>
        <w:tc>
          <w:tcPr>
            <w:tcW w:w="562" w:type="dxa"/>
            <w:vAlign w:val="center"/>
          </w:tcPr>
          <w:p w14:paraId="53D398F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w:t>
            </w:r>
          </w:p>
        </w:tc>
        <w:tc>
          <w:tcPr>
            <w:tcW w:w="5662" w:type="dxa"/>
            <w:vAlign w:val="center"/>
          </w:tcPr>
          <w:p w14:paraId="779F79DE"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Povećanje kapaciteta pouzeća preuzimatelja (uz manje kapitalne i operativne troškove nego li što bi to bilo u slučaju izgradnje novih vlastitih objekata)</w:t>
            </w:r>
          </w:p>
        </w:tc>
        <w:tc>
          <w:tcPr>
            <w:tcW w:w="1853" w:type="dxa"/>
            <w:vAlign w:val="center"/>
          </w:tcPr>
          <w:p w14:paraId="3C13207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44D0BDB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279C355C" w14:textId="77777777" w:rsidTr="003C2F5B">
        <w:trPr>
          <w:trHeight w:val="448"/>
        </w:trPr>
        <w:tc>
          <w:tcPr>
            <w:tcW w:w="562" w:type="dxa"/>
            <w:vAlign w:val="center"/>
          </w:tcPr>
          <w:p w14:paraId="105F7820"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5</w:t>
            </w:r>
          </w:p>
        </w:tc>
        <w:tc>
          <w:tcPr>
            <w:tcW w:w="5662" w:type="dxa"/>
            <w:vAlign w:val="center"/>
          </w:tcPr>
          <w:p w14:paraId="39900D96"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Jačanje marke i reputacije poduzeća preuzimatelja</w:t>
            </w:r>
          </w:p>
        </w:tc>
        <w:tc>
          <w:tcPr>
            <w:tcW w:w="1853" w:type="dxa"/>
            <w:vAlign w:val="center"/>
          </w:tcPr>
          <w:p w14:paraId="6666028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727C5A2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53BC12F8" w14:textId="77777777" w:rsidTr="003C2F5B">
        <w:trPr>
          <w:trHeight w:val="448"/>
        </w:trPr>
        <w:tc>
          <w:tcPr>
            <w:tcW w:w="562" w:type="dxa"/>
            <w:vAlign w:val="center"/>
          </w:tcPr>
          <w:p w14:paraId="2EB7C92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6</w:t>
            </w:r>
          </w:p>
        </w:tc>
        <w:tc>
          <w:tcPr>
            <w:tcW w:w="5662" w:type="dxa"/>
            <w:vAlign w:val="center"/>
          </w:tcPr>
          <w:p w14:paraId="5BAC1ED4"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Nemogućnost internog rasta</w:t>
            </w:r>
          </w:p>
        </w:tc>
        <w:tc>
          <w:tcPr>
            <w:tcW w:w="1853" w:type="dxa"/>
            <w:vAlign w:val="center"/>
          </w:tcPr>
          <w:p w14:paraId="7527800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0.08</w:t>
            </w:r>
          </w:p>
        </w:tc>
        <w:tc>
          <w:tcPr>
            <w:tcW w:w="1273" w:type="dxa"/>
            <w:vAlign w:val="center"/>
          </w:tcPr>
          <w:p w14:paraId="07689F8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945DAC" w:rsidRPr="00BE5472" w14:paraId="63D83CDD" w14:textId="77777777" w:rsidTr="003C2F5B">
        <w:trPr>
          <w:trHeight w:val="463"/>
        </w:trPr>
        <w:tc>
          <w:tcPr>
            <w:tcW w:w="562" w:type="dxa"/>
            <w:vAlign w:val="center"/>
          </w:tcPr>
          <w:p w14:paraId="71309EA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7</w:t>
            </w:r>
          </w:p>
        </w:tc>
        <w:tc>
          <w:tcPr>
            <w:tcW w:w="5662" w:type="dxa"/>
            <w:vAlign w:val="center"/>
          </w:tcPr>
          <w:p w14:paraId="7142DEA7"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Zaokruživanje ciklusa unutar industrije</w:t>
            </w:r>
          </w:p>
        </w:tc>
        <w:tc>
          <w:tcPr>
            <w:tcW w:w="1853" w:type="dxa"/>
            <w:vAlign w:val="center"/>
          </w:tcPr>
          <w:p w14:paraId="2D64AE3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0A7C766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3.33</w:t>
            </w:r>
          </w:p>
        </w:tc>
      </w:tr>
      <w:tr w:rsidR="00945DAC" w:rsidRPr="00BE5472" w14:paraId="1F0E9E9A" w14:textId="77777777" w:rsidTr="003C2F5B">
        <w:trPr>
          <w:trHeight w:val="448"/>
        </w:trPr>
        <w:tc>
          <w:tcPr>
            <w:tcW w:w="9350" w:type="dxa"/>
            <w:gridSpan w:val="4"/>
          </w:tcPr>
          <w:p w14:paraId="79A3E17E" w14:textId="77777777" w:rsidR="00945DAC" w:rsidRPr="00BE5472" w:rsidRDefault="00945DAC" w:rsidP="003C2F5B">
            <w:pPr>
              <w:jc w:val="center"/>
              <w:rPr>
                <w:rFonts w:ascii="Times New Roman" w:hAnsi="Times New Roman" w:cs="Times New Roman"/>
                <w:sz w:val="24"/>
                <w:szCs w:val="24"/>
              </w:rPr>
            </w:pPr>
            <w:r w:rsidRPr="00BE5472">
              <w:rPr>
                <w:rFonts w:ascii="Times New Roman" w:hAnsi="Times New Roman" w:cs="Times New Roman"/>
                <w:b/>
                <w:sz w:val="24"/>
                <w:szCs w:val="24"/>
              </w:rPr>
              <w:t>KLJUČNI ČIMBENICI USPJEHA PROCESA SPAJANJA I PREUZIMANJA PRIJE PREUZIMANJA PODUZEĆA METE</w:t>
            </w:r>
          </w:p>
        </w:tc>
      </w:tr>
      <w:tr w:rsidR="00945DAC" w:rsidRPr="00BE5472" w14:paraId="05D31AA9" w14:textId="77777777" w:rsidTr="003C2F5B">
        <w:trPr>
          <w:trHeight w:val="448"/>
        </w:trPr>
        <w:tc>
          <w:tcPr>
            <w:tcW w:w="562" w:type="dxa"/>
            <w:vAlign w:val="center"/>
          </w:tcPr>
          <w:p w14:paraId="0EE74F4B"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8</w:t>
            </w:r>
          </w:p>
        </w:tc>
        <w:tc>
          <w:tcPr>
            <w:tcW w:w="5662" w:type="dxa"/>
            <w:vAlign w:val="center"/>
          </w:tcPr>
          <w:p w14:paraId="5AD99F73"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Dobro poznavanje regulative i propisa</w:t>
            </w:r>
          </w:p>
        </w:tc>
        <w:tc>
          <w:tcPr>
            <w:tcW w:w="1853" w:type="dxa"/>
            <w:vAlign w:val="center"/>
          </w:tcPr>
          <w:p w14:paraId="69C6E940"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0.56</w:t>
            </w:r>
          </w:p>
        </w:tc>
        <w:tc>
          <w:tcPr>
            <w:tcW w:w="1273" w:type="dxa"/>
            <w:vAlign w:val="center"/>
          </w:tcPr>
          <w:p w14:paraId="0EEF1A5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18B0A960" w14:textId="77777777" w:rsidTr="003C2F5B">
        <w:trPr>
          <w:trHeight w:val="1047"/>
        </w:trPr>
        <w:tc>
          <w:tcPr>
            <w:tcW w:w="562" w:type="dxa"/>
            <w:vAlign w:val="center"/>
          </w:tcPr>
          <w:p w14:paraId="0EB273B4"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9</w:t>
            </w:r>
          </w:p>
        </w:tc>
        <w:tc>
          <w:tcPr>
            <w:tcW w:w="5662" w:type="dxa"/>
            <w:vAlign w:val="center"/>
          </w:tcPr>
          <w:p w14:paraId="6F0D7D9B"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Dobra procjena potencijalne operativne sinergije poduzeća mete na poduzeće preuzimatelja </w:t>
            </w:r>
            <w:r w:rsidRPr="00BE5472">
              <w:rPr>
                <w:rFonts w:ascii="Times New Roman" w:hAnsi="Times New Roman" w:cs="Times New Roman"/>
                <w:sz w:val="24"/>
                <w:szCs w:val="24"/>
                <w:lang w:val="en-GB"/>
              </w:rPr>
              <w:br/>
              <w:t>(tj. poboljšanu operativnu učinkovitost)</w:t>
            </w:r>
          </w:p>
        </w:tc>
        <w:tc>
          <w:tcPr>
            <w:tcW w:w="1853" w:type="dxa"/>
            <w:vAlign w:val="center"/>
          </w:tcPr>
          <w:p w14:paraId="73988C8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3E5331F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945DAC" w:rsidRPr="00BE5472" w14:paraId="7104E7AA" w14:textId="77777777" w:rsidTr="003C2F5B">
        <w:trPr>
          <w:trHeight w:val="747"/>
        </w:trPr>
        <w:tc>
          <w:tcPr>
            <w:tcW w:w="562" w:type="dxa"/>
            <w:vAlign w:val="center"/>
          </w:tcPr>
          <w:p w14:paraId="4C5E76C8"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10</w:t>
            </w:r>
          </w:p>
        </w:tc>
        <w:tc>
          <w:tcPr>
            <w:tcW w:w="5662" w:type="dxa"/>
            <w:vAlign w:val="center"/>
          </w:tcPr>
          <w:p w14:paraId="5EFFA541"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Imidž turističke destinacije u kojoj posluje poduzeće meta</w:t>
            </w:r>
          </w:p>
        </w:tc>
        <w:tc>
          <w:tcPr>
            <w:tcW w:w="1853" w:type="dxa"/>
            <w:vAlign w:val="center"/>
          </w:tcPr>
          <w:p w14:paraId="10739D3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3E62D7F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63C896E6" w14:textId="77777777" w:rsidTr="003C2F5B">
        <w:trPr>
          <w:trHeight w:val="448"/>
        </w:trPr>
        <w:tc>
          <w:tcPr>
            <w:tcW w:w="562" w:type="dxa"/>
            <w:vAlign w:val="center"/>
          </w:tcPr>
          <w:p w14:paraId="64384E0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11</w:t>
            </w:r>
          </w:p>
        </w:tc>
        <w:tc>
          <w:tcPr>
            <w:tcW w:w="5662" w:type="dxa"/>
            <w:vAlign w:val="center"/>
          </w:tcPr>
          <w:p w14:paraId="5F166AB0"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Lokacija poduzeća mete </w:t>
            </w:r>
          </w:p>
        </w:tc>
        <w:tc>
          <w:tcPr>
            <w:tcW w:w="1853" w:type="dxa"/>
            <w:vAlign w:val="center"/>
          </w:tcPr>
          <w:p w14:paraId="7A07BD5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15F7F040"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72B47005" w14:textId="77777777" w:rsidTr="003C2F5B">
        <w:trPr>
          <w:trHeight w:val="448"/>
        </w:trPr>
        <w:tc>
          <w:tcPr>
            <w:tcW w:w="562" w:type="dxa"/>
            <w:vAlign w:val="center"/>
          </w:tcPr>
          <w:p w14:paraId="2151D29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12</w:t>
            </w:r>
          </w:p>
        </w:tc>
        <w:tc>
          <w:tcPr>
            <w:tcW w:w="5662" w:type="dxa"/>
            <w:vAlign w:val="center"/>
          </w:tcPr>
          <w:p w14:paraId="5B09C1CD"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Dubinsko snimanje poduzeća mete </w:t>
            </w:r>
          </w:p>
        </w:tc>
        <w:tc>
          <w:tcPr>
            <w:tcW w:w="1853" w:type="dxa"/>
            <w:vAlign w:val="center"/>
          </w:tcPr>
          <w:p w14:paraId="205CBD7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20DDA94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018339A4" w14:textId="77777777" w:rsidTr="003C2F5B">
        <w:trPr>
          <w:trHeight w:val="448"/>
        </w:trPr>
        <w:tc>
          <w:tcPr>
            <w:tcW w:w="562" w:type="dxa"/>
            <w:vAlign w:val="center"/>
          </w:tcPr>
          <w:p w14:paraId="0F3A5E7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13</w:t>
            </w:r>
          </w:p>
        </w:tc>
        <w:tc>
          <w:tcPr>
            <w:tcW w:w="5662" w:type="dxa"/>
            <w:vAlign w:val="center"/>
          </w:tcPr>
          <w:p w14:paraId="4D479FD3"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Vlasnička struktura poduzeća mete</w:t>
            </w:r>
          </w:p>
        </w:tc>
        <w:tc>
          <w:tcPr>
            <w:tcW w:w="1853" w:type="dxa"/>
            <w:vAlign w:val="center"/>
          </w:tcPr>
          <w:p w14:paraId="4FCB474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0.31</w:t>
            </w:r>
          </w:p>
        </w:tc>
        <w:tc>
          <w:tcPr>
            <w:tcW w:w="1273" w:type="dxa"/>
            <w:vAlign w:val="center"/>
          </w:tcPr>
          <w:p w14:paraId="44796E2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945DAC" w:rsidRPr="00BE5472" w14:paraId="31CD7BD9" w14:textId="77777777" w:rsidTr="003C2F5B">
        <w:trPr>
          <w:trHeight w:val="448"/>
        </w:trPr>
        <w:tc>
          <w:tcPr>
            <w:tcW w:w="562" w:type="dxa"/>
            <w:vAlign w:val="center"/>
          </w:tcPr>
          <w:p w14:paraId="224704E6"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14</w:t>
            </w:r>
          </w:p>
        </w:tc>
        <w:tc>
          <w:tcPr>
            <w:tcW w:w="5662" w:type="dxa"/>
            <w:vAlign w:val="center"/>
          </w:tcPr>
          <w:p w14:paraId="1993A780"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Preliminarni razgovori u poduzeću meti</w:t>
            </w:r>
          </w:p>
        </w:tc>
        <w:tc>
          <w:tcPr>
            <w:tcW w:w="1853" w:type="dxa"/>
            <w:vAlign w:val="center"/>
          </w:tcPr>
          <w:p w14:paraId="508DA47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0.56</w:t>
            </w:r>
          </w:p>
        </w:tc>
        <w:tc>
          <w:tcPr>
            <w:tcW w:w="1273" w:type="dxa"/>
            <w:vAlign w:val="center"/>
          </w:tcPr>
          <w:p w14:paraId="64EB4BF2"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945DAC" w:rsidRPr="00BE5472" w14:paraId="328D05DB" w14:textId="77777777" w:rsidTr="003C2F5B">
        <w:trPr>
          <w:trHeight w:val="1047"/>
        </w:trPr>
        <w:tc>
          <w:tcPr>
            <w:tcW w:w="562" w:type="dxa"/>
            <w:vAlign w:val="center"/>
          </w:tcPr>
          <w:p w14:paraId="3315141E"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15</w:t>
            </w:r>
          </w:p>
        </w:tc>
        <w:tc>
          <w:tcPr>
            <w:tcW w:w="5662" w:type="dxa"/>
            <w:vAlign w:val="center"/>
          </w:tcPr>
          <w:p w14:paraId="4AB18609"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Trend glavnih hotelskih pokazatelje uspješnosti poduzeća mete (popunjenost, RevPAR, slobodni novčani tijek i ADR)</w:t>
            </w:r>
          </w:p>
        </w:tc>
        <w:tc>
          <w:tcPr>
            <w:tcW w:w="1853" w:type="dxa"/>
            <w:vAlign w:val="center"/>
          </w:tcPr>
          <w:p w14:paraId="176FD78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38ABD16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3.83</w:t>
            </w:r>
          </w:p>
        </w:tc>
      </w:tr>
      <w:tr w:rsidR="00945DAC" w:rsidRPr="00BE5472" w14:paraId="4EBED28B" w14:textId="77777777" w:rsidTr="003C2F5B">
        <w:trPr>
          <w:trHeight w:val="747"/>
        </w:trPr>
        <w:tc>
          <w:tcPr>
            <w:tcW w:w="562" w:type="dxa"/>
            <w:vAlign w:val="center"/>
          </w:tcPr>
          <w:p w14:paraId="67266731"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16</w:t>
            </w:r>
          </w:p>
        </w:tc>
        <w:tc>
          <w:tcPr>
            <w:tcW w:w="5662" w:type="dxa"/>
            <w:vAlign w:val="center"/>
          </w:tcPr>
          <w:p w14:paraId="4751AB53"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Trend glavnih računovodstvenih pokazatelja uspješnosti poduzeća mete </w:t>
            </w:r>
          </w:p>
        </w:tc>
        <w:tc>
          <w:tcPr>
            <w:tcW w:w="1853" w:type="dxa"/>
            <w:vAlign w:val="center"/>
          </w:tcPr>
          <w:p w14:paraId="232677E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0.33</w:t>
            </w:r>
          </w:p>
        </w:tc>
        <w:tc>
          <w:tcPr>
            <w:tcW w:w="1273" w:type="dxa"/>
            <w:vAlign w:val="center"/>
          </w:tcPr>
          <w:p w14:paraId="15D2B03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3.33</w:t>
            </w:r>
          </w:p>
        </w:tc>
      </w:tr>
      <w:tr w:rsidR="00945DAC" w:rsidRPr="00BE5472" w14:paraId="1CAC97F1" w14:textId="77777777" w:rsidTr="003C2F5B">
        <w:trPr>
          <w:trHeight w:val="747"/>
        </w:trPr>
        <w:tc>
          <w:tcPr>
            <w:tcW w:w="562" w:type="dxa"/>
            <w:vAlign w:val="center"/>
          </w:tcPr>
          <w:p w14:paraId="09A010EA"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17</w:t>
            </w:r>
          </w:p>
        </w:tc>
        <w:tc>
          <w:tcPr>
            <w:tcW w:w="5662" w:type="dxa"/>
            <w:vAlign w:val="center"/>
          </w:tcPr>
          <w:p w14:paraId="5CB5A27E"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Potreba kapitalnih izdataka kod poduzeća mete (npr. potencijalni troškovi obnove nekretnina)</w:t>
            </w:r>
          </w:p>
        </w:tc>
        <w:tc>
          <w:tcPr>
            <w:tcW w:w="1853" w:type="dxa"/>
            <w:vAlign w:val="center"/>
          </w:tcPr>
          <w:p w14:paraId="3F27B28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70F907C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671E79F8" w14:textId="77777777" w:rsidTr="003C2F5B">
        <w:trPr>
          <w:trHeight w:val="747"/>
        </w:trPr>
        <w:tc>
          <w:tcPr>
            <w:tcW w:w="562" w:type="dxa"/>
            <w:vAlign w:val="center"/>
          </w:tcPr>
          <w:p w14:paraId="244DBE0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18</w:t>
            </w:r>
          </w:p>
        </w:tc>
        <w:tc>
          <w:tcPr>
            <w:tcW w:w="5662" w:type="dxa"/>
            <w:vAlign w:val="center"/>
          </w:tcPr>
          <w:p w14:paraId="557F3B2D"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Potencijalni učinak na jačanje marke i reputacije poduzeća preuzimatelja</w:t>
            </w:r>
          </w:p>
        </w:tc>
        <w:tc>
          <w:tcPr>
            <w:tcW w:w="1853" w:type="dxa"/>
            <w:vAlign w:val="center"/>
          </w:tcPr>
          <w:p w14:paraId="0D0E0F22"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6F67406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236D0590" w14:textId="77777777" w:rsidTr="003C2F5B">
        <w:trPr>
          <w:trHeight w:val="747"/>
        </w:trPr>
        <w:tc>
          <w:tcPr>
            <w:tcW w:w="562" w:type="dxa"/>
            <w:vAlign w:val="center"/>
          </w:tcPr>
          <w:p w14:paraId="173A151C"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19</w:t>
            </w:r>
          </w:p>
        </w:tc>
        <w:tc>
          <w:tcPr>
            <w:tcW w:w="5662" w:type="dxa"/>
            <w:vAlign w:val="center"/>
          </w:tcPr>
          <w:p w14:paraId="2A4889DF"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Strateška povezanost između poduzeća preuzimatelja i poduzeća mete </w:t>
            </w:r>
          </w:p>
        </w:tc>
        <w:tc>
          <w:tcPr>
            <w:tcW w:w="1853" w:type="dxa"/>
            <w:vAlign w:val="center"/>
          </w:tcPr>
          <w:p w14:paraId="3BDDFA6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4DDC9C82"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38941C21" w14:textId="77777777" w:rsidTr="003C2F5B">
        <w:trPr>
          <w:trHeight w:val="1047"/>
        </w:trPr>
        <w:tc>
          <w:tcPr>
            <w:tcW w:w="562" w:type="dxa"/>
            <w:vAlign w:val="center"/>
          </w:tcPr>
          <w:p w14:paraId="287B3317"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20</w:t>
            </w:r>
          </w:p>
        </w:tc>
        <w:tc>
          <w:tcPr>
            <w:tcW w:w="5662" w:type="dxa"/>
            <w:vAlign w:val="center"/>
          </w:tcPr>
          <w:p w14:paraId="1963C1AA"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Sadašnja vrijednost očekivanih sinergija preuzimanja za poduzeće preuzimatelja će biti veća od plaćenih premija </w:t>
            </w:r>
          </w:p>
        </w:tc>
        <w:tc>
          <w:tcPr>
            <w:tcW w:w="1853" w:type="dxa"/>
            <w:vAlign w:val="center"/>
          </w:tcPr>
          <w:p w14:paraId="2309551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38127EB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557CBA2D" w14:textId="77777777" w:rsidTr="003C2F5B">
        <w:trPr>
          <w:trHeight w:val="448"/>
        </w:trPr>
        <w:tc>
          <w:tcPr>
            <w:tcW w:w="562" w:type="dxa"/>
            <w:vAlign w:val="center"/>
          </w:tcPr>
          <w:p w14:paraId="2507FC2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21</w:t>
            </w:r>
          </w:p>
        </w:tc>
        <w:tc>
          <w:tcPr>
            <w:tcW w:w="5662" w:type="dxa"/>
            <w:vAlign w:val="center"/>
          </w:tcPr>
          <w:p w14:paraId="3E620A30"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Iznos akvizicijske premije </w:t>
            </w:r>
          </w:p>
        </w:tc>
        <w:tc>
          <w:tcPr>
            <w:tcW w:w="1853" w:type="dxa"/>
            <w:vAlign w:val="center"/>
          </w:tcPr>
          <w:p w14:paraId="522DA3F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3BF8DE80"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945DAC" w:rsidRPr="00BE5472" w14:paraId="57108AC4" w14:textId="77777777" w:rsidTr="003C2F5B">
        <w:trPr>
          <w:trHeight w:val="747"/>
        </w:trPr>
        <w:tc>
          <w:tcPr>
            <w:tcW w:w="562" w:type="dxa"/>
            <w:vAlign w:val="center"/>
          </w:tcPr>
          <w:p w14:paraId="2CFF3CD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22</w:t>
            </w:r>
          </w:p>
        </w:tc>
        <w:tc>
          <w:tcPr>
            <w:tcW w:w="5662" w:type="dxa"/>
            <w:vAlign w:val="center"/>
          </w:tcPr>
          <w:p w14:paraId="56CE04E8"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Način akvizicije (npr. spajanje, neprijateljsko preuzimanje, itd.)</w:t>
            </w:r>
          </w:p>
        </w:tc>
        <w:tc>
          <w:tcPr>
            <w:tcW w:w="1853" w:type="dxa"/>
            <w:vAlign w:val="center"/>
          </w:tcPr>
          <w:p w14:paraId="389F1B5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0.00</w:t>
            </w:r>
          </w:p>
        </w:tc>
        <w:tc>
          <w:tcPr>
            <w:tcW w:w="1273" w:type="dxa"/>
            <w:vAlign w:val="center"/>
          </w:tcPr>
          <w:p w14:paraId="4AE8910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2C9C507E" w14:textId="77777777" w:rsidTr="003C2F5B">
        <w:trPr>
          <w:trHeight w:val="1047"/>
        </w:trPr>
        <w:tc>
          <w:tcPr>
            <w:tcW w:w="562" w:type="dxa"/>
            <w:vAlign w:val="center"/>
          </w:tcPr>
          <w:p w14:paraId="30A85726"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23</w:t>
            </w:r>
          </w:p>
        </w:tc>
        <w:tc>
          <w:tcPr>
            <w:tcW w:w="5662" w:type="dxa"/>
            <w:vAlign w:val="center"/>
          </w:tcPr>
          <w:p w14:paraId="45240D65"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Potencijalna upravljačka sinergija (tj. poboljšani konkurentni položaj poduzeća mete prijenosom upravljačkog znanja poduzeća preuzimatelja)</w:t>
            </w:r>
          </w:p>
        </w:tc>
        <w:tc>
          <w:tcPr>
            <w:tcW w:w="1853" w:type="dxa"/>
            <w:vAlign w:val="center"/>
          </w:tcPr>
          <w:p w14:paraId="1322A53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3328504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4274C853" w14:textId="77777777" w:rsidTr="003C2F5B">
        <w:trPr>
          <w:trHeight w:val="747"/>
        </w:trPr>
        <w:tc>
          <w:tcPr>
            <w:tcW w:w="562" w:type="dxa"/>
            <w:vAlign w:val="center"/>
          </w:tcPr>
          <w:p w14:paraId="03C8BB0F"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24</w:t>
            </w:r>
          </w:p>
        </w:tc>
        <w:tc>
          <w:tcPr>
            <w:tcW w:w="5662" w:type="dxa"/>
            <w:vAlign w:val="center"/>
          </w:tcPr>
          <w:p w14:paraId="46BCD44A"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Potencijalna financijska sinergija akvizicije (npr. niži troškovi kapitala, niza poreznu stopu)</w:t>
            </w:r>
          </w:p>
        </w:tc>
        <w:tc>
          <w:tcPr>
            <w:tcW w:w="1853" w:type="dxa"/>
            <w:vAlign w:val="center"/>
          </w:tcPr>
          <w:p w14:paraId="5528EA4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1DB1A0D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35CE7345" w14:textId="77777777" w:rsidTr="003C2F5B">
        <w:trPr>
          <w:trHeight w:val="747"/>
        </w:trPr>
        <w:tc>
          <w:tcPr>
            <w:tcW w:w="562" w:type="dxa"/>
            <w:vAlign w:val="center"/>
          </w:tcPr>
          <w:p w14:paraId="1535FF0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25</w:t>
            </w:r>
          </w:p>
        </w:tc>
        <w:tc>
          <w:tcPr>
            <w:tcW w:w="5662" w:type="dxa"/>
            <w:vAlign w:val="center"/>
          </w:tcPr>
          <w:p w14:paraId="53859871"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Cijena ponude (akvizicije) temelji se na konkurentnom položaju poduzeća mete u hotelskom sektoru</w:t>
            </w:r>
          </w:p>
        </w:tc>
        <w:tc>
          <w:tcPr>
            <w:tcW w:w="1853" w:type="dxa"/>
            <w:vAlign w:val="center"/>
          </w:tcPr>
          <w:p w14:paraId="47360C4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7F81E8D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69941FCA" w14:textId="77777777" w:rsidTr="003C2F5B">
        <w:trPr>
          <w:trHeight w:val="747"/>
        </w:trPr>
        <w:tc>
          <w:tcPr>
            <w:tcW w:w="562" w:type="dxa"/>
            <w:vAlign w:val="center"/>
          </w:tcPr>
          <w:p w14:paraId="4C28FEF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26</w:t>
            </w:r>
          </w:p>
        </w:tc>
        <w:tc>
          <w:tcPr>
            <w:tcW w:w="5662" w:type="dxa"/>
            <w:vAlign w:val="center"/>
          </w:tcPr>
          <w:p w14:paraId="5BC984CC"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Identifikacija karakterističnih aspekata organizacijske kulture mete u usporedbi s poduzećem preuzimateljem</w:t>
            </w:r>
          </w:p>
        </w:tc>
        <w:tc>
          <w:tcPr>
            <w:tcW w:w="1853" w:type="dxa"/>
            <w:vAlign w:val="center"/>
          </w:tcPr>
          <w:p w14:paraId="5CF85BC0"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0.56</w:t>
            </w:r>
          </w:p>
        </w:tc>
        <w:tc>
          <w:tcPr>
            <w:tcW w:w="1273" w:type="dxa"/>
            <w:vAlign w:val="center"/>
          </w:tcPr>
          <w:p w14:paraId="3EE4C63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945DAC" w:rsidRPr="00BE5472" w14:paraId="07449F8A" w14:textId="77777777" w:rsidTr="003C2F5B">
        <w:trPr>
          <w:trHeight w:val="448"/>
        </w:trPr>
        <w:tc>
          <w:tcPr>
            <w:tcW w:w="562" w:type="dxa"/>
            <w:vAlign w:val="center"/>
          </w:tcPr>
          <w:p w14:paraId="729467FD"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27</w:t>
            </w:r>
          </w:p>
        </w:tc>
        <w:tc>
          <w:tcPr>
            <w:tcW w:w="5662" w:type="dxa"/>
            <w:vAlign w:val="center"/>
          </w:tcPr>
          <w:p w14:paraId="42664C6C"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Kapitalna strukturu i troškovi kapitala poduzeća mete </w:t>
            </w:r>
          </w:p>
        </w:tc>
        <w:tc>
          <w:tcPr>
            <w:tcW w:w="1853" w:type="dxa"/>
            <w:vAlign w:val="center"/>
          </w:tcPr>
          <w:p w14:paraId="698E9A4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0.50</w:t>
            </w:r>
          </w:p>
        </w:tc>
        <w:tc>
          <w:tcPr>
            <w:tcW w:w="1273" w:type="dxa"/>
            <w:vAlign w:val="center"/>
          </w:tcPr>
          <w:p w14:paraId="1EC1AE3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518C99CC" w14:textId="77777777" w:rsidTr="003C2F5B">
        <w:trPr>
          <w:trHeight w:val="747"/>
        </w:trPr>
        <w:tc>
          <w:tcPr>
            <w:tcW w:w="562" w:type="dxa"/>
            <w:vAlign w:val="center"/>
          </w:tcPr>
          <w:p w14:paraId="6EA92FC5"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28</w:t>
            </w:r>
          </w:p>
        </w:tc>
        <w:tc>
          <w:tcPr>
            <w:tcW w:w="5662" w:type="dxa"/>
            <w:vAlign w:val="center"/>
          </w:tcPr>
          <w:p w14:paraId="6B9A9312"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Uključivanje ključnih menadžera i zaposlenika poduzeća preuzimatelja u planiranje akvizicije</w:t>
            </w:r>
          </w:p>
        </w:tc>
        <w:tc>
          <w:tcPr>
            <w:tcW w:w="1853" w:type="dxa"/>
            <w:vAlign w:val="center"/>
          </w:tcPr>
          <w:p w14:paraId="2409192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0.56</w:t>
            </w:r>
          </w:p>
        </w:tc>
        <w:tc>
          <w:tcPr>
            <w:tcW w:w="1273" w:type="dxa"/>
            <w:vAlign w:val="center"/>
          </w:tcPr>
          <w:p w14:paraId="0C1660C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945DAC" w:rsidRPr="00BE5472" w14:paraId="0D3844C4" w14:textId="77777777" w:rsidTr="003C2F5B">
        <w:trPr>
          <w:trHeight w:val="1047"/>
        </w:trPr>
        <w:tc>
          <w:tcPr>
            <w:tcW w:w="562" w:type="dxa"/>
            <w:vAlign w:val="center"/>
          </w:tcPr>
          <w:p w14:paraId="19F51495"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29</w:t>
            </w:r>
          </w:p>
        </w:tc>
        <w:tc>
          <w:tcPr>
            <w:tcW w:w="5662" w:type="dxa"/>
            <w:vAlign w:val="center"/>
          </w:tcPr>
          <w:p w14:paraId="6A235A10"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Povezanost i kompatibilnost poduzeća mete s informacijskom infrastrukturom poduzeća preuzimatelja</w:t>
            </w:r>
          </w:p>
        </w:tc>
        <w:tc>
          <w:tcPr>
            <w:tcW w:w="1853" w:type="dxa"/>
            <w:vAlign w:val="center"/>
          </w:tcPr>
          <w:p w14:paraId="6943120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4D172D7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3.17</w:t>
            </w:r>
          </w:p>
        </w:tc>
      </w:tr>
      <w:tr w:rsidR="00945DAC" w:rsidRPr="00BE5472" w14:paraId="61F457E2" w14:textId="77777777" w:rsidTr="003C2F5B">
        <w:trPr>
          <w:trHeight w:val="448"/>
        </w:trPr>
        <w:tc>
          <w:tcPr>
            <w:tcW w:w="562" w:type="dxa"/>
            <w:vAlign w:val="center"/>
          </w:tcPr>
          <w:p w14:paraId="42B2C37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30</w:t>
            </w:r>
          </w:p>
        </w:tc>
        <w:tc>
          <w:tcPr>
            <w:tcW w:w="5662" w:type="dxa"/>
            <w:vAlign w:val="center"/>
          </w:tcPr>
          <w:p w14:paraId="5F013871"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Globalna ekonomska situacija</w:t>
            </w:r>
          </w:p>
        </w:tc>
        <w:tc>
          <w:tcPr>
            <w:tcW w:w="1853" w:type="dxa"/>
            <w:vAlign w:val="center"/>
          </w:tcPr>
          <w:p w14:paraId="4CDF383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2A7B944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945DAC" w:rsidRPr="00BE5472" w14:paraId="249F8899" w14:textId="77777777" w:rsidTr="003C2F5B">
        <w:trPr>
          <w:trHeight w:val="814"/>
        </w:trPr>
        <w:tc>
          <w:tcPr>
            <w:tcW w:w="9350" w:type="dxa"/>
            <w:gridSpan w:val="4"/>
          </w:tcPr>
          <w:p w14:paraId="75DC6F1C" w14:textId="77777777" w:rsidR="00945DAC" w:rsidRPr="00BE5472" w:rsidRDefault="00945DAC" w:rsidP="003C2F5B">
            <w:pPr>
              <w:jc w:val="center"/>
              <w:rPr>
                <w:rFonts w:ascii="Times New Roman" w:hAnsi="Times New Roman" w:cs="Times New Roman"/>
                <w:sz w:val="24"/>
                <w:szCs w:val="24"/>
              </w:rPr>
            </w:pPr>
            <w:r w:rsidRPr="00BE5472">
              <w:rPr>
                <w:rFonts w:ascii="Times New Roman" w:hAnsi="Times New Roman" w:cs="Times New Roman"/>
                <w:b/>
                <w:bCs/>
                <w:sz w:val="24"/>
                <w:szCs w:val="24"/>
              </w:rPr>
              <w:t>KLJUČNI ČIMBENICI USPJEHA PROCESA SPAJANJA I PREUZIMANJA U FAZI INTEGRACIJE (NAKON PREUZIMANJA PODUZEĆA METE)</w:t>
            </w:r>
          </w:p>
        </w:tc>
      </w:tr>
      <w:tr w:rsidR="00945DAC" w:rsidRPr="00BE5472" w14:paraId="28ABDA99" w14:textId="77777777" w:rsidTr="003C2F5B">
        <w:trPr>
          <w:trHeight w:val="1346"/>
        </w:trPr>
        <w:tc>
          <w:tcPr>
            <w:tcW w:w="562" w:type="dxa"/>
            <w:vAlign w:val="center"/>
          </w:tcPr>
          <w:p w14:paraId="1748202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lastRenderedPageBreak/>
              <w:t>31</w:t>
            </w:r>
          </w:p>
        </w:tc>
        <w:tc>
          <w:tcPr>
            <w:tcW w:w="5662" w:type="dxa"/>
            <w:vAlign w:val="center"/>
          </w:tcPr>
          <w:p w14:paraId="4505AE4A"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Definiranje nove strategije razvoja poduzeća nakon akvizicije (novog zajedničkog poduzeća ili pak svakog pojedinog poduzeća koje je sudjelovalo u procesu akvizicije ako ostaju kao samostalne pravne osobe)</w:t>
            </w:r>
          </w:p>
        </w:tc>
        <w:tc>
          <w:tcPr>
            <w:tcW w:w="1853" w:type="dxa"/>
            <w:vAlign w:val="center"/>
          </w:tcPr>
          <w:p w14:paraId="05FC22F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34D69F5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945DAC" w:rsidRPr="00BE5472" w14:paraId="7C02AB6C" w14:textId="77777777" w:rsidTr="003C2F5B">
        <w:trPr>
          <w:trHeight w:val="1047"/>
        </w:trPr>
        <w:tc>
          <w:tcPr>
            <w:tcW w:w="562" w:type="dxa"/>
            <w:vAlign w:val="center"/>
          </w:tcPr>
          <w:p w14:paraId="63EDDB1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32</w:t>
            </w:r>
          </w:p>
        </w:tc>
        <w:tc>
          <w:tcPr>
            <w:tcW w:w="5662" w:type="dxa"/>
            <w:vAlign w:val="center"/>
          </w:tcPr>
          <w:p w14:paraId="36FA4A49"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Formalni plan zajedničke integracije od strane vodećih upravljačkih timova oba poduzeća (poduzeća preuzimatelja i poduzeća mete) </w:t>
            </w:r>
          </w:p>
        </w:tc>
        <w:tc>
          <w:tcPr>
            <w:tcW w:w="1853" w:type="dxa"/>
            <w:vAlign w:val="center"/>
          </w:tcPr>
          <w:p w14:paraId="3B0098F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20F8989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629F1212" w14:textId="77777777" w:rsidTr="003C2F5B">
        <w:trPr>
          <w:trHeight w:val="1346"/>
        </w:trPr>
        <w:tc>
          <w:tcPr>
            <w:tcW w:w="562" w:type="dxa"/>
            <w:vAlign w:val="center"/>
          </w:tcPr>
          <w:p w14:paraId="0D7754E2"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33</w:t>
            </w:r>
          </w:p>
        </w:tc>
        <w:tc>
          <w:tcPr>
            <w:tcW w:w="5662" w:type="dxa"/>
            <w:vAlign w:val="center"/>
          </w:tcPr>
          <w:p w14:paraId="36002550"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Detektiranje i zadržavanje ključnih zaposlenika i menadžere poduzeća mete ako poduzeća koja su sudjelovala u akvizicijskom procesu ostaju kao samostalne pravne osobe</w:t>
            </w:r>
          </w:p>
        </w:tc>
        <w:tc>
          <w:tcPr>
            <w:tcW w:w="1853" w:type="dxa"/>
            <w:vAlign w:val="center"/>
          </w:tcPr>
          <w:p w14:paraId="3EA4454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3F029F1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5EF5B80B" w14:textId="77777777" w:rsidTr="003C2F5B">
        <w:trPr>
          <w:trHeight w:val="1929"/>
        </w:trPr>
        <w:tc>
          <w:tcPr>
            <w:tcW w:w="562" w:type="dxa"/>
            <w:vAlign w:val="center"/>
          </w:tcPr>
          <w:p w14:paraId="0B852405"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34</w:t>
            </w:r>
          </w:p>
        </w:tc>
        <w:tc>
          <w:tcPr>
            <w:tcW w:w="5662" w:type="dxa"/>
            <w:vAlign w:val="center"/>
          </w:tcPr>
          <w:p w14:paraId="0DC38160"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c>
          <w:tcPr>
            <w:tcW w:w="1853" w:type="dxa"/>
            <w:vAlign w:val="center"/>
          </w:tcPr>
          <w:p w14:paraId="2047042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0.58</w:t>
            </w:r>
          </w:p>
        </w:tc>
        <w:tc>
          <w:tcPr>
            <w:tcW w:w="1273" w:type="dxa"/>
            <w:vAlign w:val="center"/>
          </w:tcPr>
          <w:p w14:paraId="5F76786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299238A4" w14:textId="77777777" w:rsidTr="003C2F5B">
        <w:trPr>
          <w:trHeight w:val="583"/>
        </w:trPr>
        <w:tc>
          <w:tcPr>
            <w:tcW w:w="562" w:type="dxa"/>
            <w:vAlign w:val="center"/>
          </w:tcPr>
          <w:p w14:paraId="13A279C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35</w:t>
            </w:r>
          </w:p>
        </w:tc>
        <w:tc>
          <w:tcPr>
            <w:tcW w:w="5662" w:type="dxa"/>
            <w:vAlign w:val="center"/>
          </w:tcPr>
          <w:p w14:paraId="5B26A3D4" w14:textId="11FF93FF"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Razvojni programi kojima se potiče osjećaj zajedništva između zaposlenika poduzeća koja su sudjelovala u akvizicijskom procesu (bez obzira na njihov trenut</w:t>
            </w:r>
            <w:r w:rsidR="009F3C04" w:rsidRPr="00BE5472">
              <w:rPr>
                <w:rFonts w:ascii="Times New Roman" w:hAnsi="Times New Roman" w:cs="Times New Roman"/>
                <w:sz w:val="24"/>
                <w:szCs w:val="24"/>
                <w:lang w:val="en-GB"/>
              </w:rPr>
              <w:t>ač</w:t>
            </w:r>
            <w:r w:rsidRPr="00BE5472">
              <w:rPr>
                <w:rFonts w:ascii="Times New Roman" w:hAnsi="Times New Roman" w:cs="Times New Roman"/>
                <w:sz w:val="24"/>
                <w:szCs w:val="24"/>
                <w:lang w:val="en-GB"/>
              </w:rPr>
              <w:t>ni pravni status)</w:t>
            </w:r>
          </w:p>
        </w:tc>
        <w:tc>
          <w:tcPr>
            <w:tcW w:w="1853" w:type="dxa"/>
            <w:vAlign w:val="center"/>
          </w:tcPr>
          <w:p w14:paraId="7467E25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0.33</w:t>
            </w:r>
          </w:p>
        </w:tc>
        <w:tc>
          <w:tcPr>
            <w:tcW w:w="1273" w:type="dxa"/>
            <w:vAlign w:val="center"/>
          </w:tcPr>
          <w:p w14:paraId="50640EA2"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945DAC" w:rsidRPr="00BE5472" w14:paraId="31935E70" w14:textId="77777777" w:rsidTr="003C2F5B">
        <w:trPr>
          <w:trHeight w:val="747"/>
        </w:trPr>
        <w:tc>
          <w:tcPr>
            <w:tcW w:w="562" w:type="dxa"/>
            <w:vAlign w:val="center"/>
          </w:tcPr>
          <w:p w14:paraId="6993B29C"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36</w:t>
            </w:r>
          </w:p>
        </w:tc>
        <w:tc>
          <w:tcPr>
            <w:tcW w:w="5662" w:type="dxa"/>
            <w:vAlign w:val="center"/>
          </w:tcPr>
          <w:p w14:paraId="6237EC01"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Identificiranje i usmjeravanje na ostvarivanje glavnih vrijednosnih pokretača procesa akvizicije. </w:t>
            </w:r>
          </w:p>
        </w:tc>
        <w:tc>
          <w:tcPr>
            <w:tcW w:w="1853" w:type="dxa"/>
            <w:vAlign w:val="center"/>
          </w:tcPr>
          <w:p w14:paraId="1665BA5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0.50</w:t>
            </w:r>
          </w:p>
        </w:tc>
        <w:tc>
          <w:tcPr>
            <w:tcW w:w="1273" w:type="dxa"/>
            <w:vAlign w:val="center"/>
          </w:tcPr>
          <w:p w14:paraId="57AA0BC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0B619A61" w14:textId="77777777" w:rsidTr="003C2F5B">
        <w:trPr>
          <w:trHeight w:val="747"/>
        </w:trPr>
        <w:tc>
          <w:tcPr>
            <w:tcW w:w="562" w:type="dxa"/>
            <w:vAlign w:val="center"/>
          </w:tcPr>
          <w:p w14:paraId="7D9AB38B"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37</w:t>
            </w:r>
          </w:p>
        </w:tc>
        <w:tc>
          <w:tcPr>
            <w:tcW w:w="5662" w:type="dxa"/>
            <w:vAlign w:val="center"/>
          </w:tcPr>
          <w:p w14:paraId="32E6D8ED"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Osiguranje resursa potrebnih za integraciju nakon procesa akvizicije</w:t>
            </w:r>
          </w:p>
        </w:tc>
        <w:tc>
          <w:tcPr>
            <w:tcW w:w="1853" w:type="dxa"/>
            <w:vAlign w:val="center"/>
          </w:tcPr>
          <w:p w14:paraId="5D1CD8A2"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36AFA53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945DAC" w:rsidRPr="00BE5472" w14:paraId="59871B53" w14:textId="77777777" w:rsidTr="003C2F5B">
        <w:trPr>
          <w:trHeight w:val="448"/>
        </w:trPr>
        <w:tc>
          <w:tcPr>
            <w:tcW w:w="562" w:type="dxa"/>
            <w:vAlign w:val="center"/>
          </w:tcPr>
          <w:p w14:paraId="3A6C309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38</w:t>
            </w:r>
          </w:p>
        </w:tc>
        <w:tc>
          <w:tcPr>
            <w:tcW w:w="5662" w:type="dxa"/>
            <w:vAlign w:val="center"/>
          </w:tcPr>
          <w:p w14:paraId="6390D0EB"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Učinkovita komunikacija s javnošću</w:t>
            </w:r>
          </w:p>
        </w:tc>
        <w:tc>
          <w:tcPr>
            <w:tcW w:w="1853" w:type="dxa"/>
            <w:vAlign w:val="center"/>
          </w:tcPr>
          <w:p w14:paraId="45ABACD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0.58</w:t>
            </w:r>
          </w:p>
        </w:tc>
        <w:tc>
          <w:tcPr>
            <w:tcW w:w="1273" w:type="dxa"/>
            <w:vAlign w:val="center"/>
          </w:tcPr>
          <w:p w14:paraId="6611F23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3B41C3EB" w14:textId="77777777" w:rsidTr="003C2F5B">
        <w:trPr>
          <w:trHeight w:val="463"/>
        </w:trPr>
        <w:tc>
          <w:tcPr>
            <w:tcW w:w="562" w:type="dxa"/>
            <w:vAlign w:val="center"/>
          </w:tcPr>
          <w:p w14:paraId="2F302116"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39</w:t>
            </w:r>
          </w:p>
        </w:tc>
        <w:tc>
          <w:tcPr>
            <w:tcW w:w="5662" w:type="dxa"/>
            <w:vAlign w:val="center"/>
          </w:tcPr>
          <w:p w14:paraId="64720BFA"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Brza integracija radi ostvarivanja zacrtanog plana</w:t>
            </w:r>
          </w:p>
        </w:tc>
        <w:tc>
          <w:tcPr>
            <w:tcW w:w="1853" w:type="dxa"/>
            <w:vAlign w:val="center"/>
          </w:tcPr>
          <w:p w14:paraId="06425E80"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3B2FFE7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47959C0B" w14:textId="77777777" w:rsidTr="003C2F5B">
        <w:trPr>
          <w:trHeight w:val="747"/>
        </w:trPr>
        <w:tc>
          <w:tcPr>
            <w:tcW w:w="562" w:type="dxa"/>
            <w:vAlign w:val="center"/>
          </w:tcPr>
          <w:p w14:paraId="6505DA0C"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40</w:t>
            </w:r>
          </w:p>
        </w:tc>
        <w:tc>
          <w:tcPr>
            <w:tcW w:w="5662" w:type="dxa"/>
            <w:vAlign w:val="center"/>
          </w:tcPr>
          <w:p w14:paraId="2C8AE9BC"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Integracija informacijske infrastrukturu poduzeća koja su sudjelovale u akvizicijskom procesu</w:t>
            </w:r>
          </w:p>
        </w:tc>
        <w:tc>
          <w:tcPr>
            <w:tcW w:w="1853" w:type="dxa"/>
            <w:vAlign w:val="center"/>
          </w:tcPr>
          <w:p w14:paraId="68358FE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0.58</w:t>
            </w:r>
          </w:p>
        </w:tc>
        <w:tc>
          <w:tcPr>
            <w:tcW w:w="1273" w:type="dxa"/>
            <w:vAlign w:val="center"/>
          </w:tcPr>
          <w:p w14:paraId="69DFBE5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336CD131" w14:textId="77777777" w:rsidTr="003C2F5B">
        <w:trPr>
          <w:trHeight w:val="1630"/>
        </w:trPr>
        <w:tc>
          <w:tcPr>
            <w:tcW w:w="562" w:type="dxa"/>
            <w:vAlign w:val="center"/>
          </w:tcPr>
          <w:p w14:paraId="519031AE"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41</w:t>
            </w:r>
          </w:p>
        </w:tc>
        <w:tc>
          <w:tcPr>
            <w:tcW w:w="5662" w:type="dxa"/>
            <w:vAlign w:val="center"/>
          </w:tcPr>
          <w:p w14:paraId="23CEB854"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Promptna objava plana razvoja ljudskih resursa nakon procesa akvizicije (npr. ključne funkcije, ovlasti i odgovornosti, planovi otpuštanja itd. u novoosnovanom zajedničkom poduzeću ili u oba poduzeća koje su sudjelovala u akvizicijskom procesu)</w:t>
            </w:r>
          </w:p>
        </w:tc>
        <w:tc>
          <w:tcPr>
            <w:tcW w:w="1853" w:type="dxa"/>
            <w:vAlign w:val="center"/>
          </w:tcPr>
          <w:p w14:paraId="4C82395E"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0.25</w:t>
            </w:r>
          </w:p>
        </w:tc>
        <w:tc>
          <w:tcPr>
            <w:tcW w:w="1273" w:type="dxa"/>
            <w:vAlign w:val="center"/>
          </w:tcPr>
          <w:p w14:paraId="3ADFB69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5F7B8324" w14:textId="77777777" w:rsidTr="003C2F5B">
        <w:trPr>
          <w:trHeight w:val="747"/>
        </w:trPr>
        <w:tc>
          <w:tcPr>
            <w:tcW w:w="562" w:type="dxa"/>
            <w:vAlign w:val="center"/>
          </w:tcPr>
          <w:p w14:paraId="70A214D2"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42</w:t>
            </w:r>
          </w:p>
        </w:tc>
        <w:tc>
          <w:tcPr>
            <w:tcW w:w="5662" w:type="dxa"/>
            <w:vAlign w:val="center"/>
          </w:tcPr>
          <w:p w14:paraId="1505BC32"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Odlučan i pravedan odnos prema zaposlenicima koje je potrebno otpustiti</w:t>
            </w:r>
          </w:p>
        </w:tc>
        <w:tc>
          <w:tcPr>
            <w:tcW w:w="1853" w:type="dxa"/>
            <w:vAlign w:val="center"/>
          </w:tcPr>
          <w:p w14:paraId="1811800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7269CA1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945DAC" w:rsidRPr="00BE5472" w14:paraId="37BB8CC5" w14:textId="77777777" w:rsidTr="003C2F5B">
        <w:trPr>
          <w:trHeight w:val="1047"/>
        </w:trPr>
        <w:tc>
          <w:tcPr>
            <w:tcW w:w="562" w:type="dxa"/>
            <w:vAlign w:val="center"/>
          </w:tcPr>
          <w:p w14:paraId="2062D65E"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43</w:t>
            </w:r>
          </w:p>
        </w:tc>
        <w:tc>
          <w:tcPr>
            <w:tcW w:w="5662" w:type="dxa"/>
            <w:vAlign w:val="center"/>
          </w:tcPr>
          <w:p w14:paraId="0AC6A945"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Uspostaviti odgovarajuće unutarnje mehanizme za prijenos kompetencija i sredstava između poslovnih jedinica </w:t>
            </w:r>
          </w:p>
        </w:tc>
        <w:tc>
          <w:tcPr>
            <w:tcW w:w="1853" w:type="dxa"/>
            <w:vAlign w:val="center"/>
          </w:tcPr>
          <w:p w14:paraId="02587CB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17B5E26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6BC9416D" w14:textId="77777777" w:rsidTr="003C2F5B">
        <w:trPr>
          <w:trHeight w:val="1346"/>
        </w:trPr>
        <w:tc>
          <w:tcPr>
            <w:tcW w:w="562" w:type="dxa"/>
            <w:vAlign w:val="center"/>
          </w:tcPr>
          <w:p w14:paraId="31143C02"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lastRenderedPageBreak/>
              <w:t>44</w:t>
            </w:r>
          </w:p>
        </w:tc>
        <w:tc>
          <w:tcPr>
            <w:tcW w:w="5662" w:type="dxa"/>
            <w:vAlign w:val="center"/>
          </w:tcPr>
          <w:p w14:paraId="704ED56A"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Povezivanje naknada (kompenzacija)  s poboljšanjima u realizaciji slobodnih novčanih tokova (u novoosnovanom zajedničkom poduzeću ili u oba poduzeća koja su sudjelovala u procesu preuzimanja) </w:t>
            </w:r>
          </w:p>
        </w:tc>
        <w:tc>
          <w:tcPr>
            <w:tcW w:w="1853" w:type="dxa"/>
            <w:vAlign w:val="center"/>
          </w:tcPr>
          <w:p w14:paraId="1B5E48A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0.33</w:t>
            </w:r>
          </w:p>
        </w:tc>
        <w:tc>
          <w:tcPr>
            <w:tcW w:w="1273" w:type="dxa"/>
            <w:vAlign w:val="center"/>
          </w:tcPr>
          <w:p w14:paraId="0B16265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3.33</w:t>
            </w:r>
          </w:p>
        </w:tc>
      </w:tr>
      <w:tr w:rsidR="00945DAC" w:rsidRPr="00BE5472" w14:paraId="08FC9842" w14:textId="77777777" w:rsidTr="003C2F5B">
        <w:trPr>
          <w:trHeight w:val="1047"/>
        </w:trPr>
        <w:tc>
          <w:tcPr>
            <w:tcW w:w="562" w:type="dxa"/>
            <w:vAlign w:val="center"/>
          </w:tcPr>
          <w:p w14:paraId="22DFD56E"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45</w:t>
            </w:r>
          </w:p>
        </w:tc>
        <w:tc>
          <w:tcPr>
            <w:tcW w:w="5662" w:type="dxa"/>
            <w:vAlign w:val="center"/>
          </w:tcPr>
          <w:p w14:paraId="000BA6EB"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Niveliranje razlika u stilovima upravljanja između poduzeća koja su sudjelovale u procesu spajanja i preuzimanja</w:t>
            </w:r>
          </w:p>
        </w:tc>
        <w:tc>
          <w:tcPr>
            <w:tcW w:w="1853" w:type="dxa"/>
            <w:vAlign w:val="center"/>
          </w:tcPr>
          <w:p w14:paraId="5A0F438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169FBC0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03AFF756" w14:textId="77777777" w:rsidTr="003C2F5B">
        <w:trPr>
          <w:trHeight w:val="1346"/>
        </w:trPr>
        <w:tc>
          <w:tcPr>
            <w:tcW w:w="562" w:type="dxa"/>
            <w:vAlign w:val="center"/>
          </w:tcPr>
          <w:p w14:paraId="5D69D54C"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46</w:t>
            </w:r>
          </w:p>
        </w:tc>
        <w:tc>
          <w:tcPr>
            <w:tcW w:w="5662" w:type="dxa"/>
            <w:vAlign w:val="center"/>
          </w:tcPr>
          <w:p w14:paraId="40289CBA"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Identificiranje prilika za poboljšanje konkurentske pozicije novostvorenog zajedničkog poduzeća ili oba poduzeća koja su sudjelovala u procesu spajanja i preuzimanja, ali su ostala kao samostalne pravne osobe</w:t>
            </w:r>
          </w:p>
        </w:tc>
        <w:tc>
          <w:tcPr>
            <w:tcW w:w="1853" w:type="dxa"/>
            <w:vAlign w:val="center"/>
          </w:tcPr>
          <w:p w14:paraId="7111566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412D58A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70B65335" w14:textId="77777777" w:rsidTr="003C2F5B">
        <w:trPr>
          <w:trHeight w:val="747"/>
        </w:trPr>
        <w:tc>
          <w:tcPr>
            <w:tcW w:w="562" w:type="dxa"/>
            <w:vAlign w:val="center"/>
          </w:tcPr>
          <w:p w14:paraId="10B055D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47</w:t>
            </w:r>
          </w:p>
        </w:tc>
        <w:tc>
          <w:tcPr>
            <w:tcW w:w="5662" w:type="dxa"/>
            <w:vAlign w:val="center"/>
          </w:tcPr>
          <w:p w14:paraId="57D9EA67"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Postavljanje nove upravljačke strukture u poduzeću meti </w:t>
            </w:r>
          </w:p>
        </w:tc>
        <w:tc>
          <w:tcPr>
            <w:tcW w:w="1853" w:type="dxa"/>
            <w:vAlign w:val="center"/>
          </w:tcPr>
          <w:p w14:paraId="5E024E5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1983CF5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945DAC" w:rsidRPr="00BE5472" w14:paraId="0128B9E0" w14:textId="77777777" w:rsidTr="003C2F5B">
        <w:trPr>
          <w:trHeight w:val="1331"/>
        </w:trPr>
        <w:tc>
          <w:tcPr>
            <w:tcW w:w="562" w:type="dxa"/>
            <w:vAlign w:val="center"/>
          </w:tcPr>
          <w:p w14:paraId="1DA31C34"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48</w:t>
            </w:r>
          </w:p>
        </w:tc>
        <w:tc>
          <w:tcPr>
            <w:tcW w:w="5662" w:type="dxa"/>
            <w:vAlign w:val="center"/>
          </w:tcPr>
          <w:p w14:paraId="157DCBCA" w14:textId="092D1AD5"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Uspostavljanje novih programa procjene učinka uspješnosti u poduzećima koje su sudjelovale u procesu spajanja i preuzimanja</w:t>
            </w:r>
            <w:r w:rsidR="00C30AB3" w:rsidRPr="00BE5472">
              <w:rPr>
                <w:rFonts w:ascii="Times New Roman" w:hAnsi="Times New Roman" w:cs="Times New Roman"/>
                <w:sz w:val="24"/>
                <w:szCs w:val="24"/>
                <w:lang w:val="en-GB"/>
              </w:rPr>
              <w:t>,</w:t>
            </w:r>
            <w:r w:rsidRPr="00BE5472">
              <w:rPr>
                <w:rFonts w:ascii="Times New Roman" w:hAnsi="Times New Roman" w:cs="Times New Roman"/>
                <w:sz w:val="24"/>
                <w:szCs w:val="24"/>
                <w:lang w:val="en-GB"/>
              </w:rPr>
              <w:t xml:space="preserve"> bez obzira na njihovu trenut</w:t>
            </w:r>
            <w:r w:rsidR="009F3C04" w:rsidRPr="00BE5472">
              <w:rPr>
                <w:rFonts w:ascii="Times New Roman" w:hAnsi="Times New Roman" w:cs="Times New Roman"/>
                <w:sz w:val="24"/>
                <w:szCs w:val="24"/>
                <w:lang w:val="en-GB"/>
              </w:rPr>
              <w:t>ač</w:t>
            </w:r>
            <w:r w:rsidRPr="00BE5472">
              <w:rPr>
                <w:rFonts w:ascii="Times New Roman" w:hAnsi="Times New Roman" w:cs="Times New Roman"/>
                <w:sz w:val="24"/>
                <w:szCs w:val="24"/>
                <w:lang w:val="en-GB"/>
              </w:rPr>
              <w:t>nu pravnu osobnost</w:t>
            </w:r>
          </w:p>
        </w:tc>
        <w:tc>
          <w:tcPr>
            <w:tcW w:w="1853" w:type="dxa"/>
            <w:vAlign w:val="center"/>
          </w:tcPr>
          <w:p w14:paraId="15FFB025"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0D1531E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3.83</w:t>
            </w:r>
          </w:p>
        </w:tc>
      </w:tr>
      <w:tr w:rsidR="00945DAC" w:rsidRPr="00BE5472" w14:paraId="27928187" w14:textId="77777777" w:rsidTr="003C2F5B">
        <w:trPr>
          <w:trHeight w:val="1047"/>
        </w:trPr>
        <w:tc>
          <w:tcPr>
            <w:tcW w:w="562" w:type="dxa"/>
            <w:vAlign w:val="center"/>
          </w:tcPr>
          <w:p w14:paraId="126F6E04"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49</w:t>
            </w:r>
          </w:p>
        </w:tc>
        <w:tc>
          <w:tcPr>
            <w:tcW w:w="5662" w:type="dxa"/>
            <w:vAlign w:val="center"/>
          </w:tcPr>
          <w:p w14:paraId="57DC464D"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Asimiliranje kulturoloških sustava poduzeća preuzimatelja (tj. vrijednosti, norme) u poslovnu kulturu poduzeća mete</w:t>
            </w:r>
          </w:p>
        </w:tc>
        <w:tc>
          <w:tcPr>
            <w:tcW w:w="1853" w:type="dxa"/>
            <w:vAlign w:val="center"/>
          </w:tcPr>
          <w:p w14:paraId="3881DBD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68DAA90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3.83</w:t>
            </w:r>
          </w:p>
        </w:tc>
      </w:tr>
      <w:tr w:rsidR="00945DAC" w:rsidRPr="00BE5472" w14:paraId="5641C15F" w14:textId="77777777" w:rsidTr="003C2F5B">
        <w:trPr>
          <w:trHeight w:val="463"/>
        </w:trPr>
        <w:tc>
          <w:tcPr>
            <w:tcW w:w="9350" w:type="dxa"/>
            <w:gridSpan w:val="4"/>
          </w:tcPr>
          <w:p w14:paraId="3A7FDCAE" w14:textId="77777777" w:rsidR="00945DAC" w:rsidRPr="00BE5472" w:rsidRDefault="00945DAC" w:rsidP="003C2F5B">
            <w:pPr>
              <w:jc w:val="center"/>
              <w:rPr>
                <w:rFonts w:ascii="Times New Roman" w:hAnsi="Times New Roman" w:cs="Times New Roman"/>
                <w:sz w:val="24"/>
                <w:szCs w:val="24"/>
              </w:rPr>
            </w:pPr>
            <w:r w:rsidRPr="00BE5472">
              <w:rPr>
                <w:rFonts w:ascii="Times New Roman" w:hAnsi="Times New Roman" w:cs="Times New Roman"/>
                <w:b/>
                <w:bCs/>
                <w:sz w:val="24"/>
                <w:szCs w:val="24"/>
              </w:rPr>
              <w:t>KLJUČNI ČIMBENICI USPJEHA PROCESA SPAJANJA I PREUZIMANJA NAKON ZAVRŠETKA FAZE INTEGRACIJE (U POST-AKVIZICIJSKOJ FAZI)</w:t>
            </w:r>
          </w:p>
        </w:tc>
      </w:tr>
      <w:tr w:rsidR="00945DAC" w:rsidRPr="00BE5472" w14:paraId="0952DB9C" w14:textId="77777777" w:rsidTr="003C2F5B">
        <w:trPr>
          <w:trHeight w:val="463"/>
        </w:trPr>
        <w:tc>
          <w:tcPr>
            <w:tcW w:w="562" w:type="dxa"/>
            <w:vAlign w:val="center"/>
          </w:tcPr>
          <w:p w14:paraId="33A44243"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50</w:t>
            </w:r>
          </w:p>
        </w:tc>
        <w:tc>
          <w:tcPr>
            <w:tcW w:w="5662" w:type="dxa"/>
            <w:vAlign w:val="center"/>
          </w:tcPr>
          <w:p w14:paraId="3F8EDBA2"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Povrat na ukupno uloženi kapital (WACC)</w:t>
            </w:r>
          </w:p>
        </w:tc>
        <w:tc>
          <w:tcPr>
            <w:tcW w:w="1853" w:type="dxa"/>
            <w:vAlign w:val="center"/>
          </w:tcPr>
          <w:p w14:paraId="668CA0C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3C00E4B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0602CA3B" w14:textId="77777777" w:rsidTr="003C2F5B">
        <w:trPr>
          <w:trHeight w:val="448"/>
        </w:trPr>
        <w:tc>
          <w:tcPr>
            <w:tcW w:w="562" w:type="dxa"/>
            <w:vAlign w:val="center"/>
          </w:tcPr>
          <w:p w14:paraId="4ABF99B5"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51</w:t>
            </w:r>
          </w:p>
        </w:tc>
        <w:tc>
          <w:tcPr>
            <w:tcW w:w="5662" w:type="dxa"/>
            <w:vAlign w:val="center"/>
          </w:tcPr>
          <w:p w14:paraId="33788AC6"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Slobodni novčani tijek po dionici</w:t>
            </w:r>
          </w:p>
        </w:tc>
        <w:tc>
          <w:tcPr>
            <w:tcW w:w="1853" w:type="dxa"/>
            <w:vAlign w:val="center"/>
          </w:tcPr>
          <w:p w14:paraId="3270957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0.33</w:t>
            </w:r>
          </w:p>
        </w:tc>
        <w:tc>
          <w:tcPr>
            <w:tcW w:w="1273" w:type="dxa"/>
            <w:vAlign w:val="center"/>
          </w:tcPr>
          <w:p w14:paraId="2423A1C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945DAC" w:rsidRPr="00BE5472" w14:paraId="2582EA55" w14:textId="77777777" w:rsidTr="003C2F5B">
        <w:trPr>
          <w:trHeight w:val="1047"/>
        </w:trPr>
        <w:tc>
          <w:tcPr>
            <w:tcW w:w="562" w:type="dxa"/>
            <w:vAlign w:val="center"/>
          </w:tcPr>
          <w:p w14:paraId="3414F8F9"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52</w:t>
            </w:r>
          </w:p>
        </w:tc>
        <w:tc>
          <w:tcPr>
            <w:tcW w:w="5662" w:type="dxa"/>
            <w:vAlign w:val="center"/>
          </w:tcPr>
          <w:p w14:paraId="23A0437F"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Novčani tijek iz operacija (prodaja umanjena za troškove prodanih dobara i usluga, administrativne troškove uvećano za depricijaciju i </w:t>
            </w:r>
            <w:r w:rsidRPr="00BE5472">
              <w:rPr>
                <w:rFonts w:ascii="Times New Roman" w:hAnsi="Times New Roman" w:cs="Times New Roman"/>
                <w:i/>
                <w:iCs/>
                <w:sz w:val="24"/>
                <w:szCs w:val="24"/>
                <w:lang w:val="en-GB"/>
              </w:rPr>
              <w:t>goodwill</w:t>
            </w:r>
            <w:r w:rsidRPr="00BE5472">
              <w:rPr>
                <w:rFonts w:ascii="Times New Roman" w:hAnsi="Times New Roman" w:cs="Times New Roman"/>
                <w:sz w:val="24"/>
                <w:szCs w:val="24"/>
                <w:lang w:val="en-GB"/>
              </w:rPr>
              <w:t>)</w:t>
            </w:r>
          </w:p>
        </w:tc>
        <w:tc>
          <w:tcPr>
            <w:tcW w:w="1853" w:type="dxa"/>
            <w:vAlign w:val="center"/>
          </w:tcPr>
          <w:p w14:paraId="564A2D3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76B554CB"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5401D2DB" w14:textId="77777777" w:rsidTr="003C2F5B">
        <w:trPr>
          <w:trHeight w:val="448"/>
        </w:trPr>
        <w:tc>
          <w:tcPr>
            <w:tcW w:w="562" w:type="dxa"/>
            <w:vAlign w:val="center"/>
          </w:tcPr>
          <w:p w14:paraId="2A6478A6" w14:textId="77777777" w:rsidR="00945DAC" w:rsidRPr="00BE5472" w:rsidRDefault="00945DAC" w:rsidP="003C2F5B">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53</w:t>
            </w:r>
          </w:p>
        </w:tc>
        <w:tc>
          <w:tcPr>
            <w:tcW w:w="5662" w:type="dxa"/>
            <w:vAlign w:val="center"/>
          </w:tcPr>
          <w:p w14:paraId="6B7553DD" w14:textId="77777777" w:rsidR="00945DAC" w:rsidRPr="00BE5472" w:rsidRDefault="00945DAC" w:rsidP="003C2F5B">
            <w:pPr>
              <w:rPr>
                <w:rFonts w:ascii="Times New Roman" w:hAnsi="Times New Roman" w:cs="Times New Roman"/>
                <w:sz w:val="24"/>
                <w:szCs w:val="24"/>
                <w:lang w:val="it-IT"/>
              </w:rPr>
            </w:pPr>
            <w:r w:rsidRPr="00BE5472">
              <w:rPr>
                <w:rFonts w:ascii="Times New Roman" w:hAnsi="Times New Roman" w:cs="Times New Roman"/>
                <w:sz w:val="24"/>
                <w:szCs w:val="24"/>
                <w:lang w:val="it-IT"/>
              </w:rPr>
              <w:t>Računovodstveni pokazatelji (ROI, ROE, ROA)</w:t>
            </w:r>
          </w:p>
        </w:tc>
        <w:tc>
          <w:tcPr>
            <w:tcW w:w="1853" w:type="dxa"/>
            <w:vAlign w:val="center"/>
          </w:tcPr>
          <w:p w14:paraId="0F1F442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3D85E07C"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356D0B33" w14:textId="77777777" w:rsidTr="003C2F5B">
        <w:trPr>
          <w:trHeight w:val="747"/>
        </w:trPr>
        <w:tc>
          <w:tcPr>
            <w:tcW w:w="562" w:type="dxa"/>
            <w:vAlign w:val="center"/>
          </w:tcPr>
          <w:p w14:paraId="65030548" w14:textId="77777777" w:rsidR="00945DAC" w:rsidRPr="00BE5472" w:rsidRDefault="00945DAC" w:rsidP="003C2F5B">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54</w:t>
            </w:r>
          </w:p>
        </w:tc>
        <w:tc>
          <w:tcPr>
            <w:tcW w:w="5662" w:type="dxa"/>
            <w:vAlign w:val="center"/>
          </w:tcPr>
          <w:p w14:paraId="3FEE804F" w14:textId="77777777" w:rsidR="00945DAC" w:rsidRPr="00BE5472" w:rsidRDefault="00945DAC" w:rsidP="003C2F5B">
            <w:pPr>
              <w:rPr>
                <w:rFonts w:ascii="Times New Roman" w:hAnsi="Times New Roman" w:cs="Times New Roman"/>
                <w:sz w:val="24"/>
                <w:szCs w:val="24"/>
                <w:lang w:val="en-GB"/>
              </w:rPr>
            </w:pPr>
            <w:r w:rsidRPr="00BE5472">
              <w:rPr>
                <w:rFonts w:ascii="Times New Roman" w:hAnsi="Times New Roman" w:cs="Times New Roman"/>
                <w:sz w:val="24"/>
                <w:szCs w:val="24"/>
                <w:lang w:val="en-GB"/>
              </w:rPr>
              <w:t>Uobičajeni hotelski pokazatelji uspješnosti (ADR, stopa popunjenosti, REVPAR, TREVPAR)</w:t>
            </w:r>
          </w:p>
        </w:tc>
        <w:tc>
          <w:tcPr>
            <w:tcW w:w="1853" w:type="dxa"/>
            <w:vAlign w:val="center"/>
          </w:tcPr>
          <w:p w14:paraId="3BBD38C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73" w:type="dxa"/>
            <w:vAlign w:val="center"/>
          </w:tcPr>
          <w:p w14:paraId="6538219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945DAC" w:rsidRPr="00BE5472" w14:paraId="422C0C45" w14:textId="77777777" w:rsidTr="003C2F5B">
        <w:trPr>
          <w:trHeight w:val="448"/>
        </w:trPr>
        <w:tc>
          <w:tcPr>
            <w:tcW w:w="562" w:type="dxa"/>
            <w:vAlign w:val="center"/>
          </w:tcPr>
          <w:p w14:paraId="3353749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55</w:t>
            </w:r>
          </w:p>
        </w:tc>
        <w:tc>
          <w:tcPr>
            <w:tcW w:w="5662" w:type="dxa"/>
            <w:vAlign w:val="center"/>
          </w:tcPr>
          <w:p w14:paraId="23ACFFF4"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Tržišni udio (gubitak/dobitak)</w:t>
            </w:r>
          </w:p>
        </w:tc>
        <w:tc>
          <w:tcPr>
            <w:tcW w:w="1853" w:type="dxa"/>
            <w:vAlign w:val="center"/>
          </w:tcPr>
          <w:p w14:paraId="3EE3FC79"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0.65</w:t>
            </w:r>
          </w:p>
        </w:tc>
        <w:tc>
          <w:tcPr>
            <w:tcW w:w="1273" w:type="dxa"/>
            <w:vAlign w:val="center"/>
          </w:tcPr>
          <w:p w14:paraId="4B5976B6"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945DAC" w:rsidRPr="00BE5472" w14:paraId="4467E7F4" w14:textId="77777777" w:rsidTr="003C2F5B">
        <w:trPr>
          <w:trHeight w:val="448"/>
        </w:trPr>
        <w:tc>
          <w:tcPr>
            <w:tcW w:w="562" w:type="dxa"/>
            <w:vAlign w:val="center"/>
          </w:tcPr>
          <w:p w14:paraId="2EDF78FA"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56</w:t>
            </w:r>
          </w:p>
        </w:tc>
        <w:tc>
          <w:tcPr>
            <w:tcW w:w="5662" w:type="dxa"/>
            <w:vAlign w:val="center"/>
          </w:tcPr>
          <w:p w14:paraId="4E30D45A"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Promjena kretanja cijene dionica</w:t>
            </w:r>
          </w:p>
        </w:tc>
        <w:tc>
          <w:tcPr>
            <w:tcW w:w="1853" w:type="dxa"/>
            <w:vAlign w:val="center"/>
          </w:tcPr>
          <w:p w14:paraId="424F701D"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73" w:type="dxa"/>
            <w:vAlign w:val="center"/>
          </w:tcPr>
          <w:p w14:paraId="7C8CE631"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945DAC" w:rsidRPr="00BE5472" w14:paraId="752642DD" w14:textId="77777777" w:rsidTr="003C2F5B">
        <w:trPr>
          <w:trHeight w:val="448"/>
        </w:trPr>
        <w:tc>
          <w:tcPr>
            <w:tcW w:w="562" w:type="dxa"/>
            <w:vAlign w:val="center"/>
          </w:tcPr>
          <w:p w14:paraId="613A42B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57</w:t>
            </w:r>
          </w:p>
        </w:tc>
        <w:tc>
          <w:tcPr>
            <w:tcW w:w="5662" w:type="dxa"/>
            <w:vAlign w:val="center"/>
          </w:tcPr>
          <w:p w14:paraId="131F81B1"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Prihvaćanje nove/izmijenjene organizacijske kulture</w:t>
            </w:r>
          </w:p>
        </w:tc>
        <w:tc>
          <w:tcPr>
            <w:tcW w:w="1853" w:type="dxa"/>
            <w:vAlign w:val="center"/>
          </w:tcPr>
          <w:p w14:paraId="3ABF10C8"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0.40</w:t>
            </w:r>
          </w:p>
        </w:tc>
        <w:tc>
          <w:tcPr>
            <w:tcW w:w="1273" w:type="dxa"/>
            <w:vAlign w:val="center"/>
          </w:tcPr>
          <w:p w14:paraId="4EF3AC4F"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3.83</w:t>
            </w:r>
          </w:p>
        </w:tc>
      </w:tr>
      <w:tr w:rsidR="00945DAC" w:rsidRPr="00BE5472" w14:paraId="713E6AF4" w14:textId="77777777" w:rsidTr="003C2F5B">
        <w:trPr>
          <w:trHeight w:val="448"/>
        </w:trPr>
        <w:tc>
          <w:tcPr>
            <w:tcW w:w="562" w:type="dxa"/>
            <w:vAlign w:val="center"/>
          </w:tcPr>
          <w:p w14:paraId="57E01544"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58</w:t>
            </w:r>
          </w:p>
        </w:tc>
        <w:tc>
          <w:tcPr>
            <w:tcW w:w="5662" w:type="dxa"/>
            <w:vAlign w:val="center"/>
          </w:tcPr>
          <w:p w14:paraId="4A9CAAA5" w14:textId="3EE63925"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Prihvaćanje nove organizacijske </w:t>
            </w:r>
            <w:r w:rsidR="00C30AB3" w:rsidRPr="00BE5472">
              <w:rPr>
                <w:rFonts w:ascii="Times New Roman" w:hAnsi="Times New Roman" w:cs="Times New Roman"/>
                <w:sz w:val="24"/>
                <w:szCs w:val="24"/>
                <w:lang w:val="en-US"/>
              </w:rPr>
              <w:t>structure</w:t>
            </w:r>
          </w:p>
        </w:tc>
        <w:tc>
          <w:tcPr>
            <w:tcW w:w="1853" w:type="dxa"/>
            <w:vAlign w:val="center"/>
          </w:tcPr>
          <w:p w14:paraId="774B46B7"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73" w:type="dxa"/>
            <w:vAlign w:val="center"/>
          </w:tcPr>
          <w:p w14:paraId="1DE4E553" w14:textId="77777777" w:rsidR="00945DAC" w:rsidRPr="00BE5472" w:rsidRDefault="00945DAC" w:rsidP="003C2F5B">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945DAC" w:rsidRPr="00BE5472" w14:paraId="2B23C458" w14:textId="77777777" w:rsidTr="003C2F5B">
        <w:trPr>
          <w:trHeight w:val="448"/>
        </w:trPr>
        <w:tc>
          <w:tcPr>
            <w:tcW w:w="562" w:type="dxa"/>
            <w:vAlign w:val="center"/>
          </w:tcPr>
          <w:p w14:paraId="029A0FA0" w14:textId="77777777" w:rsidR="00945DAC" w:rsidRPr="00BE5472" w:rsidRDefault="00945DAC" w:rsidP="003C2F5B">
            <w:pPr>
              <w:jc w:val="center"/>
              <w:rPr>
                <w:rFonts w:ascii="Times New Roman" w:hAnsi="Times New Roman" w:cs="Times New Roman"/>
                <w:sz w:val="24"/>
                <w:szCs w:val="24"/>
                <w:lang w:val="en-US"/>
              </w:rPr>
            </w:pPr>
          </w:p>
        </w:tc>
        <w:tc>
          <w:tcPr>
            <w:tcW w:w="5662" w:type="dxa"/>
            <w:vAlign w:val="center"/>
          </w:tcPr>
          <w:p w14:paraId="6B561FB3" w14:textId="77777777" w:rsidR="00945DAC" w:rsidRPr="00BE5472" w:rsidRDefault="00945DAC" w:rsidP="003C2F5B">
            <w:pPr>
              <w:rPr>
                <w:rFonts w:ascii="Times New Roman" w:hAnsi="Times New Roman" w:cs="Times New Roman"/>
                <w:sz w:val="24"/>
                <w:szCs w:val="24"/>
                <w:lang w:val="en-US"/>
              </w:rPr>
            </w:pPr>
            <w:r w:rsidRPr="00BE5472">
              <w:rPr>
                <w:rFonts w:ascii="Times New Roman" w:hAnsi="Times New Roman" w:cs="Times New Roman"/>
                <w:sz w:val="24"/>
                <w:szCs w:val="24"/>
                <w:lang w:val="en-US"/>
              </w:rPr>
              <w:t>Ukupni indeks suglasnosti (UIS)</w:t>
            </w:r>
          </w:p>
        </w:tc>
        <w:tc>
          <w:tcPr>
            <w:tcW w:w="1853" w:type="dxa"/>
            <w:shd w:val="clear" w:color="auto" w:fill="70AD47" w:themeFill="accent6"/>
          </w:tcPr>
          <w:p w14:paraId="620B072B" w14:textId="77777777" w:rsidR="00945DAC" w:rsidRPr="00BE5472" w:rsidRDefault="00945DAC" w:rsidP="003C2F5B">
            <w:pPr>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0,75</w:t>
            </w:r>
          </w:p>
        </w:tc>
        <w:tc>
          <w:tcPr>
            <w:tcW w:w="1273" w:type="dxa"/>
          </w:tcPr>
          <w:p w14:paraId="5C1EF82D" w14:textId="77777777" w:rsidR="00945DAC" w:rsidRPr="00BE5472" w:rsidRDefault="00945DAC" w:rsidP="003C2F5B">
            <w:pPr>
              <w:jc w:val="both"/>
              <w:rPr>
                <w:rFonts w:ascii="Times New Roman" w:hAnsi="Times New Roman" w:cs="Times New Roman"/>
                <w:sz w:val="24"/>
                <w:szCs w:val="24"/>
                <w:lang w:val="en-US"/>
              </w:rPr>
            </w:pPr>
          </w:p>
        </w:tc>
      </w:tr>
    </w:tbl>
    <w:p w14:paraId="16303053" w14:textId="3E9E9143" w:rsidR="00945DAC" w:rsidRPr="00BE5472" w:rsidRDefault="00AF739D" w:rsidP="00945DAC">
      <w:pPr>
        <w:rPr>
          <w:rFonts w:ascii="Times New Roman" w:hAnsi="Times New Roman" w:cs="Times New Roman"/>
        </w:rPr>
      </w:pPr>
      <w:r>
        <w:rPr>
          <w:rFonts w:ascii="Times New Roman" w:hAnsi="Times New Roman" w:cs="Times New Roman"/>
        </w:rPr>
        <w:t>Izvor: obrada autora</w:t>
      </w:r>
    </w:p>
    <w:p w14:paraId="43F4667F" w14:textId="77777777" w:rsidR="00BE7834" w:rsidRDefault="00BE7834" w:rsidP="00945DAC">
      <w:pPr>
        <w:spacing w:line="360" w:lineRule="auto"/>
        <w:jc w:val="both"/>
        <w:rPr>
          <w:rFonts w:ascii="Times New Roman" w:hAnsi="Times New Roman" w:cs="Times New Roman"/>
          <w:sz w:val="24"/>
          <w:szCs w:val="24"/>
        </w:rPr>
      </w:pPr>
    </w:p>
    <w:p w14:paraId="51BA9726" w14:textId="4AD0B674" w:rsidR="00945DAC" w:rsidRPr="00BE5472" w:rsidRDefault="00945DAC" w:rsidP="00945DAC">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U svrhu definiranja čimbenika koji će biti uključeni u anketni upitnik, korišten je kriterij temeljen na linearnom ponderiranom indeksu suglasnosti i aritmetičkoj sredini ocjena:</w:t>
      </w:r>
    </w:p>
    <w:p w14:paraId="7E457314" w14:textId="77777777" w:rsidR="00945DAC" w:rsidRPr="00BE5472" w:rsidRDefault="00945DAC" w:rsidP="00945DAC">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1.</w:t>
      </w:r>
      <w:r w:rsidRPr="00BE5472">
        <w:rPr>
          <w:rFonts w:ascii="Times New Roman" w:hAnsi="Times New Roman" w:cs="Times New Roman"/>
          <w:sz w:val="24"/>
          <w:szCs w:val="24"/>
        </w:rPr>
        <w:tab/>
        <w:t>Linearnim ponderiranim indeksom suglasnosti određena je razina slaganja među ispitanicima. Čimbenici s indeksom suglasnosti 0,75 ili višim smatrani su relevantnima za daljnju analizu, jer visoka razina suglasnosti ukazuje na dosljednost u ocjenama među ispitanicima.</w:t>
      </w:r>
    </w:p>
    <w:p w14:paraId="495CC425" w14:textId="77777777" w:rsidR="00945DAC" w:rsidRPr="00BE5472" w:rsidRDefault="00945DAC" w:rsidP="00945DAC">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2.</w:t>
      </w:r>
      <w:r w:rsidRPr="00BE5472">
        <w:rPr>
          <w:rFonts w:ascii="Times New Roman" w:hAnsi="Times New Roman" w:cs="Times New Roman"/>
          <w:sz w:val="24"/>
          <w:szCs w:val="24"/>
        </w:rPr>
        <w:tab/>
        <w:t>Uz to, u obzir su uzeti samo čimbenici s aritmetičkom sredinom ocjena jednakom ili višom od 4, što označava da su ispitanici općenito ocijenili te čimbenike kao važne.</w:t>
      </w:r>
    </w:p>
    <w:p w14:paraId="39A66839" w14:textId="4D3339C8" w:rsidR="00945DAC" w:rsidRPr="00BE5472" w:rsidRDefault="00945DAC"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Stoga, čimbenici koji zadovoljavaju oba kriterija – indeks suglasnosti ≥ 0,75 i aritmetičku sredinu ocjena ≥ 4,0 – uključeni su u sljedeći krug evaluacije (Tablica </w:t>
      </w:r>
      <w:r w:rsidR="00664A5D" w:rsidRPr="008B68E2">
        <w:rPr>
          <w:rFonts w:ascii="Times New Roman" w:hAnsi="Times New Roman" w:cs="Times New Roman"/>
          <w:sz w:val="24"/>
          <w:szCs w:val="24"/>
        </w:rPr>
        <w:t>3</w:t>
      </w:r>
      <w:r w:rsidR="008B68E2" w:rsidRPr="008B68E2">
        <w:rPr>
          <w:rFonts w:ascii="Times New Roman" w:hAnsi="Times New Roman" w:cs="Times New Roman"/>
          <w:sz w:val="24"/>
          <w:szCs w:val="24"/>
        </w:rPr>
        <w:t>6</w:t>
      </w:r>
      <w:r w:rsidRPr="00BE5472">
        <w:rPr>
          <w:rFonts w:ascii="Times New Roman" w:hAnsi="Times New Roman" w:cs="Times New Roman"/>
          <w:sz w:val="24"/>
          <w:szCs w:val="24"/>
        </w:rPr>
        <w:t>). Ovaj pristup osigurava da daljnja analiza obuhvati čimbenike koji su ne samo percipirani kao važni, već i ocijenjeni visokim stupnjem slaganja među ispitanicima, čime se povećava pouzdanost rezultata.</w:t>
      </w:r>
    </w:p>
    <w:p w14:paraId="68159C22" w14:textId="13C40DFD"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Prilogu </w:t>
      </w:r>
      <w:r w:rsidR="00664A5D" w:rsidRPr="00BE5472">
        <w:rPr>
          <w:rFonts w:ascii="Times New Roman" w:hAnsi="Times New Roman" w:cs="Times New Roman"/>
          <w:sz w:val="24"/>
          <w:szCs w:val="24"/>
        </w:rPr>
        <w:t>7</w:t>
      </w:r>
      <w:r w:rsidRPr="00BE5472">
        <w:rPr>
          <w:rFonts w:ascii="Times New Roman" w:hAnsi="Times New Roman" w:cs="Times New Roman"/>
          <w:sz w:val="24"/>
          <w:szCs w:val="24"/>
        </w:rPr>
        <w:t xml:space="preserve"> prikazana je kompletna obrada rezultata drug</w:t>
      </w:r>
      <w:r w:rsidR="007D0E77" w:rsidRPr="00BE5472">
        <w:rPr>
          <w:rFonts w:ascii="Times New Roman" w:hAnsi="Times New Roman" w:cs="Times New Roman"/>
          <w:sz w:val="24"/>
          <w:szCs w:val="24"/>
        </w:rPr>
        <w:t>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za motive pokretanja procesa spajanja i preuzimanja, čimbenike uspjeha u fazi prije preuzimanja, tijekom integracije i u postakvizicijkoj fazi. Obrada uključuje prikaz i interpretaciju aritmetičke sredine, medijana, moda i standardne devijacije za svaki pojedini motiv odnosno čimbenik.</w:t>
      </w:r>
    </w:p>
    <w:p w14:paraId="49D98208" w14:textId="204D3BB8" w:rsidR="00BE7834" w:rsidRDefault="00BE7834" w:rsidP="00120B4F">
      <w:pPr>
        <w:spacing w:line="360" w:lineRule="auto"/>
        <w:jc w:val="both"/>
        <w:rPr>
          <w:rFonts w:ascii="Times New Roman" w:hAnsi="Times New Roman" w:cs="Times New Roman"/>
          <w:sz w:val="24"/>
          <w:szCs w:val="24"/>
        </w:rPr>
      </w:pPr>
      <w:r w:rsidRPr="00BE7834">
        <w:rPr>
          <w:rFonts w:ascii="Times New Roman" w:hAnsi="Times New Roman" w:cs="Times New Roman"/>
          <w:sz w:val="24"/>
          <w:szCs w:val="24"/>
        </w:rPr>
        <w:t xml:space="preserve">Radi preglednijeg prikaza rezultata drugog ciklusa Delphi postupka, u </w:t>
      </w:r>
      <w:r w:rsidR="00127A4E">
        <w:rPr>
          <w:rFonts w:ascii="Times New Roman" w:hAnsi="Times New Roman" w:cs="Times New Roman"/>
          <w:sz w:val="24"/>
          <w:szCs w:val="24"/>
        </w:rPr>
        <w:t>Tablici</w:t>
      </w:r>
      <w:r w:rsidRPr="00BE7834">
        <w:rPr>
          <w:rFonts w:ascii="Times New Roman" w:hAnsi="Times New Roman" w:cs="Times New Roman"/>
          <w:sz w:val="24"/>
          <w:szCs w:val="24"/>
        </w:rPr>
        <w:t xml:space="preserve"> </w:t>
      </w:r>
      <w:r>
        <w:rPr>
          <w:rFonts w:ascii="Times New Roman" w:hAnsi="Times New Roman" w:cs="Times New Roman"/>
          <w:sz w:val="24"/>
          <w:szCs w:val="24"/>
        </w:rPr>
        <w:t>32</w:t>
      </w:r>
      <w:r w:rsidRPr="00BE7834">
        <w:rPr>
          <w:rFonts w:ascii="Times New Roman" w:hAnsi="Times New Roman" w:cs="Times New Roman"/>
          <w:sz w:val="24"/>
          <w:szCs w:val="24"/>
        </w:rPr>
        <w:t xml:space="preserve"> prikazana je hijerarhija motiva za pokretanje procesa spajanja i preuzimanja prema njihovoj prosječnoj ocjeni važnosti.</w:t>
      </w:r>
    </w:p>
    <w:p w14:paraId="165C4193" w14:textId="7CE474EC" w:rsidR="00BE7834" w:rsidRPr="00E1098E" w:rsidRDefault="00E1098E" w:rsidP="00E1098E">
      <w:pPr>
        <w:pStyle w:val="Caption"/>
        <w:rPr>
          <w:rFonts w:ascii="Times New Roman" w:hAnsi="Times New Roman" w:cs="Times New Roman"/>
          <w:sz w:val="24"/>
          <w:szCs w:val="24"/>
        </w:rPr>
      </w:pPr>
      <w:bookmarkStart w:id="181" w:name="_Toc241865226"/>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32</w:t>
      </w:r>
      <w:r w:rsidRPr="00E1098E">
        <w:rPr>
          <w:rFonts w:ascii="Times New Roman" w:hAnsi="Times New Roman" w:cs="Times New Roman"/>
          <w:sz w:val="24"/>
          <w:szCs w:val="24"/>
        </w:rPr>
        <w:fldChar w:fldCharType="end"/>
      </w:r>
      <w:r w:rsidR="00BE7834" w:rsidRPr="00E1098E">
        <w:rPr>
          <w:rFonts w:ascii="Times New Roman" w:hAnsi="Times New Roman" w:cs="Times New Roman"/>
          <w:sz w:val="24"/>
          <w:szCs w:val="24"/>
        </w:rPr>
        <w:t>: Hijerarhija motiva za pokretanje procesa spajanja i preuzimanja prema rezultatima drugog ciklusa Delphi postupka</w:t>
      </w:r>
      <w:bookmarkEnd w:id="181"/>
    </w:p>
    <w:tbl>
      <w:tblPr>
        <w:tblStyle w:val="Reetkatablice1"/>
        <w:tblW w:w="0" w:type="auto"/>
        <w:tblLook w:val="04A0" w:firstRow="1" w:lastRow="0" w:firstColumn="1" w:lastColumn="0" w:noHBand="0" w:noVBand="1"/>
      </w:tblPr>
      <w:tblGrid>
        <w:gridCol w:w="763"/>
        <w:gridCol w:w="5342"/>
        <w:gridCol w:w="636"/>
        <w:gridCol w:w="2278"/>
      </w:tblGrid>
      <w:tr w:rsidR="00BE7834" w:rsidRPr="00BE7834" w14:paraId="7F26BDF9" w14:textId="77777777" w:rsidTr="00BE7834">
        <w:tc>
          <w:tcPr>
            <w:tcW w:w="0" w:type="auto"/>
            <w:hideMark/>
          </w:tcPr>
          <w:p w14:paraId="6C7FF33F"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Rang</w:t>
            </w:r>
          </w:p>
        </w:tc>
        <w:tc>
          <w:tcPr>
            <w:tcW w:w="0" w:type="auto"/>
            <w:hideMark/>
          </w:tcPr>
          <w:p w14:paraId="03A3A36A"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Motiv</w:t>
            </w:r>
          </w:p>
        </w:tc>
        <w:tc>
          <w:tcPr>
            <w:tcW w:w="0" w:type="auto"/>
            <w:hideMark/>
          </w:tcPr>
          <w:p w14:paraId="37C0BFCC"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M</w:t>
            </w:r>
          </w:p>
        </w:tc>
        <w:tc>
          <w:tcPr>
            <w:tcW w:w="0" w:type="auto"/>
            <w:hideMark/>
          </w:tcPr>
          <w:p w14:paraId="788AC7FA"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Linearno ponderirani indeks suglasnosti</w:t>
            </w:r>
          </w:p>
        </w:tc>
      </w:tr>
      <w:tr w:rsidR="00BE7834" w:rsidRPr="00BE7834" w14:paraId="3529072F" w14:textId="77777777" w:rsidTr="00BE7834">
        <w:tc>
          <w:tcPr>
            <w:tcW w:w="0" w:type="auto"/>
            <w:hideMark/>
          </w:tcPr>
          <w:p w14:paraId="0C52F8E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w:t>
            </w:r>
          </w:p>
        </w:tc>
        <w:tc>
          <w:tcPr>
            <w:tcW w:w="0" w:type="auto"/>
            <w:hideMark/>
          </w:tcPr>
          <w:p w14:paraId="6623DB6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Povećanje tržišnog udjela poduzeća preuzimatelja</w:t>
            </w:r>
          </w:p>
        </w:tc>
        <w:tc>
          <w:tcPr>
            <w:tcW w:w="0" w:type="auto"/>
            <w:hideMark/>
          </w:tcPr>
          <w:p w14:paraId="08A61488"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4,50</w:t>
            </w:r>
          </w:p>
        </w:tc>
        <w:tc>
          <w:tcPr>
            <w:tcW w:w="0" w:type="auto"/>
            <w:hideMark/>
          </w:tcPr>
          <w:p w14:paraId="666E6BC3"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0,81</w:t>
            </w:r>
          </w:p>
        </w:tc>
      </w:tr>
      <w:tr w:rsidR="00BE7834" w:rsidRPr="00BE7834" w14:paraId="461AF589" w14:textId="77777777" w:rsidTr="00BE7834">
        <w:tc>
          <w:tcPr>
            <w:tcW w:w="0" w:type="auto"/>
            <w:hideMark/>
          </w:tcPr>
          <w:p w14:paraId="02056CC5"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w:t>
            </w:r>
          </w:p>
        </w:tc>
        <w:tc>
          <w:tcPr>
            <w:tcW w:w="0" w:type="auto"/>
            <w:hideMark/>
          </w:tcPr>
          <w:p w14:paraId="252A7B1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Povećanje kapaciteta poduzeća preuzimatelja (uz manje kapitalne i operativne troškove nego što bi to bilo u slučaju izgradnje novih vlastitih objekata)</w:t>
            </w:r>
          </w:p>
        </w:tc>
        <w:tc>
          <w:tcPr>
            <w:tcW w:w="0" w:type="auto"/>
            <w:hideMark/>
          </w:tcPr>
          <w:p w14:paraId="69C1CE3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4,33</w:t>
            </w:r>
          </w:p>
        </w:tc>
        <w:tc>
          <w:tcPr>
            <w:tcW w:w="0" w:type="auto"/>
            <w:hideMark/>
          </w:tcPr>
          <w:p w14:paraId="4B1029A8"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0,83</w:t>
            </w:r>
          </w:p>
        </w:tc>
      </w:tr>
      <w:tr w:rsidR="00BE7834" w:rsidRPr="00BE7834" w14:paraId="7599CD62" w14:textId="77777777" w:rsidTr="00BE7834">
        <w:tc>
          <w:tcPr>
            <w:tcW w:w="0" w:type="auto"/>
            <w:hideMark/>
          </w:tcPr>
          <w:p w14:paraId="134A6B0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lastRenderedPageBreak/>
              <w:t>3.</w:t>
            </w:r>
          </w:p>
        </w:tc>
        <w:tc>
          <w:tcPr>
            <w:tcW w:w="0" w:type="auto"/>
            <w:hideMark/>
          </w:tcPr>
          <w:p w14:paraId="28F7BDD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Proširivanje tržišnih segmenata (baze kupaca) poduzeća preuzimatelja širenjem ponude na postojećem ili novom tržištu – destinaciji</w:t>
            </w:r>
          </w:p>
        </w:tc>
        <w:tc>
          <w:tcPr>
            <w:tcW w:w="0" w:type="auto"/>
            <w:hideMark/>
          </w:tcPr>
          <w:p w14:paraId="433B791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4,17</w:t>
            </w:r>
          </w:p>
        </w:tc>
        <w:tc>
          <w:tcPr>
            <w:tcW w:w="0" w:type="auto"/>
            <w:hideMark/>
          </w:tcPr>
          <w:p w14:paraId="5BA21F5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0,90</w:t>
            </w:r>
          </w:p>
        </w:tc>
      </w:tr>
      <w:tr w:rsidR="00BE7834" w:rsidRPr="00BE7834" w14:paraId="6873307F" w14:textId="77777777" w:rsidTr="00BE7834">
        <w:tc>
          <w:tcPr>
            <w:tcW w:w="0" w:type="auto"/>
            <w:hideMark/>
          </w:tcPr>
          <w:p w14:paraId="286914F3"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w:t>
            </w:r>
          </w:p>
        </w:tc>
        <w:tc>
          <w:tcPr>
            <w:tcW w:w="0" w:type="auto"/>
            <w:hideMark/>
          </w:tcPr>
          <w:p w14:paraId="62557AED"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Osiguranje održivog rasta poduzeća preuzimatelja</w:t>
            </w:r>
          </w:p>
        </w:tc>
        <w:tc>
          <w:tcPr>
            <w:tcW w:w="0" w:type="auto"/>
            <w:hideMark/>
          </w:tcPr>
          <w:p w14:paraId="0459CF5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4,17</w:t>
            </w:r>
          </w:p>
        </w:tc>
        <w:tc>
          <w:tcPr>
            <w:tcW w:w="0" w:type="auto"/>
            <w:hideMark/>
          </w:tcPr>
          <w:p w14:paraId="0473C5A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0,40</w:t>
            </w:r>
          </w:p>
        </w:tc>
      </w:tr>
      <w:tr w:rsidR="00BE7834" w:rsidRPr="00BE7834" w14:paraId="253EB2E0" w14:textId="77777777" w:rsidTr="00BE7834">
        <w:tc>
          <w:tcPr>
            <w:tcW w:w="0" w:type="auto"/>
            <w:hideMark/>
          </w:tcPr>
          <w:p w14:paraId="2618704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w:t>
            </w:r>
          </w:p>
        </w:tc>
        <w:tc>
          <w:tcPr>
            <w:tcW w:w="0" w:type="auto"/>
            <w:hideMark/>
          </w:tcPr>
          <w:p w14:paraId="1297013F"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Jačanje marke i reputacije poduzeća preuzimatelja</w:t>
            </w:r>
          </w:p>
        </w:tc>
        <w:tc>
          <w:tcPr>
            <w:tcW w:w="0" w:type="auto"/>
            <w:hideMark/>
          </w:tcPr>
          <w:p w14:paraId="461797FE"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4,17</w:t>
            </w:r>
          </w:p>
        </w:tc>
        <w:tc>
          <w:tcPr>
            <w:tcW w:w="0" w:type="auto"/>
            <w:hideMark/>
          </w:tcPr>
          <w:p w14:paraId="122EB767"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0,65</w:t>
            </w:r>
          </w:p>
        </w:tc>
      </w:tr>
      <w:tr w:rsidR="00BE7834" w:rsidRPr="00BE7834" w14:paraId="690DE5B3" w14:textId="77777777" w:rsidTr="00BE7834">
        <w:tc>
          <w:tcPr>
            <w:tcW w:w="0" w:type="auto"/>
            <w:hideMark/>
          </w:tcPr>
          <w:p w14:paraId="716107A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6.</w:t>
            </w:r>
          </w:p>
        </w:tc>
        <w:tc>
          <w:tcPr>
            <w:tcW w:w="0" w:type="auto"/>
            <w:hideMark/>
          </w:tcPr>
          <w:p w14:paraId="326F681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Nemogućnost internog rasta</w:t>
            </w:r>
          </w:p>
        </w:tc>
        <w:tc>
          <w:tcPr>
            <w:tcW w:w="0" w:type="auto"/>
            <w:hideMark/>
          </w:tcPr>
          <w:p w14:paraId="76F7F1E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3,67</w:t>
            </w:r>
          </w:p>
        </w:tc>
        <w:tc>
          <w:tcPr>
            <w:tcW w:w="0" w:type="auto"/>
            <w:hideMark/>
          </w:tcPr>
          <w:p w14:paraId="2108C8D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0,08</w:t>
            </w:r>
          </w:p>
        </w:tc>
      </w:tr>
      <w:tr w:rsidR="00BE7834" w:rsidRPr="00BE7834" w14:paraId="31637368" w14:textId="77777777" w:rsidTr="00BE7834">
        <w:tc>
          <w:tcPr>
            <w:tcW w:w="0" w:type="auto"/>
            <w:hideMark/>
          </w:tcPr>
          <w:p w14:paraId="5531FF0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7.</w:t>
            </w:r>
          </w:p>
        </w:tc>
        <w:tc>
          <w:tcPr>
            <w:tcW w:w="0" w:type="auto"/>
            <w:hideMark/>
          </w:tcPr>
          <w:p w14:paraId="7A12C607"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Zaokruživanje ciklusa unutar industrije</w:t>
            </w:r>
          </w:p>
        </w:tc>
        <w:tc>
          <w:tcPr>
            <w:tcW w:w="0" w:type="auto"/>
            <w:hideMark/>
          </w:tcPr>
          <w:p w14:paraId="3D43E3BE"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3,33</w:t>
            </w:r>
          </w:p>
        </w:tc>
        <w:tc>
          <w:tcPr>
            <w:tcW w:w="0" w:type="auto"/>
            <w:hideMark/>
          </w:tcPr>
          <w:p w14:paraId="7084CAC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0,83</w:t>
            </w:r>
          </w:p>
        </w:tc>
      </w:tr>
    </w:tbl>
    <w:p w14:paraId="12B97E78" w14:textId="23B33CB2" w:rsidR="00BE7834" w:rsidRPr="00BE5472" w:rsidRDefault="00BE7834" w:rsidP="00120B4F">
      <w:pPr>
        <w:spacing w:line="360" w:lineRule="auto"/>
        <w:jc w:val="both"/>
        <w:rPr>
          <w:rFonts w:ascii="Times New Roman" w:hAnsi="Times New Roman" w:cs="Times New Roman"/>
          <w:sz w:val="24"/>
          <w:szCs w:val="24"/>
        </w:rPr>
      </w:pPr>
      <w:r w:rsidRPr="00BE7834">
        <w:rPr>
          <w:rFonts w:ascii="Times New Roman" w:hAnsi="Times New Roman" w:cs="Times New Roman"/>
          <w:sz w:val="24"/>
          <w:szCs w:val="24"/>
        </w:rPr>
        <w:t>Izvor: obrada autora</w:t>
      </w:r>
    </w:p>
    <w:p w14:paraId="2EFE491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prikazanih rezultata identificirani su </w:t>
      </w:r>
      <w:r w:rsidRPr="00BE5472">
        <w:rPr>
          <w:rFonts w:ascii="Times New Roman" w:hAnsi="Times New Roman" w:cs="Times New Roman"/>
          <w:b/>
          <w:sz w:val="24"/>
          <w:szCs w:val="24"/>
        </w:rPr>
        <w:t>ključni motivi za pokretanje procesa spajanja i preuzimanja u hrvatskom hotelijerstvu</w:t>
      </w:r>
      <w:r w:rsidRPr="00BE5472">
        <w:rPr>
          <w:rFonts w:ascii="Times New Roman" w:hAnsi="Times New Roman" w:cs="Times New Roman"/>
          <w:sz w:val="24"/>
          <w:szCs w:val="24"/>
        </w:rPr>
        <w:t xml:space="preserve"> na temelju prosječnih ocjena i stupnja suglasnosti među ispitanicima, mjerenog standardnom devijacijom. Rangiranje motiva provedeno je uz istodobno razmatranje oba kriterija, čime je omogućena cjelovitija procjena njihove percipirane važnosti.</w:t>
      </w:r>
    </w:p>
    <w:p w14:paraId="6C45C7D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Cs/>
          <w:sz w:val="24"/>
          <w:szCs w:val="24"/>
        </w:rPr>
        <w:t>Najvažniji motiv spajanja i preuzimanja</w:t>
      </w:r>
      <w:r w:rsidRPr="00BE5472">
        <w:rPr>
          <w:rFonts w:ascii="Times New Roman" w:hAnsi="Times New Roman" w:cs="Times New Roman"/>
          <w:sz w:val="24"/>
          <w:szCs w:val="24"/>
        </w:rPr>
        <w:t xml:space="preserve"> jest </w:t>
      </w:r>
      <w:r w:rsidRPr="00BE5472">
        <w:rPr>
          <w:rFonts w:ascii="Times New Roman" w:hAnsi="Times New Roman" w:cs="Times New Roman"/>
          <w:bCs/>
          <w:sz w:val="24"/>
          <w:szCs w:val="24"/>
        </w:rPr>
        <w:t>povećanje tržišnog udjela poduzeća preuzimatelja</w:t>
      </w:r>
      <w:r w:rsidRPr="00BE5472">
        <w:rPr>
          <w:rFonts w:ascii="Times New Roman" w:hAnsi="Times New Roman" w:cs="Times New Roman"/>
          <w:sz w:val="24"/>
          <w:szCs w:val="24"/>
        </w:rPr>
        <w:t xml:space="preserve"> (aritmetička sredina = 4,5; standardna devijacija = 0,5). Ovaj motiv ostvaruje najvišu prosječnu ocjenu uz vrlo nisku standardnu devijaciju, što upućuje na gotovo potpunu suglasnost ispitanika u procjeni njegove važnosti.</w:t>
      </w:r>
    </w:p>
    <w:p w14:paraId="4C11A6C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Uz navedeni motiv, identificirana je skupina </w:t>
      </w:r>
      <w:r w:rsidRPr="00BE5472">
        <w:rPr>
          <w:rFonts w:ascii="Times New Roman" w:hAnsi="Times New Roman" w:cs="Times New Roman"/>
          <w:bCs/>
          <w:sz w:val="24"/>
          <w:szCs w:val="24"/>
          <w:lang w:val="it-IT"/>
        </w:rPr>
        <w:t>visoko ocijenjenih motiva s dobrom suglasnošću ispitanika</w:t>
      </w:r>
      <w:r w:rsidRPr="00BE5472">
        <w:rPr>
          <w:rFonts w:ascii="Times New Roman" w:hAnsi="Times New Roman" w:cs="Times New Roman"/>
          <w:sz w:val="24"/>
          <w:szCs w:val="24"/>
          <w:lang w:val="it-IT"/>
        </w:rPr>
        <w:t xml:space="preserve">. Motiv </w:t>
      </w:r>
      <w:r w:rsidRPr="00BE5472">
        <w:rPr>
          <w:rFonts w:ascii="Times New Roman" w:hAnsi="Times New Roman" w:cs="Times New Roman"/>
          <w:bCs/>
          <w:sz w:val="24"/>
          <w:szCs w:val="24"/>
          <w:lang w:val="it-IT"/>
        </w:rPr>
        <w:t>povećanja kapaciteta poduzeća preuzimatelja</w:t>
      </w:r>
      <w:r w:rsidRPr="00BE5472">
        <w:rPr>
          <w:rFonts w:ascii="Times New Roman" w:hAnsi="Times New Roman" w:cs="Times New Roman"/>
          <w:sz w:val="24"/>
          <w:szCs w:val="24"/>
          <w:lang w:val="it-IT"/>
        </w:rPr>
        <w:t xml:space="preserve"> (aritmetička sredina = 4,333; standardna devijacija = 0,471) ostvaruje vrlo visoku prosječnu ocjenu uz malu raspršenost odgovora, što ukazuje na dosljedno percipiranje njegove važnosti. Slično tome, motiv </w:t>
      </w:r>
      <w:r w:rsidRPr="00BE5472">
        <w:rPr>
          <w:rFonts w:ascii="Times New Roman" w:hAnsi="Times New Roman" w:cs="Times New Roman"/>
          <w:bCs/>
          <w:sz w:val="24"/>
          <w:szCs w:val="24"/>
          <w:lang w:val="it-IT"/>
        </w:rPr>
        <w:t>proširivanja tržišnih segmenata, odnosno baze kupaca</w:t>
      </w:r>
      <w:r w:rsidRPr="00BE5472">
        <w:rPr>
          <w:rFonts w:ascii="Times New Roman" w:hAnsi="Times New Roman" w:cs="Times New Roman"/>
          <w:sz w:val="24"/>
          <w:szCs w:val="24"/>
          <w:lang w:val="it-IT"/>
        </w:rPr>
        <w:t xml:space="preserve"> (aritmetička sredina = 4,167; standardna devijacija = 0,373) ima nešto nižu prosječnu ocjenu, ali i najnižu standardnu devijaciju među promatranim motivima, što ukazuje na izrazito visok stupanj suglasnosti među ispitanicima.</w:t>
      </w:r>
    </w:p>
    <w:p w14:paraId="5C38085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Sljedeću skupinu čine </w:t>
      </w:r>
      <w:r w:rsidRPr="00BE5472">
        <w:rPr>
          <w:rFonts w:ascii="Times New Roman" w:hAnsi="Times New Roman" w:cs="Times New Roman"/>
          <w:bCs/>
          <w:sz w:val="24"/>
          <w:szCs w:val="24"/>
          <w:lang w:val="it-IT"/>
        </w:rPr>
        <w:t>motivi s visokom prosječnom ocjenom, ali izraženijom varijabilnošću mišljenja</w:t>
      </w:r>
      <w:r w:rsidRPr="00BE5472">
        <w:rPr>
          <w:rFonts w:ascii="Times New Roman" w:hAnsi="Times New Roman" w:cs="Times New Roman"/>
          <w:sz w:val="24"/>
          <w:szCs w:val="24"/>
          <w:lang w:val="it-IT"/>
        </w:rPr>
        <w:t xml:space="preserve">. Motiv </w:t>
      </w:r>
      <w:r w:rsidRPr="00BE5472">
        <w:rPr>
          <w:rFonts w:ascii="Times New Roman" w:hAnsi="Times New Roman" w:cs="Times New Roman"/>
          <w:bCs/>
          <w:sz w:val="24"/>
          <w:szCs w:val="24"/>
          <w:lang w:val="it-IT"/>
        </w:rPr>
        <w:t>osiguranja održivog rasta poduzeća preuzimatelja</w:t>
      </w:r>
      <w:r w:rsidRPr="00BE5472">
        <w:rPr>
          <w:rFonts w:ascii="Times New Roman" w:hAnsi="Times New Roman" w:cs="Times New Roman"/>
          <w:sz w:val="24"/>
          <w:szCs w:val="24"/>
          <w:lang w:val="it-IT"/>
        </w:rPr>
        <w:t xml:space="preserve"> (aritmetička sredina = 4,167; standardna devijacija = 0,898) ocijenjen je kao vrlo važan, no viša standardna devijacija upućuje na određene razlike u percepciji njegove važnosti među ispitanicima. Slično vrijedi i za motiv </w:t>
      </w:r>
      <w:r w:rsidRPr="00BE5472">
        <w:rPr>
          <w:rFonts w:ascii="Times New Roman" w:hAnsi="Times New Roman" w:cs="Times New Roman"/>
          <w:bCs/>
          <w:sz w:val="24"/>
          <w:szCs w:val="24"/>
          <w:lang w:val="it-IT"/>
        </w:rPr>
        <w:t>jačanja marke i reputacije poduzeća preuzimatelja</w:t>
      </w:r>
      <w:r w:rsidRPr="00BE5472">
        <w:rPr>
          <w:rFonts w:ascii="Times New Roman" w:hAnsi="Times New Roman" w:cs="Times New Roman"/>
          <w:sz w:val="24"/>
          <w:szCs w:val="24"/>
          <w:lang w:val="it-IT"/>
        </w:rPr>
        <w:t xml:space="preserve"> (aritmetička sredina = 4,167; </w:t>
      </w:r>
      <w:r w:rsidRPr="00BE5472">
        <w:rPr>
          <w:rFonts w:ascii="Times New Roman" w:hAnsi="Times New Roman" w:cs="Times New Roman"/>
          <w:sz w:val="24"/>
          <w:szCs w:val="24"/>
          <w:lang w:val="it-IT"/>
        </w:rPr>
        <w:lastRenderedPageBreak/>
        <w:t>standardna devijacija = 0,687), koji također ostvaruje visoku prosječnu ocjenu uz umjerenu raspršenost odgovora.</w:t>
      </w:r>
    </w:p>
    <w:p w14:paraId="6CA5E37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Posebno se izdvaja motiv </w:t>
      </w:r>
      <w:r w:rsidRPr="00BE5472">
        <w:rPr>
          <w:rFonts w:ascii="Times New Roman" w:hAnsi="Times New Roman" w:cs="Times New Roman"/>
          <w:bCs/>
          <w:sz w:val="24"/>
          <w:szCs w:val="24"/>
          <w:lang w:val="it-IT"/>
        </w:rPr>
        <w:t>nemogućnosti internog rasta</w:t>
      </w:r>
      <w:r w:rsidRPr="00BE5472">
        <w:rPr>
          <w:rFonts w:ascii="Times New Roman" w:hAnsi="Times New Roman" w:cs="Times New Roman"/>
          <w:sz w:val="24"/>
          <w:szCs w:val="24"/>
          <w:lang w:val="it-IT"/>
        </w:rPr>
        <w:t xml:space="preserve"> (aritmetička sredina = 3,667; standardna devijacija = 1,106), kod kojeg je zabilježen </w:t>
      </w:r>
      <w:r w:rsidRPr="00BE5472">
        <w:rPr>
          <w:rFonts w:ascii="Times New Roman" w:hAnsi="Times New Roman" w:cs="Times New Roman"/>
          <w:bCs/>
          <w:sz w:val="24"/>
          <w:szCs w:val="24"/>
          <w:lang w:val="it-IT"/>
        </w:rPr>
        <w:t>najveći stupanj neslaganja među ispitanicima</w:t>
      </w:r>
      <w:r w:rsidRPr="00BE5472">
        <w:rPr>
          <w:rFonts w:ascii="Times New Roman" w:hAnsi="Times New Roman" w:cs="Times New Roman"/>
          <w:sz w:val="24"/>
          <w:szCs w:val="24"/>
          <w:lang w:val="it-IT"/>
        </w:rPr>
        <w:t>. Iako njegova prosječna ocjena ne ukazuje na nisku važnost, visoka standardna devijacija jasno upućuje na podijeljena mišljenja stručnjaka o njegovoj ulozi u pokretanju procesa spajanja i preuzimanja.</w:t>
      </w:r>
    </w:p>
    <w:p w14:paraId="3313A2CC"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Kao </w:t>
      </w:r>
      <w:r w:rsidRPr="00BE5472">
        <w:rPr>
          <w:rFonts w:ascii="Times New Roman" w:hAnsi="Times New Roman" w:cs="Times New Roman"/>
          <w:bCs/>
          <w:sz w:val="24"/>
          <w:szCs w:val="24"/>
          <w:lang w:val="it-IT"/>
        </w:rPr>
        <w:t>najmanje važan motiv</w:t>
      </w:r>
      <w:r w:rsidRPr="00BE5472">
        <w:rPr>
          <w:rFonts w:ascii="Times New Roman" w:hAnsi="Times New Roman" w:cs="Times New Roman"/>
          <w:sz w:val="24"/>
          <w:szCs w:val="24"/>
          <w:lang w:val="it-IT"/>
        </w:rPr>
        <w:t xml:space="preserve"> identificirano je </w:t>
      </w:r>
      <w:r w:rsidRPr="00BE5472">
        <w:rPr>
          <w:rFonts w:ascii="Times New Roman" w:hAnsi="Times New Roman" w:cs="Times New Roman"/>
          <w:bCs/>
          <w:sz w:val="24"/>
          <w:szCs w:val="24"/>
          <w:lang w:val="it-IT"/>
        </w:rPr>
        <w:t>zaokruživanje ciklusa unutar industrije</w:t>
      </w:r>
      <w:r w:rsidRPr="00BE5472">
        <w:rPr>
          <w:rFonts w:ascii="Times New Roman" w:hAnsi="Times New Roman" w:cs="Times New Roman"/>
          <w:sz w:val="24"/>
          <w:szCs w:val="24"/>
          <w:lang w:val="it-IT"/>
        </w:rPr>
        <w:t xml:space="preserve"> (aritmetička sredina = 3,333; standardna devijacija = 0,471). Iako je riječ o motivu s najnižom prosječnom ocjenom, niska standardna devijacija pokazuje da su ispitanici prilično dosljedni u procjeni njegove manje važnosti. Važno je istaknuti da je ovaj motiv predložen kao dodatni čimbenik tijekom prvog kruga (panelnog) ispitivanja.</w:t>
      </w:r>
    </w:p>
    <w:p w14:paraId="604DEA6F" w14:textId="71EE839A" w:rsidR="00120B4F"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Nakon identifikacije ključnih motiva pokretanja procesa spajanja i preuzimanja, analiza se u nastavku usmjerava na čimbenike koji se razmatraju u fazi prije preuzimanja poduzeća mete, a koji imaju presudnu ulogu u procjeni isplativosti i rizika potencijalne akvizicije.</w:t>
      </w:r>
    </w:p>
    <w:p w14:paraId="663BADD8" w14:textId="58DDE1A2" w:rsidR="00183A57" w:rsidRDefault="00183A57" w:rsidP="00120B4F">
      <w:pPr>
        <w:spacing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 xml:space="preserve">Radi preglednijeg prikaza rezultata, u </w:t>
      </w:r>
      <w:r w:rsidR="00127A4E">
        <w:rPr>
          <w:rFonts w:ascii="Times New Roman" w:hAnsi="Times New Roman" w:cs="Times New Roman"/>
          <w:sz w:val="24"/>
          <w:szCs w:val="24"/>
          <w:lang w:val="it-IT"/>
        </w:rPr>
        <w:t>Tablici</w:t>
      </w:r>
      <w:r w:rsidRPr="00183A57">
        <w:rPr>
          <w:rFonts w:ascii="Times New Roman" w:hAnsi="Times New Roman" w:cs="Times New Roman"/>
          <w:sz w:val="24"/>
          <w:szCs w:val="24"/>
          <w:lang w:val="it-IT"/>
        </w:rPr>
        <w:t xml:space="preserve"> 33 prikazana je hijerarhija ključnih čimbenika uspjeha u fazi koja prethodi preuzimanju poduzeća mete prema prosječnoj ocjeni njihove važnosti.</w:t>
      </w:r>
    </w:p>
    <w:p w14:paraId="728EB140" w14:textId="22B6E2E6" w:rsidR="00BE7834" w:rsidRPr="00E1098E" w:rsidRDefault="00E1098E" w:rsidP="00E1098E">
      <w:pPr>
        <w:pStyle w:val="Caption"/>
        <w:rPr>
          <w:rFonts w:ascii="Times New Roman" w:hAnsi="Times New Roman" w:cs="Times New Roman"/>
          <w:sz w:val="24"/>
          <w:szCs w:val="24"/>
          <w:lang w:val="it-IT"/>
        </w:rPr>
      </w:pPr>
      <w:bookmarkStart w:id="182" w:name="_Toc241865227"/>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33</w:t>
      </w:r>
      <w:r w:rsidRPr="00E1098E">
        <w:rPr>
          <w:rFonts w:ascii="Times New Roman" w:hAnsi="Times New Roman" w:cs="Times New Roman"/>
          <w:sz w:val="24"/>
          <w:szCs w:val="24"/>
        </w:rPr>
        <w:fldChar w:fldCharType="end"/>
      </w:r>
      <w:r w:rsidR="00BE7834" w:rsidRPr="00E1098E">
        <w:rPr>
          <w:rFonts w:ascii="Times New Roman" w:hAnsi="Times New Roman" w:cs="Times New Roman"/>
          <w:sz w:val="24"/>
          <w:szCs w:val="24"/>
          <w:lang w:val="it-IT"/>
        </w:rPr>
        <w:t xml:space="preserve">: </w:t>
      </w:r>
      <w:r w:rsidR="00183A57" w:rsidRPr="00E1098E">
        <w:rPr>
          <w:rFonts w:ascii="Times New Roman" w:hAnsi="Times New Roman" w:cs="Times New Roman"/>
          <w:sz w:val="24"/>
          <w:szCs w:val="24"/>
        </w:rPr>
        <w:t>Hijerarhija ključnih čimbenika uspjeha u fazi koja prethodi preuzimanju poduzeća mete prema rezultatima drugog ciklusa Delphi postupka</w:t>
      </w:r>
      <w:bookmarkEnd w:id="182"/>
    </w:p>
    <w:tbl>
      <w:tblPr>
        <w:tblStyle w:val="Reetkatablice1"/>
        <w:tblW w:w="0" w:type="auto"/>
        <w:tblLook w:val="04A0" w:firstRow="1" w:lastRow="0" w:firstColumn="1" w:lastColumn="0" w:noHBand="0" w:noVBand="1"/>
      </w:tblPr>
      <w:tblGrid>
        <w:gridCol w:w="763"/>
        <w:gridCol w:w="5344"/>
        <w:gridCol w:w="636"/>
        <w:gridCol w:w="2276"/>
      </w:tblGrid>
      <w:tr w:rsidR="00BE7834" w:rsidRPr="00BE7834" w14:paraId="10645952" w14:textId="77777777" w:rsidTr="00BE7834">
        <w:tc>
          <w:tcPr>
            <w:tcW w:w="0" w:type="auto"/>
            <w:hideMark/>
          </w:tcPr>
          <w:p w14:paraId="5B03484B"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Rang</w:t>
            </w:r>
          </w:p>
        </w:tc>
        <w:tc>
          <w:tcPr>
            <w:tcW w:w="0" w:type="auto"/>
            <w:hideMark/>
          </w:tcPr>
          <w:p w14:paraId="27F951AB"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Ključni čimbenik uspjeha</w:t>
            </w:r>
          </w:p>
        </w:tc>
        <w:tc>
          <w:tcPr>
            <w:tcW w:w="0" w:type="auto"/>
            <w:hideMark/>
          </w:tcPr>
          <w:p w14:paraId="22BEE098"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M</w:t>
            </w:r>
          </w:p>
        </w:tc>
        <w:tc>
          <w:tcPr>
            <w:tcW w:w="0" w:type="auto"/>
            <w:hideMark/>
          </w:tcPr>
          <w:p w14:paraId="0FBAE809" w14:textId="77777777" w:rsidR="00BE7834" w:rsidRPr="00BE7834" w:rsidRDefault="00BE7834" w:rsidP="00BE7834">
            <w:pPr>
              <w:spacing w:after="160" w:line="360" w:lineRule="auto"/>
              <w:jc w:val="both"/>
              <w:rPr>
                <w:rFonts w:ascii="Times New Roman" w:hAnsi="Times New Roman" w:cs="Times New Roman"/>
                <w:b/>
                <w:bCs/>
                <w:sz w:val="24"/>
                <w:szCs w:val="24"/>
                <w:lang w:val="en-US"/>
              </w:rPr>
            </w:pPr>
            <w:r w:rsidRPr="00BE7834">
              <w:rPr>
                <w:rFonts w:ascii="Times New Roman" w:hAnsi="Times New Roman" w:cs="Times New Roman"/>
                <w:b/>
                <w:bCs/>
                <w:sz w:val="24"/>
                <w:szCs w:val="24"/>
                <w:lang w:val="en-US"/>
              </w:rPr>
              <w:t>Linearno ponderirani indeks suglasnosti</w:t>
            </w:r>
          </w:p>
        </w:tc>
      </w:tr>
      <w:tr w:rsidR="00BE7834" w:rsidRPr="00BE7834" w14:paraId="6E3772E7" w14:textId="77777777" w:rsidTr="00BE7834">
        <w:tc>
          <w:tcPr>
            <w:tcW w:w="0" w:type="auto"/>
            <w:hideMark/>
          </w:tcPr>
          <w:p w14:paraId="74C34D2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w:t>
            </w:r>
          </w:p>
        </w:tc>
        <w:tc>
          <w:tcPr>
            <w:tcW w:w="0" w:type="auto"/>
            <w:hideMark/>
          </w:tcPr>
          <w:p w14:paraId="0374552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Dobra procjena potencijalne operativne sinergije poduzeća mete na poduzeće preuzimatelja (tj. poboljšane operativne učinkovitosti)</w:t>
            </w:r>
          </w:p>
        </w:tc>
        <w:tc>
          <w:tcPr>
            <w:tcW w:w="0" w:type="auto"/>
            <w:hideMark/>
          </w:tcPr>
          <w:p w14:paraId="20F437D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4,67</w:t>
            </w:r>
          </w:p>
        </w:tc>
        <w:tc>
          <w:tcPr>
            <w:tcW w:w="0" w:type="auto"/>
            <w:hideMark/>
          </w:tcPr>
          <w:p w14:paraId="540F68E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0,83</w:t>
            </w:r>
          </w:p>
        </w:tc>
      </w:tr>
      <w:tr w:rsidR="00BE7834" w:rsidRPr="00BE7834" w14:paraId="19FEE966" w14:textId="77777777" w:rsidTr="00BE7834">
        <w:tc>
          <w:tcPr>
            <w:tcW w:w="0" w:type="auto"/>
            <w:hideMark/>
          </w:tcPr>
          <w:p w14:paraId="603FE8B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w:t>
            </w:r>
          </w:p>
        </w:tc>
        <w:tc>
          <w:tcPr>
            <w:tcW w:w="0" w:type="auto"/>
            <w:hideMark/>
          </w:tcPr>
          <w:p w14:paraId="0ECFF520"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Dobro poznavanje regulative i propisa</w:t>
            </w:r>
          </w:p>
        </w:tc>
        <w:tc>
          <w:tcPr>
            <w:tcW w:w="0" w:type="auto"/>
            <w:hideMark/>
          </w:tcPr>
          <w:p w14:paraId="5AFB800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4,50</w:t>
            </w:r>
          </w:p>
        </w:tc>
        <w:tc>
          <w:tcPr>
            <w:tcW w:w="0" w:type="auto"/>
            <w:hideMark/>
          </w:tcPr>
          <w:p w14:paraId="7D6B573E"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0,56</w:t>
            </w:r>
          </w:p>
        </w:tc>
      </w:tr>
      <w:tr w:rsidR="00BE7834" w:rsidRPr="00BE7834" w14:paraId="590A089D" w14:textId="77777777" w:rsidTr="00BE7834">
        <w:tc>
          <w:tcPr>
            <w:tcW w:w="0" w:type="auto"/>
            <w:hideMark/>
          </w:tcPr>
          <w:p w14:paraId="634CBBE7"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w:t>
            </w:r>
          </w:p>
        </w:tc>
        <w:tc>
          <w:tcPr>
            <w:tcW w:w="0" w:type="auto"/>
            <w:hideMark/>
          </w:tcPr>
          <w:p w14:paraId="11D1828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Dubinsko snimanje poduzeća mete</w:t>
            </w:r>
          </w:p>
        </w:tc>
        <w:tc>
          <w:tcPr>
            <w:tcW w:w="0" w:type="auto"/>
            <w:hideMark/>
          </w:tcPr>
          <w:p w14:paraId="2D8A622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4,50</w:t>
            </w:r>
          </w:p>
        </w:tc>
        <w:tc>
          <w:tcPr>
            <w:tcW w:w="0" w:type="auto"/>
            <w:hideMark/>
          </w:tcPr>
          <w:p w14:paraId="30E4EAA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0,81</w:t>
            </w:r>
          </w:p>
        </w:tc>
      </w:tr>
      <w:tr w:rsidR="00BE7834" w:rsidRPr="00BE7834" w14:paraId="45C98551" w14:textId="77777777" w:rsidTr="00BE7834">
        <w:tc>
          <w:tcPr>
            <w:tcW w:w="0" w:type="auto"/>
            <w:hideMark/>
          </w:tcPr>
          <w:p w14:paraId="70F95EF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lastRenderedPageBreak/>
              <w:t>2.</w:t>
            </w:r>
          </w:p>
        </w:tc>
        <w:tc>
          <w:tcPr>
            <w:tcW w:w="0" w:type="auto"/>
            <w:hideMark/>
          </w:tcPr>
          <w:p w14:paraId="29BD84E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Potencijalni učinak na jačanje marke i reputacije poduzeća preuzimatelja</w:t>
            </w:r>
          </w:p>
        </w:tc>
        <w:tc>
          <w:tcPr>
            <w:tcW w:w="0" w:type="auto"/>
            <w:hideMark/>
          </w:tcPr>
          <w:p w14:paraId="66A02A9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4,50</w:t>
            </w:r>
          </w:p>
        </w:tc>
        <w:tc>
          <w:tcPr>
            <w:tcW w:w="0" w:type="auto"/>
            <w:hideMark/>
          </w:tcPr>
          <w:p w14:paraId="298DF3A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0,81</w:t>
            </w:r>
          </w:p>
        </w:tc>
      </w:tr>
      <w:tr w:rsidR="00BE7834" w:rsidRPr="00BE7834" w14:paraId="22143739" w14:textId="77777777" w:rsidTr="00BE7834">
        <w:tc>
          <w:tcPr>
            <w:tcW w:w="0" w:type="auto"/>
            <w:hideMark/>
          </w:tcPr>
          <w:p w14:paraId="5F0C55F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w:t>
            </w:r>
          </w:p>
        </w:tc>
        <w:tc>
          <w:tcPr>
            <w:tcW w:w="0" w:type="auto"/>
            <w:hideMark/>
          </w:tcPr>
          <w:p w14:paraId="774B6B0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Sadašnja vrijednost očekivanih sinergija preuzimanja za poduzeće preuzimatelja bit će veća od plaćenih premija</w:t>
            </w:r>
          </w:p>
        </w:tc>
        <w:tc>
          <w:tcPr>
            <w:tcW w:w="0" w:type="auto"/>
            <w:hideMark/>
          </w:tcPr>
          <w:p w14:paraId="2356CF0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4,50</w:t>
            </w:r>
          </w:p>
        </w:tc>
        <w:tc>
          <w:tcPr>
            <w:tcW w:w="0" w:type="auto"/>
            <w:hideMark/>
          </w:tcPr>
          <w:p w14:paraId="545027D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0,81</w:t>
            </w:r>
          </w:p>
        </w:tc>
      </w:tr>
      <w:tr w:rsidR="00BE7834" w:rsidRPr="00BE7834" w14:paraId="06F430DA" w14:textId="77777777" w:rsidTr="00BE7834">
        <w:tc>
          <w:tcPr>
            <w:tcW w:w="0" w:type="auto"/>
            <w:hideMark/>
          </w:tcPr>
          <w:p w14:paraId="7C97455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6.</w:t>
            </w:r>
          </w:p>
        </w:tc>
        <w:tc>
          <w:tcPr>
            <w:tcW w:w="0" w:type="auto"/>
            <w:hideMark/>
          </w:tcPr>
          <w:p w14:paraId="524B3CC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Potreba kapitalnih izdataka kod poduzeća mete (npr. potencijalni troškovi obnove nekretnina)</w:t>
            </w:r>
          </w:p>
        </w:tc>
        <w:tc>
          <w:tcPr>
            <w:tcW w:w="0" w:type="auto"/>
            <w:hideMark/>
          </w:tcPr>
          <w:p w14:paraId="2B68281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4,33</w:t>
            </w:r>
          </w:p>
        </w:tc>
        <w:tc>
          <w:tcPr>
            <w:tcW w:w="0" w:type="auto"/>
            <w:hideMark/>
          </w:tcPr>
          <w:p w14:paraId="55D5D25E"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0,83</w:t>
            </w:r>
          </w:p>
        </w:tc>
      </w:tr>
      <w:tr w:rsidR="00BE7834" w:rsidRPr="00BE7834" w14:paraId="4E458DA4" w14:textId="77777777" w:rsidTr="00BE7834">
        <w:tc>
          <w:tcPr>
            <w:tcW w:w="0" w:type="auto"/>
            <w:hideMark/>
          </w:tcPr>
          <w:p w14:paraId="6102C05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7.</w:t>
            </w:r>
          </w:p>
        </w:tc>
        <w:tc>
          <w:tcPr>
            <w:tcW w:w="0" w:type="auto"/>
            <w:hideMark/>
          </w:tcPr>
          <w:p w14:paraId="419A66D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Potencijalna financijska sinergija akvizicije (npr. niži troškovi kapitala, niža porezna stopa)</w:t>
            </w:r>
          </w:p>
        </w:tc>
        <w:tc>
          <w:tcPr>
            <w:tcW w:w="0" w:type="auto"/>
            <w:hideMark/>
          </w:tcPr>
          <w:p w14:paraId="5B68CCC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4,17</w:t>
            </w:r>
          </w:p>
        </w:tc>
        <w:tc>
          <w:tcPr>
            <w:tcW w:w="0" w:type="auto"/>
            <w:hideMark/>
          </w:tcPr>
          <w:p w14:paraId="5E85CE3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0,65</w:t>
            </w:r>
          </w:p>
        </w:tc>
      </w:tr>
      <w:tr w:rsidR="00BE7834" w:rsidRPr="00BE7834" w14:paraId="2499CFDC" w14:textId="77777777" w:rsidTr="00BE7834">
        <w:tc>
          <w:tcPr>
            <w:tcW w:w="0" w:type="auto"/>
            <w:hideMark/>
          </w:tcPr>
          <w:p w14:paraId="5D57AF1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07E5998B"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Imidž turističke destinacije u kojoj posluje poduzeće meta</w:t>
            </w:r>
          </w:p>
        </w:tc>
        <w:tc>
          <w:tcPr>
            <w:tcW w:w="0" w:type="auto"/>
            <w:hideMark/>
          </w:tcPr>
          <w:p w14:paraId="0E403135"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4FAC6B3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0,75</w:t>
            </w:r>
          </w:p>
        </w:tc>
      </w:tr>
      <w:tr w:rsidR="00BE7834" w:rsidRPr="00BE7834" w14:paraId="562BC612" w14:textId="77777777" w:rsidTr="00BE7834">
        <w:tc>
          <w:tcPr>
            <w:tcW w:w="0" w:type="auto"/>
            <w:hideMark/>
          </w:tcPr>
          <w:p w14:paraId="3BC7EB3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7F974A9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Lokacija poduzeća mete</w:t>
            </w:r>
          </w:p>
        </w:tc>
        <w:tc>
          <w:tcPr>
            <w:tcW w:w="0" w:type="auto"/>
            <w:hideMark/>
          </w:tcPr>
          <w:p w14:paraId="6A163443"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70DFD643"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0,75</w:t>
            </w:r>
          </w:p>
        </w:tc>
      </w:tr>
      <w:tr w:rsidR="00BE7834" w:rsidRPr="00BE7834" w14:paraId="1CBAA076" w14:textId="77777777" w:rsidTr="00BE7834">
        <w:tc>
          <w:tcPr>
            <w:tcW w:w="0" w:type="auto"/>
            <w:hideMark/>
          </w:tcPr>
          <w:p w14:paraId="685A7295"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70EABA5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Strateška povezanost između poduzeća preuzimatelja i poduzeća mete</w:t>
            </w:r>
          </w:p>
        </w:tc>
        <w:tc>
          <w:tcPr>
            <w:tcW w:w="0" w:type="auto"/>
            <w:hideMark/>
          </w:tcPr>
          <w:p w14:paraId="77FC3B67"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227FD27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0,75</w:t>
            </w:r>
          </w:p>
        </w:tc>
      </w:tr>
      <w:tr w:rsidR="00BE7834" w:rsidRPr="00BE7834" w14:paraId="31109FA9" w14:textId="77777777" w:rsidTr="00BE7834">
        <w:tc>
          <w:tcPr>
            <w:tcW w:w="0" w:type="auto"/>
            <w:hideMark/>
          </w:tcPr>
          <w:p w14:paraId="3EAA984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31A175C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Način akvizicije (npr. spajanje, neprijateljsko preuzimanje itd.)</w:t>
            </w:r>
          </w:p>
        </w:tc>
        <w:tc>
          <w:tcPr>
            <w:tcW w:w="0" w:type="auto"/>
            <w:hideMark/>
          </w:tcPr>
          <w:p w14:paraId="1A2F0DE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1A3652BB"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0,00</w:t>
            </w:r>
          </w:p>
        </w:tc>
      </w:tr>
      <w:tr w:rsidR="00BE7834" w:rsidRPr="00BE7834" w14:paraId="031D40F2" w14:textId="77777777" w:rsidTr="00BE7834">
        <w:tc>
          <w:tcPr>
            <w:tcW w:w="0" w:type="auto"/>
            <w:hideMark/>
          </w:tcPr>
          <w:p w14:paraId="65C9D40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0AD9301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Potencijalna upravljačka sinergija (tj. poboljšani konkurentni položaj poduzeća mete prijenosom upravljačkog znanja poduzeća preuzimatelja)</w:t>
            </w:r>
          </w:p>
        </w:tc>
        <w:tc>
          <w:tcPr>
            <w:tcW w:w="0" w:type="auto"/>
            <w:hideMark/>
          </w:tcPr>
          <w:p w14:paraId="4916F118"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102C008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0,75</w:t>
            </w:r>
          </w:p>
        </w:tc>
      </w:tr>
      <w:tr w:rsidR="00BE7834" w:rsidRPr="00BE7834" w14:paraId="378CEBCD" w14:textId="77777777" w:rsidTr="00BE7834">
        <w:tc>
          <w:tcPr>
            <w:tcW w:w="0" w:type="auto"/>
            <w:hideMark/>
          </w:tcPr>
          <w:p w14:paraId="145127B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086E040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Cijena ponude (akvizicije) temelji se na konkurentnom položaju poduzeća mete u hotelskom sektoru</w:t>
            </w:r>
          </w:p>
        </w:tc>
        <w:tc>
          <w:tcPr>
            <w:tcW w:w="0" w:type="auto"/>
            <w:hideMark/>
          </w:tcPr>
          <w:p w14:paraId="7F9D823E"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589A6E7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0,75</w:t>
            </w:r>
          </w:p>
        </w:tc>
      </w:tr>
      <w:tr w:rsidR="00BE7834" w:rsidRPr="00BE7834" w14:paraId="511CB659" w14:textId="77777777" w:rsidTr="00BE7834">
        <w:tc>
          <w:tcPr>
            <w:tcW w:w="0" w:type="auto"/>
            <w:hideMark/>
          </w:tcPr>
          <w:p w14:paraId="343EFB2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8.</w:t>
            </w:r>
          </w:p>
        </w:tc>
        <w:tc>
          <w:tcPr>
            <w:tcW w:w="0" w:type="auto"/>
            <w:hideMark/>
          </w:tcPr>
          <w:p w14:paraId="6F34EACA"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Kapitalna struktura i troškovi kapitala poduzeća mete</w:t>
            </w:r>
          </w:p>
        </w:tc>
        <w:tc>
          <w:tcPr>
            <w:tcW w:w="0" w:type="auto"/>
            <w:hideMark/>
          </w:tcPr>
          <w:p w14:paraId="5C20445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4,00</w:t>
            </w:r>
          </w:p>
        </w:tc>
        <w:tc>
          <w:tcPr>
            <w:tcW w:w="0" w:type="auto"/>
            <w:hideMark/>
          </w:tcPr>
          <w:p w14:paraId="5CEB7CB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0,50</w:t>
            </w:r>
          </w:p>
        </w:tc>
      </w:tr>
      <w:tr w:rsidR="00BE7834" w:rsidRPr="00BE7834" w14:paraId="140B4B2C" w14:textId="77777777" w:rsidTr="00BE7834">
        <w:tc>
          <w:tcPr>
            <w:tcW w:w="0" w:type="auto"/>
            <w:hideMark/>
          </w:tcPr>
          <w:p w14:paraId="558C58C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15.</w:t>
            </w:r>
          </w:p>
        </w:tc>
        <w:tc>
          <w:tcPr>
            <w:tcW w:w="0" w:type="auto"/>
            <w:hideMark/>
          </w:tcPr>
          <w:p w14:paraId="0437ED4C"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Trend glavnih hotelskih pokazatelja uspješnosti poduzeća mete (popunjenost, RevPAR, slobodni novčani tijek i ADR)</w:t>
            </w:r>
          </w:p>
        </w:tc>
        <w:tc>
          <w:tcPr>
            <w:tcW w:w="0" w:type="auto"/>
            <w:hideMark/>
          </w:tcPr>
          <w:p w14:paraId="709725E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3,83</w:t>
            </w:r>
          </w:p>
        </w:tc>
        <w:tc>
          <w:tcPr>
            <w:tcW w:w="0" w:type="auto"/>
            <w:hideMark/>
          </w:tcPr>
          <w:p w14:paraId="71959F4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0,40</w:t>
            </w:r>
          </w:p>
        </w:tc>
      </w:tr>
      <w:tr w:rsidR="00BE7834" w:rsidRPr="00BE7834" w14:paraId="064768DB" w14:textId="77777777" w:rsidTr="00BE7834">
        <w:tc>
          <w:tcPr>
            <w:tcW w:w="0" w:type="auto"/>
            <w:hideMark/>
          </w:tcPr>
          <w:p w14:paraId="104F804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16.</w:t>
            </w:r>
          </w:p>
        </w:tc>
        <w:tc>
          <w:tcPr>
            <w:tcW w:w="0" w:type="auto"/>
            <w:hideMark/>
          </w:tcPr>
          <w:p w14:paraId="54F8B42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Iznos akvizicijske premije</w:t>
            </w:r>
          </w:p>
        </w:tc>
        <w:tc>
          <w:tcPr>
            <w:tcW w:w="0" w:type="auto"/>
            <w:hideMark/>
          </w:tcPr>
          <w:p w14:paraId="6423206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3,67</w:t>
            </w:r>
          </w:p>
        </w:tc>
        <w:tc>
          <w:tcPr>
            <w:tcW w:w="0" w:type="auto"/>
            <w:hideMark/>
          </w:tcPr>
          <w:p w14:paraId="329E845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0,83</w:t>
            </w:r>
          </w:p>
        </w:tc>
      </w:tr>
      <w:tr w:rsidR="00BE7834" w:rsidRPr="00BE7834" w14:paraId="5241A979" w14:textId="77777777" w:rsidTr="00BE7834">
        <w:tc>
          <w:tcPr>
            <w:tcW w:w="0" w:type="auto"/>
            <w:hideMark/>
          </w:tcPr>
          <w:p w14:paraId="7C8E40F8"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lastRenderedPageBreak/>
              <w:t>17.</w:t>
            </w:r>
          </w:p>
        </w:tc>
        <w:tc>
          <w:tcPr>
            <w:tcW w:w="0" w:type="auto"/>
            <w:hideMark/>
          </w:tcPr>
          <w:p w14:paraId="785F58C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Vlasnička struktura poduzeća mete</w:t>
            </w:r>
          </w:p>
        </w:tc>
        <w:tc>
          <w:tcPr>
            <w:tcW w:w="0" w:type="auto"/>
            <w:hideMark/>
          </w:tcPr>
          <w:p w14:paraId="7CDD159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3,50</w:t>
            </w:r>
          </w:p>
        </w:tc>
        <w:tc>
          <w:tcPr>
            <w:tcW w:w="0" w:type="auto"/>
            <w:hideMark/>
          </w:tcPr>
          <w:p w14:paraId="48933413"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0,31</w:t>
            </w:r>
          </w:p>
        </w:tc>
      </w:tr>
      <w:tr w:rsidR="00BE7834" w:rsidRPr="00BE7834" w14:paraId="15C96184" w14:textId="77777777" w:rsidTr="00BE7834">
        <w:tc>
          <w:tcPr>
            <w:tcW w:w="0" w:type="auto"/>
            <w:hideMark/>
          </w:tcPr>
          <w:p w14:paraId="3C0F685D"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17.</w:t>
            </w:r>
          </w:p>
        </w:tc>
        <w:tc>
          <w:tcPr>
            <w:tcW w:w="0" w:type="auto"/>
            <w:hideMark/>
          </w:tcPr>
          <w:p w14:paraId="362396B8" w14:textId="77777777" w:rsidR="00BE7834" w:rsidRPr="00BE7834" w:rsidRDefault="00BE7834" w:rsidP="00BE7834">
            <w:pPr>
              <w:spacing w:after="160" w:line="360" w:lineRule="auto"/>
              <w:jc w:val="both"/>
              <w:rPr>
                <w:rFonts w:ascii="Times New Roman" w:hAnsi="Times New Roman" w:cs="Times New Roman"/>
                <w:sz w:val="24"/>
                <w:szCs w:val="24"/>
                <w:lang w:val="it-IT"/>
              </w:rPr>
            </w:pPr>
            <w:r w:rsidRPr="00BE7834">
              <w:rPr>
                <w:rFonts w:ascii="Times New Roman" w:hAnsi="Times New Roman" w:cs="Times New Roman"/>
                <w:sz w:val="24"/>
                <w:szCs w:val="24"/>
                <w:lang w:val="it-IT"/>
              </w:rPr>
              <w:t>Preliminarni razgovori u poduzeću meti</w:t>
            </w:r>
          </w:p>
        </w:tc>
        <w:tc>
          <w:tcPr>
            <w:tcW w:w="0" w:type="auto"/>
            <w:hideMark/>
          </w:tcPr>
          <w:p w14:paraId="0E59F00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3,50</w:t>
            </w:r>
          </w:p>
        </w:tc>
        <w:tc>
          <w:tcPr>
            <w:tcW w:w="0" w:type="auto"/>
            <w:hideMark/>
          </w:tcPr>
          <w:p w14:paraId="2B59241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0,56</w:t>
            </w:r>
          </w:p>
        </w:tc>
      </w:tr>
      <w:tr w:rsidR="00BE7834" w:rsidRPr="00BE7834" w14:paraId="7698442B" w14:textId="77777777" w:rsidTr="00BE7834">
        <w:tc>
          <w:tcPr>
            <w:tcW w:w="0" w:type="auto"/>
            <w:hideMark/>
          </w:tcPr>
          <w:p w14:paraId="69AEC76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17.</w:t>
            </w:r>
          </w:p>
        </w:tc>
        <w:tc>
          <w:tcPr>
            <w:tcW w:w="0" w:type="auto"/>
            <w:hideMark/>
          </w:tcPr>
          <w:p w14:paraId="71250BC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Identifikacija karakterističnih aspekata organizacijske kulture mete u usporedbi s poduzećem preuzimateljem</w:t>
            </w:r>
          </w:p>
        </w:tc>
        <w:tc>
          <w:tcPr>
            <w:tcW w:w="0" w:type="auto"/>
            <w:hideMark/>
          </w:tcPr>
          <w:p w14:paraId="35414B60"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3,50</w:t>
            </w:r>
          </w:p>
        </w:tc>
        <w:tc>
          <w:tcPr>
            <w:tcW w:w="0" w:type="auto"/>
            <w:hideMark/>
          </w:tcPr>
          <w:p w14:paraId="24F56E6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0,56</w:t>
            </w:r>
          </w:p>
        </w:tc>
      </w:tr>
      <w:tr w:rsidR="00BE7834" w:rsidRPr="00BE7834" w14:paraId="454281E7" w14:textId="77777777" w:rsidTr="00BE7834">
        <w:tc>
          <w:tcPr>
            <w:tcW w:w="0" w:type="auto"/>
            <w:hideMark/>
          </w:tcPr>
          <w:p w14:paraId="4A7C2A05"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17.</w:t>
            </w:r>
          </w:p>
        </w:tc>
        <w:tc>
          <w:tcPr>
            <w:tcW w:w="0" w:type="auto"/>
            <w:hideMark/>
          </w:tcPr>
          <w:p w14:paraId="1864DA2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Uključivanje ključnih menadžera i zaposlenika poduzeća preuzimatelja u planiranje akvizicije</w:t>
            </w:r>
          </w:p>
        </w:tc>
        <w:tc>
          <w:tcPr>
            <w:tcW w:w="0" w:type="auto"/>
            <w:hideMark/>
          </w:tcPr>
          <w:p w14:paraId="7012104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3,50</w:t>
            </w:r>
          </w:p>
        </w:tc>
        <w:tc>
          <w:tcPr>
            <w:tcW w:w="0" w:type="auto"/>
            <w:hideMark/>
          </w:tcPr>
          <w:p w14:paraId="0007C5F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0,56</w:t>
            </w:r>
          </w:p>
        </w:tc>
      </w:tr>
      <w:tr w:rsidR="00BE7834" w:rsidRPr="00BE7834" w14:paraId="4D9BFCEF" w14:textId="77777777" w:rsidTr="00BE7834">
        <w:tc>
          <w:tcPr>
            <w:tcW w:w="0" w:type="auto"/>
            <w:hideMark/>
          </w:tcPr>
          <w:p w14:paraId="237E4759"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17.</w:t>
            </w:r>
          </w:p>
        </w:tc>
        <w:tc>
          <w:tcPr>
            <w:tcW w:w="0" w:type="auto"/>
            <w:hideMark/>
          </w:tcPr>
          <w:p w14:paraId="3E83ECEF"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Globalna ekonomska situacija</w:t>
            </w:r>
          </w:p>
        </w:tc>
        <w:tc>
          <w:tcPr>
            <w:tcW w:w="0" w:type="auto"/>
            <w:hideMark/>
          </w:tcPr>
          <w:p w14:paraId="6625713A"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3,50</w:t>
            </w:r>
          </w:p>
        </w:tc>
        <w:tc>
          <w:tcPr>
            <w:tcW w:w="0" w:type="auto"/>
            <w:hideMark/>
          </w:tcPr>
          <w:p w14:paraId="4575A73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0,81</w:t>
            </w:r>
          </w:p>
        </w:tc>
      </w:tr>
      <w:tr w:rsidR="00BE7834" w:rsidRPr="00BE7834" w14:paraId="2C524D83" w14:textId="77777777" w:rsidTr="00BE7834">
        <w:tc>
          <w:tcPr>
            <w:tcW w:w="0" w:type="auto"/>
            <w:hideMark/>
          </w:tcPr>
          <w:p w14:paraId="7443398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22.</w:t>
            </w:r>
          </w:p>
        </w:tc>
        <w:tc>
          <w:tcPr>
            <w:tcW w:w="0" w:type="auto"/>
            <w:hideMark/>
          </w:tcPr>
          <w:p w14:paraId="5202248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Trend glavnih računovodstvenih pokazatelja uspješnosti poduzeća mete</w:t>
            </w:r>
          </w:p>
        </w:tc>
        <w:tc>
          <w:tcPr>
            <w:tcW w:w="0" w:type="auto"/>
            <w:hideMark/>
          </w:tcPr>
          <w:p w14:paraId="373FB232"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3,33</w:t>
            </w:r>
          </w:p>
        </w:tc>
        <w:tc>
          <w:tcPr>
            <w:tcW w:w="0" w:type="auto"/>
            <w:hideMark/>
          </w:tcPr>
          <w:p w14:paraId="21A404A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0,33</w:t>
            </w:r>
          </w:p>
        </w:tc>
      </w:tr>
      <w:tr w:rsidR="00BE7834" w:rsidRPr="00BE7834" w14:paraId="4F19B9A4" w14:textId="77777777" w:rsidTr="00BE7834">
        <w:tc>
          <w:tcPr>
            <w:tcW w:w="0" w:type="auto"/>
            <w:hideMark/>
          </w:tcPr>
          <w:p w14:paraId="6C7456D4"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23.</w:t>
            </w:r>
          </w:p>
        </w:tc>
        <w:tc>
          <w:tcPr>
            <w:tcW w:w="0" w:type="auto"/>
            <w:hideMark/>
          </w:tcPr>
          <w:p w14:paraId="463404B7"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Povezanost i kompatibilnost poduzeća mete s informacijskom infrastrukturom poduzeća preuzimatelja</w:t>
            </w:r>
          </w:p>
        </w:tc>
        <w:tc>
          <w:tcPr>
            <w:tcW w:w="0" w:type="auto"/>
            <w:hideMark/>
          </w:tcPr>
          <w:p w14:paraId="54A5CA81"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3,17</w:t>
            </w:r>
          </w:p>
        </w:tc>
        <w:tc>
          <w:tcPr>
            <w:tcW w:w="0" w:type="auto"/>
            <w:hideMark/>
          </w:tcPr>
          <w:p w14:paraId="77569186" w14:textId="77777777" w:rsidR="00BE7834" w:rsidRPr="00BE7834" w:rsidRDefault="00BE7834" w:rsidP="00BE7834">
            <w:pPr>
              <w:spacing w:after="160" w:line="360" w:lineRule="auto"/>
              <w:jc w:val="both"/>
              <w:rPr>
                <w:rFonts w:ascii="Times New Roman" w:hAnsi="Times New Roman" w:cs="Times New Roman"/>
                <w:sz w:val="24"/>
                <w:szCs w:val="24"/>
                <w:lang w:val="en-US"/>
              </w:rPr>
            </w:pPr>
            <w:r w:rsidRPr="00BE7834">
              <w:rPr>
                <w:rFonts w:ascii="Times New Roman" w:hAnsi="Times New Roman" w:cs="Times New Roman"/>
                <w:sz w:val="24"/>
                <w:szCs w:val="24"/>
                <w:lang w:val="en-US"/>
              </w:rPr>
              <w:t>0,40</w:t>
            </w:r>
          </w:p>
        </w:tc>
      </w:tr>
    </w:tbl>
    <w:p w14:paraId="251DBFD1" w14:textId="77777777" w:rsidR="00183A57" w:rsidRPr="00183A57" w:rsidRDefault="00183A57" w:rsidP="00183A57">
      <w:pPr>
        <w:spacing w:line="360" w:lineRule="auto"/>
        <w:jc w:val="both"/>
        <w:rPr>
          <w:rFonts w:ascii="Times New Roman" w:hAnsi="Times New Roman" w:cs="Times New Roman"/>
          <w:sz w:val="24"/>
          <w:szCs w:val="24"/>
        </w:rPr>
      </w:pPr>
      <w:r w:rsidRPr="00183A57">
        <w:rPr>
          <w:rFonts w:ascii="Times New Roman" w:hAnsi="Times New Roman" w:cs="Times New Roman"/>
          <w:sz w:val="24"/>
          <w:szCs w:val="24"/>
        </w:rPr>
        <w:t>Izvor: obrada autora</w:t>
      </w:r>
    </w:p>
    <w:p w14:paraId="28279099"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rezultata drugog kruga Delphi ispitivanja identificirani su </w:t>
      </w:r>
      <w:r w:rsidRPr="00BE5472">
        <w:rPr>
          <w:rFonts w:ascii="Times New Roman" w:hAnsi="Times New Roman" w:cs="Times New Roman"/>
          <w:b/>
          <w:sz w:val="24"/>
          <w:szCs w:val="24"/>
        </w:rPr>
        <w:t>ključni čimbenici uspjeha procesa spajanja i preuzimanja u hrvatskom hotelijerstvu u fazi koja prethodi preuzimanju poduzeća mete.</w:t>
      </w:r>
      <w:r w:rsidRPr="00BE5472">
        <w:rPr>
          <w:rFonts w:ascii="Times New Roman" w:hAnsi="Times New Roman" w:cs="Times New Roman"/>
          <w:sz w:val="24"/>
          <w:szCs w:val="24"/>
        </w:rPr>
        <w:t xml:space="preserve"> Procjena važnosti pojedinih čimbenika temelji se na aritmetičkoj sredini kao pokazatelju percipirane važnosti te standardnoj devijaciji kao mjeri stupnja suglasnosti među ispitanicima. Rangiranje čimbenika provedeno je uz istodobno razmatranje oba kriterija.</w:t>
      </w:r>
    </w:p>
    <w:p w14:paraId="10E3031E"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čimbenik</w:t>
      </w:r>
      <w:r w:rsidRPr="00BE5472">
        <w:rPr>
          <w:rFonts w:ascii="Times New Roman" w:hAnsi="Times New Roman" w:cs="Times New Roman"/>
          <w:sz w:val="24"/>
          <w:szCs w:val="24"/>
        </w:rPr>
        <w:t xml:space="preserve"> izdvaja se </w:t>
      </w:r>
      <w:r w:rsidRPr="00BE5472">
        <w:rPr>
          <w:rFonts w:ascii="Times New Roman" w:hAnsi="Times New Roman" w:cs="Times New Roman"/>
          <w:bCs/>
          <w:sz w:val="24"/>
          <w:szCs w:val="24"/>
        </w:rPr>
        <w:t>dobra procjena potencijalne operativne sinergije poduzeća mete na poduzeće preuzimatelja</w:t>
      </w:r>
      <w:r w:rsidRPr="00BE5472">
        <w:rPr>
          <w:rFonts w:ascii="Times New Roman" w:hAnsi="Times New Roman" w:cs="Times New Roman"/>
          <w:sz w:val="24"/>
          <w:szCs w:val="24"/>
        </w:rPr>
        <w:t xml:space="preserve"> (aritmetička sredina = 4,667; standardna devijacija = 0,471). Ovaj čimbenik ostvaruje najvišu prosječnu ocjenu uz vrlo nisku standardnu devijaciju, što upućuje na gotovo jednoglasan stav ispitanika o njegovoj presudnoj važnosti u fazi koja prethodi procesu spajanja i preuzimanja.</w:t>
      </w:r>
    </w:p>
    <w:p w14:paraId="6FFB5EF3"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w:t>
      </w:r>
      <w:r w:rsidRPr="00BE5472">
        <w:rPr>
          <w:rFonts w:ascii="Times New Roman" w:hAnsi="Times New Roman" w:cs="Times New Roman"/>
          <w:bCs/>
          <w:sz w:val="24"/>
          <w:szCs w:val="24"/>
        </w:rPr>
        <w:t>vrlo važnih čimbenika</w:t>
      </w:r>
      <w:r w:rsidRPr="00BE5472">
        <w:rPr>
          <w:rFonts w:ascii="Times New Roman" w:hAnsi="Times New Roman" w:cs="Times New Roman"/>
          <w:sz w:val="24"/>
          <w:szCs w:val="24"/>
        </w:rPr>
        <w:t xml:space="preserve"> s izraženom suglasnošću ispitanika čine </w:t>
      </w:r>
      <w:r w:rsidRPr="00BE5472">
        <w:rPr>
          <w:rFonts w:ascii="Times New Roman" w:hAnsi="Times New Roman" w:cs="Times New Roman"/>
          <w:bCs/>
          <w:sz w:val="24"/>
          <w:szCs w:val="24"/>
        </w:rPr>
        <w:t>dubinsko snimanje poduzeća mete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potencijalni učinak na jačanje marke i reputacije poduzeća preuzimatelja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sadašnja vrijednost očekivanih sinergija preuzimanja veća od plaćenih premija</w:t>
      </w:r>
      <w:r w:rsidRPr="00BE5472">
        <w:rPr>
          <w:rFonts w:ascii="Times New Roman" w:hAnsi="Times New Roman" w:cs="Times New Roman"/>
          <w:sz w:val="24"/>
          <w:szCs w:val="24"/>
        </w:rPr>
        <w:t xml:space="preserve"> (aritmetičke sredine = 4,500; standardne devijacije = 0,500). Visoke prosječne ocjene uz nisku varijabilnost </w:t>
      </w:r>
      <w:r w:rsidRPr="00BE5472">
        <w:rPr>
          <w:rFonts w:ascii="Times New Roman" w:hAnsi="Times New Roman" w:cs="Times New Roman"/>
          <w:sz w:val="24"/>
          <w:szCs w:val="24"/>
        </w:rPr>
        <w:lastRenderedPageBreak/>
        <w:t>odgovora ukazuju na stabilan konsenzus ispitanika o ključnoj ulozi ovih čimbenika u uspješnoj pripremi transakcije.</w:t>
      </w:r>
    </w:p>
    <w:p w14:paraId="1976944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istu skupinu može se svrstati i </w:t>
      </w:r>
      <w:r w:rsidRPr="00BE5472">
        <w:rPr>
          <w:rFonts w:ascii="Times New Roman" w:hAnsi="Times New Roman" w:cs="Times New Roman"/>
          <w:bCs/>
          <w:sz w:val="24"/>
          <w:szCs w:val="24"/>
          <w:lang w:val="it-IT"/>
        </w:rPr>
        <w:t>dobro poznavanje regulative i propisa</w:t>
      </w:r>
      <w:r w:rsidRPr="00BE5472">
        <w:rPr>
          <w:rFonts w:ascii="Times New Roman" w:hAnsi="Times New Roman" w:cs="Times New Roman"/>
          <w:sz w:val="24"/>
          <w:szCs w:val="24"/>
          <w:lang w:val="it-IT"/>
        </w:rPr>
        <w:t xml:space="preserve"> (aritmetička sredina = 4,500; standardna devijacija = 0,764). Iako ovaj čimbenik ima jednaku prosječnu ocjenu kao prethodni, nešto viša standardna devijacija upućuje na umjerenu razinu varijabilnosti u stavovima ispitanika.</w:t>
      </w:r>
    </w:p>
    <w:p w14:paraId="752429E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Čimbenici </w:t>
      </w:r>
      <w:r w:rsidRPr="00BE5472">
        <w:rPr>
          <w:rFonts w:ascii="Times New Roman" w:hAnsi="Times New Roman" w:cs="Times New Roman"/>
          <w:bCs/>
          <w:sz w:val="24"/>
          <w:szCs w:val="24"/>
          <w:lang w:val="it-IT"/>
        </w:rPr>
        <w:t>potrebe kapitalnih izdataka kod poduzeća mete</w:t>
      </w:r>
      <w:r w:rsidRPr="00BE5472">
        <w:rPr>
          <w:rFonts w:ascii="Times New Roman" w:hAnsi="Times New Roman" w:cs="Times New Roman"/>
          <w:sz w:val="24"/>
          <w:szCs w:val="24"/>
          <w:lang w:val="it-IT"/>
        </w:rPr>
        <w:t xml:space="preserve"> (aritmetička sredina = 4,333; standardna devijacija = 0,471) i </w:t>
      </w:r>
      <w:r w:rsidRPr="00BE5472">
        <w:rPr>
          <w:rFonts w:ascii="Times New Roman" w:hAnsi="Times New Roman" w:cs="Times New Roman"/>
          <w:bCs/>
          <w:sz w:val="24"/>
          <w:szCs w:val="24"/>
          <w:lang w:val="it-IT"/>
        </w:rPr>
        <w:t>potencijalne financijske sinergije akvizicije</w:t>
      </w:r>
      <w:r w:rsidRPr="00BE5472">
        <w:rPr>
          <w:rFonts w:ascii="Times New Roman" w:hAnsi="Times New Roman" w:cs="Times New Roman"/>
          <w:sz w:val="24"/>
          <w:szCs w:val="24"/>
          <w:lang w:val="it-IT"/>
        </w:rPr>
        <w:t xml:space="preserve"> (aritmetička sredina = 4,167; standardna devijacija = 0,687) ocijenjeni su kao važni, ali s nešto nižim prosječnim ocjenama u odnosu na najviše rangirane čimbenike. Kod potonjeg je izraženija varijabilnost odgovora, što ukazuje na razlike u percepciji njegove relativne važnosti među ispitanicima.</w:t>
      </w:r>
    </w:p>
    <w:p w14:paraId="0768A49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Skupinu </w:t>
      </w:r>
      <w:r w:rsidRPr="00BE5472">
        <w:rPr>
          <w:rFonts w:ascii="Times New Roman" w:hAnsi="Times New Roman" w:cs="Times New Roman"/>
          <w:bCs/>
          <w:sz w:val="24"/>
          <w:szCs w:val="24"/>
          <w:lang w:val="it-IT"/>
        </w:rPr>
        <w:t>umjereno važnih čimbenika</w:t>
      </w:r>
      <w:r w:rsidRPr="00BE5472">
        <w:rPr>
          <w:rFonts w:ascii="Times New Roman" w:hAnsi="Times New Roman" w:cs="Times New Roman"/>
          <w:sz w:val="24"/>
          <w:szCs w:val="24"/>
          <w:lang w:val="it-IT"/>
        </w:rPr>
        <w:t xml:space="preserve"> s visokom razinom suglasnosti čine </w:t>
      </w:r>
      <w:r w:rsidRPr="00BE5472">
        <w:rPr>
          <w:rFonts w:ascii="Times New Roman" w:hAnsi="Times New Roman" w:cs="Times New Roman"/>
          <w:bCs/>
          <w:sz w:val="24"/>
          <w:szCs w:val="24"/>
          <w:lang w:val="it-IT"/>
        </w:rPr>
        <w:t>imidž turističke destinacije u kojoj posluje poduzeće meta</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lokacija poduzeća mete</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strateška povezanost između poduzeća preuzimatelja i poduzeća mete</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potencijalna upravljačka sinergija</w:t>
      </w:r>
      <w:r w:rsidRPr="00BE5472">
        <w:rPr>
          <w:rFonts w:ascii="Times New Roman" w:hAnsi="Times New Roman" w:cs="Times New Roman"/>
          <w:sz w:val="24"/>
          <w:szCs w:val="24"/>
          <w:lang w:val="it-IT"/>
        </w:rPr>
        <w:t xml:space="preserve"> te </w:t>
      </w:r>
      <w:r w:rsidRPr="00BE5472">
        <w:rPr>
          <w:rFonts w:ascii="Times New Roman" w:hAnsi="Times New Roman" w:cs="Times New Roman"/>
          <w:bCs/>
          <w:sz w:val="24"/>
          <w:szCs w:val="24"/>
          <w:lang w:val="it-IT"/>
        </w:rPr>
        <w:t>cijena ponude temeljena na konkurentnom položaju poduzeća mete</w:t>
      </w:r>
      <w:r w:rsidRPr="00BE5472">
        <w:rPr>
          <w:rFonts w:ascii="Times New Roman" w:hAnsi="Times New Roman" w:cs="Times New Roman"/>
          <w:sz w:val="24"/>
          <w:szCs w:val="24"/>
          <w:lang w:val="it-IT"/>
        </w:rPr>
        <w:t>. Svi navedeni čimbenici ostvaruju aritmetičku sredinu od 4,000 uz standardnu devijaciju od 0,577, što ukazuje na ujednačenu procjenu njihove važnosti, ali i na činjenicu da ih ispitanici ne smatraju ključnim u odnosu na najviše rangirane čimbenike.</w:t>
      </w:r>
    </w:p>
    <w:p w14:paraId="547FF44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Čimbenici </w:t>
      </w:r>
      <w:r w:rsidRPr="00BE5472">
        <w:rPr>
          <w:rFonts w:ascii="Times New Roman" w:hAnsi="Times New Roman" w:cs="Times New Roman"/>
          <w:bCs/>
          <w:sz w:val="24"/>
          <w:szCs w:val="24"/>
          <w:lang w:val="it-IT"/>
        </w:rPr>
        <w:t>kapitalne strukture i troškova kapitala poduzeća mete</w:t>
      </w:r>
      <w:r w:rsidRPr="00BE5472">
        <w:rPr>
          <w:rFonts w:ascii="Times New Roman" w:hAnsi="Times New Roman" w:cs="Times New Roman"/>
          <w:sz w:val="24"/>
          <w:szCs w:val="24"/>
          <w:lang w:val="it-IT"/>
        </w:rPr>
        <w:t xml:space="preserve"> (aritmetička sredina = 4,000; standardna devijacija = 0,816) te </w:t>
      </w:r>
      <w:r w:rsidRPr="00BE5472">
        <w:rPr>
          <w:rFonts w:ascii="Times New Roman" w:hAnsi="Times New Roman" w:cs="Times New Roman"/>
          <w:bCs/>
          <w:sz w:val="24"/>
          <w:szCs w:val="24"/>
          <w:lang w:val="it-IT"/>
        </w:rPr>
        <w:t>načina akvizicije</w:t>
      </w:r>
      <w:r w:rsidRPr="00BE5472">
        <w:rPr>
          <w:rFonts w:ascii="Times New Roman" w:hAnsi="Times New Roman" w:cs="Times New Roman"/>
          <w:sz w:val="24"/>
          <w:szCs w:val="24"/>
          <w:lang w:val="it-IT"/>
        </w:rPr>
        <w:t xml:space="preserve"> (aritmetička sredina = 4,000; standardna devijacija = 1,155) također su ocijenjeni kao umjereno važni. Međutim, osobito visoka standardna devijacija kod načina akvizicije upućuje na izraženo neslaganje među ispitanicima o njegovoj važnosti.</w:t>
      </w:r>
    </w:p>
    <w:p w14:paraId="4BCB081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Niže prosječne ocjene ostvaruju </w:t>
      </w:r>
      <w:r w:rsidRPr="00BE5472">
        <w:rPr>
          <w:rFonts w:ascii="Times New Roman" w:hAnsi="Times New Roman" w:cs="Times New Roman"/>
          <w:bCs/>
          <w:sz w:val="24"/>
          <w:szCs w:val="24"/>
          <w:lang w:val="it-IT"/>
        </w:rPr>
        <w:t>trend glavnih hotelskih pokazatelja uspješnosti poduzeća mete</w:t>
      </w:r>
      <w:r w:rsidRPr="00BE5472">
        <w:rPr>
          <w:rFonts w:ascii="Times New Roman" w:hAnsi="Times New Roman" w:cs="Times New Roman"/>
          <w:sz w:val="24"/>
          <w:szCs w:val="24"/>
          <w:lang w:val="it-IT"/>
        </w:rPr>
        <w:t xml:space="preserve"> i </w:t>
      </w:r>
      <w:r w:rsidRPr="00BE5472">
        <w:rPr>
          <w:rFonts w:ascii="Times New Roman" w:hAnsi="Times New Roman" w:cs="Times New Roman"/>
          <w:bCs/>
          <w:sz w:val="24"/>
          <w:szCs w:val="24"/>
          <w:lang w:val="it-IT"/>
        </w:rPr>
        <w:t>trend glavnih računovodstvenih pokazatelja uspješnosti poduzeća mete</w:t>
      </w:r>
      <w:r w:rsidRPr="00BE5472">
        <w:rPr>
          <w:rFonts w:ascii="Times New Roman" w:hAnsi="Times New Roman" w:cs="Times New Roman"/>
          <w:sz w:val="24"/>
          <w:szCs w:val="24"/>
          <w:lang w:val="it-IT"/>
        </w:rPr>
        <w:t xml:space="preserve"> (aritmetičke sredine = 3,833; standardne devijacije ≈ 0,9). Relativno visoka varijabilnost odgovora ukazuje na neujednačene stavove ispitanika o njihovoj važnosti u fazi koja prethodi preuzimanju.</w:t>
      </w:r>
    </w:p>
    <w:p w14:paraId="4701E1A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Slično tome, </w:t>
      </w:r>
      <w:r w:rsidRPr="00BE5472">
        <w:rPr>
          <w:rFonts w:ascii="Times New Roman" w:hAnsi="Times New Roman" w:cs="Times New Roman"/>
          <w:bCs/>
          <w:sz w:val="24"/>
          <w:szCs w:val="24"/>
          <w:lang w:val="it-IT"/>
        </w:rPr>
        <w:t>iznos akvizicijske premije</w:t>
      </w:r>
      <w:r w:rsidRPr="00BE5472">
        <w:rPr>
          <w:rFonts w:ascii="Times New Roman" w:hAnsi="Times New Roman" w:cs="Times New Roman"/>
          <w:sz w:val="24"/>
          <w:szCs w:val="24"/>
          <w:lang w:val="it-IT"/>
        </w:rPr>
        <w:t xml:space="preserve"> (aritmetička sredina = 3,667; standardna devijacija = 0,471) percipira se kao čimbenik niže važnosti, ali uz relativno visok stupanj suglasnosti među ispitanicima.</w:t>
      </w:r>
    </w:p>
    <w:p w14:paraId="2E39825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 xml:space="preserve">Među </w:t>
      </w:r>
      <w:r w:rsidRPr="00BE5472">
        <w:rPr>
          <w:rFonts w:ascii="Times New Roman" w:hAnsi="Times New Roman" w:cs="Times New Roman"/>
          <w:bCs/>
          <w:sz w:val="24"/>
          <w:szCs w:val="24"/>
          <w:lang w:val="it-IT"/>
        </w:rPr>
        <w:t>najniže ocijenjene čimbenike</w:t>
      </w:r>
      <w:r w:rsidRPr="00BE5472">
        <w:rPr>
          <w:rFonts w:ascii="Times New Roman" w:hAnsi="Times New Roman" w:cs="Times New Roman"/>
          <w:sz w:val="24"/>
          <w:szCs w:val="24"/>
          <w:lang w:val="it-IT"/>
        </w:rPr>
        <w:t xml:space="preserve"> ubrajaju se </w:t>
      </w:r>
      <w:r w:rsidRPr="00BE5472">
        <w:rPr>
          <w:rFonts w:ascii="Times New Roman" w:hAnsi="Times New Roman" w:cs="Times New Roman"/>
          <w:bCs/>
          <w:sz w:val="24"/>
          <w:szCs w:val="24"/>
          <w:lang w:val="it-IT"/>
        </w:rPr>
        <w:t>globalna ekonomska situacija</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preliminarni razgovori u poduzeću meti</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identifikacija karakterističnih aspekata organizacijske kulture mete</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uključivanje ključnih menadžera i zaposlenika poduzeća preuzimatelja u planiranje akvizicije</w:t>
      </w:r>
      <w:r w:rsidRPr="00BE5472">
        <w:rPr>
          <w:rFonts w:ascii="Times New Roman" w:hAnsi="Times New Roman" w:cs="Times New Roman"/>
          <w:sz w:val="24"/>
          <w:szCs w:val="24"/>
          <w:lang w:val="it-IT"/>
        </w:rPr>
        <w:t xml:space="preserve"> te </w:t>
      </w:r>
      <w:r w:rsidRPr="00BE5472">
        <w:rPr>
          <w:rFonts w:ascii="Times New Roman" w:hAnsi="Times New Roman" w:cs="Times New Roman"/>
          <w:bCs/>
          <w:sz w:val="24"/>
          <w:szCs w:val="24"/>
          <w:lang w:val="it-IT"/>
        </w:rPr>
        <w:t>vlasnička struktura poduzeća mete</w:t>
      </w:r>
      <w:r w:rsidRPr="00BE5472">
        <w:rPr>
          <w:rFonts w:ascii="Times New Roman" w:hAnsi="Times New Roman" w:cs="Times New Roman"/>
          <w:sz w:val="24"/>
          <w:szCs w:val="24"/>
          <w:lang w:val="it-IT"/>
        </w:rPr>
        <w:t xml:space="preserve"> (aritmetičke sredine = 3,500). Kod većine navedenih čimbenika prisutna je umjerena do visoka varijabilnost odgovora, što upućuje na podijeljena mišljenja ispitanika o njihovoj važnosti.</w:t>
      </w:r>
    </w:p>
    <w:p w14:paraId="6F4A9E9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Kao </w:t>
      </w:r>
      <w:r w:rsidRPr="00BE5472">
        <w:rPr>
          <w:rFonts w:ascii="Times New Roman" w:hAnsi="Times New Roman" w:cs="Times New Roman"/>
          <w:bCs/>
          <w:sz w:val="24"/>
          <w:szCs w:val="24"/>
          <w:lang w:val="it-IT"/>
        </w:rPr>
        <w:t>najmanje važan čimbenik</w:t>
      </w:r>
      <w:r w:rsidRPr="00BE5472">
        <w:rPr>
          <w:rFonts w:ascii="Times New Roman" w:hAnsi="Times New Roman" w:cs="Times New Roman"/>
          <w:sz w:val="24"/>
          <w:szCs w:val="24"/>
          <w:lang w:val="it-IT"/>
        </w:rPr>
        <w:t xml:space="preserve"> identificirana je </w:t>
      </w:r>
      <w:r w:rsidRPr="00BE5472">
        <w:rPr>
          <w:rFonts w:ascii="Times New Roman" w:hAnsi="Times New Roman" w:cs="Times New Roman"/>
          <w:bCs/>
          <w:sz w:val="24"/>
          <w:szCs w:val="24"/>
          <w:lang w:val="it-IT"/>
        </w:rPr>
        <w:t>povezanost i kompatibilnost poduzeća mete s informacijskom infrastrukturom poduzeća preuzimatelja</w:t>
      </w:r>
      <w:r w:rsidRPr="00BE5472">
        <w:rPr>
          <w:rFonts w:ascii="Times New Roman" w:hAnsi="Times New Roman" w:cs="Times New Roman"/>
          <w:sz w:val="24"/>
          <w:szCs w:val="24"/>
          <w:lang w:val="it-IT"/>
        </w:rPr>
        <w:t xml:space="preserve"> (aritmetička sredina = 3,167; standardna devijacija = 0,898), što upućuje na to da ispitanici ovaj čimbenik ne smatraju presudnim u fazi koja prethodi preuzimanju.</w:t>
      </w:r>
    </w:p>
    <w:p w14:paraId="1CB41121" w14:textId="1CA6DC8E"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Iako čimbenici razmatrani u fazi prije preuzimanja imaju ključnu ulogu u donošenju odluke o ulasku u proces spajanja i preuzimanja, njihova uspješna realizacija uvelike ovisi o načinu na koji se proces integracije provodi u praksi.</w:t>
      </w:r>
    </w:p>
    <w:p w14:paraId="4867F885" w14:textId="705A4E17" w:rsidR="00183A57" w:rsidRDefault="00183A57" w:rsidP="00120B4F">
      <w:pPr>
        <w:spacing w:line="360" w:lineRule="auto"/>
        <w:jc w:val="both"/>
        <w:rPr>
          <w:rFonts w:ascii="Times New Roman" w:hAnsi="Times New Roman" w:cs="Times New Roman"/>
          <w:sz w:val="24"/>
          <w:szCs w:val="24"/>
        </w:rPr>
      </w:pPr>
      <w:r w:rsidRPr="00183A57">
        <w:rPr>
          <w:rFonts w:ascii="Times New Roman" w:hAnsi="Times New Roman" w:cs="Times New Roman"/>
          <w:sz w:val="24"/>
          <w:szCs w:val="24"/>
        </w:rPr>
        <w:t xml:space="preserve">Radi preglednijeg prikaza rezultata, u </w:t>
      </w:r>
      <w:r w:rsidR="00127A4E">
        <w:rPr>
          <w:rFonts w:ascii="Times New Roman" w:hAnsi="Times New Roman" w:cs="Times New Roman"/>
          <w:sz w:val="24"/>
          <w:szCs w:val="24"/>
        </w:rPr>
        <w:t>Tablici</w:t>
      </w:r>
      <w:r w:rsidRPr="00183A57">
        <w:rPr>
          <w:rFonts w:ascii="Times New Roman" w:hAnsi="Times New Roman" w:cs="Times New Roman"/>
          <w:sz w:val="24"/>
          <w:szCs w:val="24"/>
        </w:rPr>
        <w:t xml:space="preserve"> 34 prikazana je hijerarhija ključnih čimbenika uspjeha u fazi integracije prema prosječnoj ocjeni njihove važnosti.</w:t>
      </w:r>
    </w:p>
    <w:p w14:paraId="79E602FB" w14:textId="244A6AAD" w:rsidR="00183A57" w:rsidRPr="00E1098E" w:rsidRDefault="00E1098E" w:rsidP="00E1098E">
      <w:pPr>
        <w:pStyle w:val="Caption"/>
        <w:rPr>
          <w:rFonts w:ascii="Times New Roman" w:hAnsi="Times New Roman" w:cs="Times New Roman"/>
          <w:sz w:val="24"/>
          <w:szCs w:val="24"/>
        </w:rPr>
      </w:pPr>
      <w:bookmarkStart w:id="183" w:name="_Toc241865228"/>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34</w:t>
      </w:r>
      <w:r w:rsidRPr="00E1098E">
        <w:rPr>
          <w:rFonts w:ascii="Times New Roman" w:hAnsi="Times New Roman" w:cs="Times New Roman"/>
          <w:sz w:val="24"/>
          <w:szCs w:val="24"/>
        </w:rPr>
        <w:fldChar w:fldCharType="end"/>
      </w:r>
      <w:r w:rsidR="00183A57" w:rsidRPr="00E1098E">
        <w:rPr>
          <w:rFonts w:ascii="Times New Roman" w:hAnsi="Times New Roman" w:cs="Times New Roman"/>
          <w:sz w:val="24"/>
          <w:szCs w:val="24"/>
        </w:rPr>
        <w:t>: Hijerarhija ključnih čimbenika uspjeha u fazi integracije prema rezultatima drugog ciklusa Delphi postupka</w:t>
      </w:r>
      <w:bookmarkEnd w:id="183"/>
    </w:p>
    <w:tbl>
      <w:tblPr>
        <w:tblStyle w:val="Reetkatablice1"/>
        <w:tblW w:w="0" w:type="auto"/>
        <w:tblLook w:val="04A0" w:firstRow="1" w:lastRow="0" w:firstColumn="1" w:lastColumn="0" w:noHBand="0" w:noVBand="1"/>
      </w:tblPr>
      <w:tblGrid>
        <w:gridCol w:w="763"/>
        <w:gridCol w:w="5577"/>
        <w:gridCol w:w="636"/>
        <w:gridCol w:w="2043"/>
      </w:tblGrid>
      <w:tr w:rsidR="00183A57" w:rsidRPr="00183A57" w14:paraId="4B998E60" w14:textId="77777777" w:rsidTr="00183A57">
        <w:tc>
          <w:tcPr>
            <w:tcW w:w="0" w:type="auto"/>
            <w:hideMark/>
          </w:tcPr>
          <w:p w14:paraId="4B999F5F"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Rang</w:t>
            </w:r>
          </w:p>
        </w:tc>
        <w:tc>
          <w:tcPr>
            <w:tcW w:w="0" w:type="auto"/>
            <w:hideMark/>
          </w:tcPr>
          <w:p w14:paraId="5F83CF02"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Ključni čimbenik uspjeha</w:t>
            </w:r>
          </w:p>
        </w:tc>
        <w:tc>
          <w:tcPr>
            <w:tcW w:w="0" w:type="auto"/>
            <w:hideMark/>
          </w:tcPr>
          <w:p w14:paraId="5EA97536"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M</w:t>
            </w:r>
          </w:p>
        </w:tc>
        <w:tc>
          <w:tcPr>
            <w:tcW w:w="0" w:type="auto"/>
            <w:hideMark/>
          </w:tcPr>
          <w:p w14:paraId="260291A1"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Linearno ponderirani indeks suglasnosti</w:t>
            </w:r>
          </w:p>
        </w:tc>
      </w:tr>
      <w:tr w:rsidR="00183A57" w:rsidRPr="00183A57" w14:paraId="13908614" w14:textId="77777777" w:rsidTr="00183A57">
        <w:tc>
          <w:tcPr>
            <w:tcW w:w="0" w:type="auto"/>
            <w:hideMark/>
          </w:tcPr>
          <w:p w14:paraId="5CF7DE40"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w:t>
            </w:r>
          </w:p>
        </w:tc>
        <w:tc>
          <w:tcPr>
            <w:tcW w:w="0" w:type="auto"/>
            <w:hideMark/>
          </w:tcPr>
          <w:p w14:paraId="2C16343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Definiranje nove strategije razvoja poduzeća nakon akvizicije (novog zajedničkog poduzeća ili svakog pojedinog poduzeća koje je sudjelovalo u procesu akvizicije ako ostaju kao samostalne pravne osobe)</w:t>
            </w:r>
          </w:p>
        </w:tc>
        <w:tc>
          <w:tcPr>
            <w:tcW w:w="0" w:type="auto"/>
            <w:hideMark/>
          </w:tcPr>
          <w:p w14:paraId="6ADECCB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4,67</w:t>
            </w:r>
          </w:p>
        </w:tc>
        <w:tc>
          <w:tcPr>
            <w:tcW w:w="0" w:type="auto"/>
            <w:hideMark/>
          </w:tcPr>
          <w:p w14:paraId="0060906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255A146A" w14:textId="77777777" w:rsidTr="00183A57">
        <w:tc>
          <w:tcPr>
            <w:tcW w:w="0" w:type="auto"/>
            <w:hideMark/>
          </w:tcPr>
          <w:p w14:paraId="2A746BC2"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w:t>
            </w:r>
          </w:p>
        </w:tc>
        <w:tc>
          <w:tcPr>
            <w:tcW w:w="0" w:type="auto"/>
            <w:hideMark/>
          </w:tcPr>
          <w:p w14:paraId="4F56C60D"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Osiguranje resursa potrebnih za integraciju nakon procesa akvizicije</w:t>
            </w:r>
          </w:p>
        </w:tc>
        <w:tc>
          <w:tcPr>
            <w:tcW w:w="0" w:type="auto"/>
            <w:hideMark/>
          </w:tcPr>
          <w:p w14:paraId="4EF8C53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4,67</w:t>
            </w:r>
          </w:p>
        </w:tc>
        <w:tc>
          <w:tcPr>
            <w:tcW w:w="0" w:type="auto"/>
            <w:hideMark/>
          </w:tcPr>
          <w:p w14:paraId="38B2259F"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109BD64D" w14:textId="77777777" w:rsidTr="00183A57">
        <w:tc>
          <w:tcPr>
            <w:tcW w:w="0" w:type="auto"/>
            <w:hideMark/>
          </w:tcPr>
          <w:p w14:paraId="0BCDDD35"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w:t>
            </w:r>
          </w:p>
        </w:tc>
        <w:tc>
          <w:tcPr>
            <w:tcW w:w="0" w:type="auto"/>
            <w:hideMark/>
          </w:tcPr>
          <w:p w14:paraId="73AC04A8"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Odlučan i pravedan odnos prema zaposlenicima koje je potrebno otpustiti</w:t>
            </w:r>
          </w:p>
        </w:tc>
        <w:tc>
          <w:tcPr>
            <w:tcW w:w="0" w:type="auto"/>
            <w:hideMark/>
          </w:tcPr>
          <w:p w14:paraId="293B890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4,67</w:t>
            </w:r>
          </w:p>
        </w:tc>
        <w:tc>
          <w:tcPr>
            <w:tcW w:w="0" w:type="auto"/>
            <w:hideMark/>
          </w:tcPr>
          <w:p w14:paraId="6C04D63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35106BE8" w14:textId="77777777" w:rsidTr="00183A57">
        <w:tc>
          <w:tcPr>
            <w:tcW w:w="0" w:type="auto"/>
            <w:hideMark/>
          </w:tcPr>
          <w:p w14:paraId="4579106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w:t>
            </w:r>
          </w:p>
        </w:tc>
        <w:tc>
          <w:tcPr>
            <w:tcW w:w="0" w:type="auto"/>
            <w:hideMark/>
          </w:tcPr>
          <w:p w14:paraId="5078183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Postavljanje nove upravljačke strukture u poduzeću meti</w:t>
            </w:r>
          </w:p>
        </w:tc>
        <w:tc>
          <w:tcPr>
            <w:tcW w:w="0" w:type="auto"/>
            <w:hideMark/>
          </w:tcPr>
          <w:p w14:paraId="2A46B28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4,67</w:t>
            </w:r>
          </w:p>
        </w:tc>
        <w:tc>
          <w:tcPr>
            <w:tcW w:w="0" w:type="auto"/>
            <w:hideMark/>
          </w:tcPr>
          <w:p w14:paraId="753CB59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2DB6E050" w14:textId="77777777" w:rsidTr="00183A57">
        <w:tc>
          <w:tcPr>
            <w:tcW w:w="0" w:type="auto"/>
            <w:hideMark/>
          </w:tcPr>
          <w:p w14:paraId="5208605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lastRenderedPageBreak/>
              <w:t>5.</w:t>
            </w:r>
          </w:p>
        </w:tc>
        <w:tc>
          <w:tcPr>
            <w:tcW w:w="0" w:type="auto"/>
            <w:hideMark/>
          </w:tcPr>
          <w:p w14:paraId="2665119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Detektiranje i zadržavanje ključnih zaposlenika i menadžera poduzeća mete ako poduzeća koja su sudjelovala u akvizicijskom procesu ostaju kao samostalne pravne osobe</w:t>
            </w:r>
          </w:p>
        </w:tc>
        <w:tc>
          <w:tcPr>
            <w:tcW w:w="0" w:type="auto"/>
            <w:hideMark/>
          </w:tcPr>
          <w:p w14:paraId="0E60D73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4,50</w:t>
            </w:r>
          </w:p>
        </w:tc>
        <w:tc>
          <w:tcPr>
            <w:tcW w:w="0" w:type="auto"/>
            <w:hideMark/>
          </w:tcPr>
          <w:p w14:paraId="342C975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0,81</w:t>
            </w:r>
          </w:p>
        </w:tc>
      </w:tr>
      <w:tr w:rsidR="00183A57" w:rsidRPr="00183A57" w14:paraId="1B701E42" w14:textId="77777777" w:rsidTr="00183A57">
        <w:tc>
          <w:tcPr>
            <w:tcW w:w="0" w:type="auto"/>
            <w:hideMark/>
          </w:tcPr>
          <w:p w14:paraId="5BC832A1"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5.</w:t>
            </w:r>
          </w:p>
        </w:tc>
        <w:tc>
          <w:tcPr>
            <w:tcW w:w="0" w:type="auto"/>
            <w:hideMark/>
          </w:tcPr>
          <w:p w14:paraId="2A4B34F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Uspostavljanje odgovarajućih unutarnjih mehanizama za prijenos kompetencija i sredstava između poslovnih jedinica</w:t>
            </w:r>
          </w:p>
        </w:tc>
        <w:tc>
          <w:tcPr>
            <w:tcW w:w="0" w:type="auto"/>
            <w:hideMark/>
          </w:tcPr>
          <w:p w14:paraId="223B9F7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4,50</w:t>
            </w:r>
          </w:p>
        </w:tc>
        <w:tc>
          <w:tcPr>
            <w:tcW w:w="0" w:type="auto"/>
            <w:hideMark/>
          </w:tcPr>
          <w:p w14:paraId="6461EA8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0,81</w:t>
            </w:r>
          </w:p>
        </w:tc>
      </w:tr>
      <w:tr w:rsidR="00183A57" w:rsidRPr="00183A57" w14:paraId="5BB6CFD5" w14:textId="77777777" w:rsidTr="00183A57">
        <w:tc>
          <w:tcPr>
            <w:tcW w:w="0" w:type="auto"/>
            <w:hideMark/>
          </w:tcPr>
          <w:p w14:paraId="37458732"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5.</w:t>
            </w:r>
          </w:p>
        </w:tc>
        <w:tc>
          <w:tcPr>
            <w:tcW w:w="0" w:type="auto"/>
            <w:hideMark/>
          </w:tcPr>
          <w:p w14:paraId="01604C01"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Identificiranje prilika za poboljšanje konkurentske pozicije novostvorenog zajedničkog poduzeća ili oba poduzeća koja su sudjelovala u procesu spajanja i preuzimanja, ali su ostala kao samostalne pravne osobe</w:t>
            </w:r>
          </w:p>
        </w:tc>
        <w:tc>
          <w:tcPr>
            <w:tcW w:w="0" w:type="auto"/>
            <w:hideMark/>
          </w:tcPr>
          <w:p w14:paraId="665076BC"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4,50</w:t>
            </w:r>
          </w:p>
        </w:tc>
        <w:tc>
          <w:tcPr>
            <w:tcW w:w="0" w:type="auto"/>
            <w:hideMark/>
          </w:tcPr>
          <w:p w14:paraId="37E8093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0,81</w:t>
            </w:r>
          </w:p>
        </w:tc>
      </w:tr>
      <w:tr w:rsidR="00183A57" w:rsidRPr="00183A57" w14:paraId="374148CE" w14:textId="77777777" w:rsidTr="00183A57">
        <w:tc>
          <w:tcPr>
            <w:tcW w:w="0" w:type="auto"/>
            <w:hideMark/>
          </w:tcPr>
          <w:p w14:paraId="0F500F7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8.</w:t>
            </w:r>
          </w:p>
        </w:tc>
        <w:tc>
          <w:tcPr>
            <w:tcW w:w="0" w:type="auto"/>
            <w:hideMark/>
          </w:tcPr>
          <w:p w14:paraId="0D6D65E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Uspostavljanje učinkovite komunikacijske strategije</w:t>
            </w:r>
          </w:p>
        </w:tc>
        <w:tc>
          <w:tcPr>
            <w:tcW w:w="0" w:type="auto"/>
            <w:hideMark/>
          </w:tcPr>
          <w:p w14:paraId="38EC02F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4,33</w:t>
            </w:r>
          </w:p>
        </w:tc>
        <w:tc>
          <w:tcPr>
            <w:tcW w:w="0" w:type="auto"/>
            <w:hideMark/>
          </w:tcPr>
          <w:p w14:paraId="5139F38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0,58</w:t>
            </w:r>
          </w:p>
        </w:tc>
      </w:tr>
      <w:tr w:rsidR="00183A57" w:rsidRPr="00183A57" w14:paraId="5C1D6365" w14:textId="77777777" w:rsidTr="00183A57">
        <w:tc>
          <w:tcPr>
            <w:tcW w:w="0" w:type="auto"/>
            <w:hideMark/>
          </w:tcPr>
          <w:p w14:paraId="5E92E5D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8.</w:t>
            </w:r>
          </w:p>
        </w:tc>
        <w:tc>
          <w:tcPr>
            <w:tcW w:w="0" w:type="auto"/>
            <w:hideMark/>
          </w:tcPr>
          <w:p w14:paraId="4488759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Učinkovita komunikacija s javnošću</w:t>
            </w:r>
          </w:p>
        </w:tc>
        <w:tc>
          <w:tcPr>
            <w:tcW w:w="0" w:type="auto"/>
            <w:hideMark/>
          </w:tcPr>
          <w:p w14:paraId="4214382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4,33</w:t>
            </w:r>
          </w:p>
        </w:tc>
        <w:tc>
          <w:tcPr>
            <w:tcW w:w="0" w:type="auto"/>
            <w:hideMark/>
          </w:tcPr>
          <w:p w14:paraId="1CBB64F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0,58</w:t>
            </w:r>
          </w:p>
        </w:tc>
      </w:tr>
      <w:tr w:rsidR="00183A57" w:rsidRPr="00183A57" w14:paraId="4636BD32" w14:textId="77777777" w:rsidTr="00183A57">
        <w:tc>
          <w:tcPr>
            <w:tcW w:w="0" w:type="auto"/>
            <w:hideMark/>
          </w:tcPr>
          <w:p w14:paraId="6E7B09B5"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8.</w:t>
            </w:r>
          </w:p>
        </w:tc>
        <w:tc>
          <w:tcPr>
            <w:tcW w:w="0" w:type="auto"/>
            <w:hideMark/>
          </w:tcPr>
          <w:p w14:paraId="013053C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Integracija informacijske infrastrukture poduzeća koja su sudjelovala u akvizicijskom procesu</w:t>
            </w:r>
          </w:p>
        </w:tc>
        <w:tc>
          <w:tcPr>
            <w:tcW w:w="0" w:type="auto"/>
            <w:hideMark/>
          </w:tcPr>
          <w:p w14:paraId="360B9A71"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4,33</w:t>
            </w:r>
          </w:p>
        </w:tc>
        <w:tc>
          <w:tcPr>
            <w:tcW w:w="0" w:type="auto"/>
            <w:hideMark/>
          </w:tcPr>
          <w:p w14:paraId="7630B90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0,58</w:t>
            </w:r>
          </w:p>
        </w:tc>
      </w:tr>
      <w:tr w:rsidR="00183A57" w:rsidRPr="00183A57" w14:paraId="643B7012" w14:textId="77777777" w:rsidTr="00183A57">
        <w:tc>
          <w:tcPr>
            <w:tcW w:w="0" w:type="auto"/>
            <w:hideMark/>
          </w:tcPr>
          <w:p w14:paraId="3D0512F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11.</w:t>
            </w:r>
          </w:p>
        </w:tc>
        <w:tc>
          <w:tcPr>
            <w:tcW w:w="0" w:type="auto"/>
            <w:hideMark/>
          </w:tcPr>
          <w:p w14:paraId="06B63600"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Formalni plan zajedničke integracije od strane vodećih upravljačkih timova oba poduzeća</w:t>
            </w:r>
          </w:p>
        </w:tc>
        <w:tc>
          <w:tcPr>
            <w:tcW w:w="0" w:type="auto"/>
            <w:hideMark/>
          </w:tcPr>
          <w:p w14:paraId="1742596C"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4,17</w:t>
            </w:r>
          </w:p>
        </w:tc>
        <w:tc>
          <w:tcPr>
            <w:tcW w:w="0" w:type="auto"/>
            <w:hideMark/>
          </w:tcPr>
          <w:p w14:paraId="676D394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0,40</w:t>
            </w:r>
          </w:p>
        </w:tc>
      </w:tr>
      <w:tr w:rsidR="00183A57" w:rsidRPr="00183A57" w14:paraId="15031C57" w14:textId="77777777" w:rsidTr="00183A57">
        <w:tc>
          <w:tcPr>
            <w:tcW w:w="0" w:type="auto"/>
            <w:hideMark/>
          </w:tcPr>
          <w:p w14:paraId="5747587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11.</w:t>
            </w:r>
          </w:p>
        </w:tc>
        <w:tc>
          <w:tcPr>
            <w:tcW w:w="0" w:type="auto"/>
            <w:hideMark/>
          </w:tcPr>
          <w:p w14:paraId="671A166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Niveliranje razlika u stilovima upravljanja između poduzeća koja su sudjelovala u procesu spajanja i preuzimanja</w:t>
            </w:r>
          </w:p>
        </w:tc>
        <w:tc>
          <w:tcPr>
            <w:tcW w:w="0" w:type="auto"/>
            <w:hideMark/>
          </w:tcPr>
          <w:p w14:paraId="6EDAAF0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4,17</w:t>
            </w:r>
          </w:p>
        </w:tc>
        <w:tc>
          <w:tcPr>
            <w:tcW w:w="0" w:type="auto"/>
            <w:hideMark/>
          </w:tcPr>
          <w:p w14:paraId="5679AD8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0,65</w:t>
            </w:r>
          </w:p>
        </w:tc>
      </w:tr>
      <w:tr w:rsidR="00183A57" w:rsidRPr="00183A57" w14:paraId="610A3139" w14:textId="77777777" w:rsidTr="00183A57">
        <w:tc>
          <w:tcPr>
            <w:tcW w:w="0" w:type="auto"/>
            <w:hideMark/>
          </w:tcPr>
          <w:p w14:paraId="3362F89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13.</w:t>
            </w:r>
          </w:p>
        </w:tc>
        <w:tc>
          <w:tcPr>
            <w:tcW w:w="0" w:type="auto"/>
            <w:hideMark/>
          </w:tcPr>
          <w:p w14:paraId="76E7A18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Identificiranje i usmjeravanje na ostvarivanje glavnih vrijednosnih pokretača procesa akvizicije</w:t>
            </w:r>
          </w:p>
        </w:tc>
        <w:tc>
          <w:tcPr>
            <w:tcW w:w="0" w:type="auto"/>
            <w:hideMark/>
          </w:tcPr>
          <w:p w14:paraId="2F2CAEB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4,00</w:t>
            </w:r>
          </w:p>
        </w:tc>
        <w:tc>
          <w:tcPr>
            <w:tcW w:w="0" w:type="auto"/>
            <w:hideMark/>
          </w:tcPr>
          <w:p w14:paraId="60380AF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0,50</w:t>
            </w:r>
          </w:p>
        </w:tc>
      </w:tr>
      <w:tr w:rsidR="00183A57" w:rsidRPr="00183A57" w14:paraId="7F2FF256" w14:textId="77777777" w:rsidTr="00183A57">
        <w:tc>
          <w:tcPr>
            <w:tcW w:w="0" w:type="auto"/>
            <w:hideMark/>
          </w:tcPr>
          <w:p w14:paraId="5F0F431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13.</w:t>
            </w:r>
          </w:p>
        </w:tc>
        <w:tc>
          <w:tcPr>
            <w:tcW w:w="0" w:type="auto"/>
            <w:hideMark/>
          </w:tcPr>
          <w:p w14:paraId="678D3B44"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Brza integracija radi ostvarivanja zacrtanog plana</w:t>
            </w:r>
          </w:p>
        </w:tc>
        <w:tc>
          <w:tcPr>
            <w:tcW w:w="0" w:type="auto"/>
            <w:hideMark/>
          </w:tcPr>
          <w:p w14:paraId="30279A36"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4,00</w:t>
            </w:r>
          </w:p>
        </w:tc>
        <w:tc>
          <w:tcPr>
            <w:tcW w:w="0" w:type="auto"/>
            <w:hideMark/>
          </w:tcPr>
          <w:p w14:paraId="7A53E2C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0,75</w:t>
            </w:r>
          </w:p>
        </w:tc>
      </w:tr>
      <w:tr w:rsidR="00183A57" w:rsidRPr="00183A57" w14:paraId="53151EBE" w14:textId="77777777" w:rsidTr="00183A57">
        <w:tc>
          <w:tcPr>
            <w:tcW w:w="0" w:type="auto"/>
            <w:hideMark/>
          </w:tcPr>
          <w:p w14:paraId="6D70CBC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13.</w:t>
            </w:r>
          </w:p>
        </w:tc>
        <w:tc>
          <w:tcPr>
            <w:tcW w:w="0" w:type="auto"/>
            <w:hideMark/>
          </w:tcPr>
          <w:p w14:paraId="1B472302"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Promptna objava plana razvoja ljudskih resursa nakon procesa akvizicije</w:t>
            </w:r>
          </w:p>
        </w:tc>
        <w:tc>
          <w:tcPr>
            <w:tcW w:w="0" w:type="auto"/>
            <w:hideMark/>
          </w:tcPr>
          <w:p w14:paraId="1316CBBC"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4,00</w:t>
            </w:r>
          </w:p>
        </w:tc>
        <w:tc>
          <w:tcPr>
            <w:tcW w:w="0" w:type="auto"/>
            <w:hideMark/>
          </w:tcPr>
          <w:p w14:paraId="6C92B420"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0,25</w:t>
            </w:r>
          </w:p>
        </w:tc>
      </w:tr>
      <w:tr w:rsidR="00183A57" w:rsidRPr="00183A57" w14:paraId="154B00C1" w14:textId="77777777" w:rsidTr="00183A57">
        <w:tc>
          <w:tcPr>
            <w:tcW w:w="0" w:type="auto"/>
            <w:hideMark/>
          </w:tcPr>
          <w:p w14:paraId="6C49473F"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16.</w:t>
            </w:r>
          </w:p>
        </w:tc>
        <w:tc>
          <w:tcPr>
            <w:tcW w:w="0" w:type="auto"/>
            <w:hideMark/>
          </w:tcPr>
          <w:p w14:paraId="523F2F20"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 xml:space="preserve">Uspostavljanje novih programa procjene učinka uspješnosti u poduzećima koja su sudjelovala u procesu </w:t>
            </w:r>
            <w:r w:rsidRPr="00183A57">
              <w:rPr>
                <w:rFonts w:ascii="Times New Roman" w:hAnsi="Times New Roman" w:cs="Times New Roman"/>
                <w:sz w:val="24"/>
                <w:szCs w:val="24"/>
                <w:lang w:val="en-US"/>
              </w:rPr>
              <w:lastRenderedPageBreak/>
              <w:t>spajanja i preuzimanja, bez obzira na njihovu trenutačnu pravnu osobnost</w:t>
            </w:r>
          </w:p>
        </w:tc>
        <w:tc>
          <w:tcPr>
            <w:tcW w:w="0" w:type="auto"/>
            <w:hideMark/>
          </w:tcPr>
          <w:p w14:paraId="5CFFC68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lastRenderedPageBreak/>
              <w:t>3,83</w:t>
            </w:r>
          </w:p>
        </w:tc>
        <w:tc>
          <w:tcPr>
            <w:tcW w:w="0" w:type="auto"/>
            <w:hideMark/>
          </w:tcPr>
          <w:p w14:paraId="5B70E696"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0,65</w:t>
            </w:r>
          </w:p>
        </w:tc>
      </w:tr>
      <w:tr w:rsidR="00183A57" w:rsidRPr="00183A57" w14:paraId="3D206F9A" w14:textId="77777777" w:rsidTr="00183A57">
        <w:tc>
          <w:tcPr>
            <w:tcW w:w="0" w:type="auto"/>
            <w:hideMark/>
          </w:tcPr>
          <w:p w14:paraId="7968B40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16.</w:t>
            </w:r>
          </w:p>
        </w:tc>
        <w:tc>
          <w:tcPr>
            <w:tcW w:w="0" w:type="auto"/>
            <w:hideMark/>
          </w:tcPr>
          <w:p w14:paraId="40CFF23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Asimiliranje kulturoloških sustava poduzeća preuzimatelja (tj. vrijednosti, norme) u poslovnu kulturu poduzeća mete</w:t>
            </w:r>
          </w:p>
        </w:tc>
        <w:tc>
          <w:tcPr>
            <w:tcW w:w="0" w:type="auto"/>
            <w:hideMark/>
          </w:tcPr>
          <w:p w14:paraId="048C41A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3,83</w:t>
            </w:r>
          </w:p>
        </w:tc>
        <w:tc>
          <w:tcPr>
            <w:tcW w:w="0" w:type="auto"/>
            <w:hideMark/>
          </w:tcPr>
          <w:p w14:paraId="13BFB8C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0,40</w:t>
            </w:r>
          </w:p>
        </w:tc>
      </w:tr>
      <w:tr w:rsidR="00183A57" w:rsidRPr="00183A57" w14:paraId="4927A41E" w14:textId="77777777" w:rsidTr="00183A57">
        <w:tc>
          <w:tcPr>
            <w:tcW w:w="0" w:type="auto"/>
            <w:hideMark/>
          </w:tcPr>
          <w:p w14:paraId="20664176"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18.</w:t>
            </w:r>
          </w:p>
        </w:tc>
        <w:tc>
          <w:tcPr>
            <w:tcW w:w="0" w:type="auto"/>
            <w:hideMark/>
          </w:tcPr>
          <w:p w14:paraId="0DEA0F8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Razvojni programi kojima se potiče osjećaj zajedništva između zaposlenika poduzeća koja su sudjelovala u akvizicijskom procesu</w:t>
            </w:r>
          </w:p>
        </w:tc>
        <w:tc>
          <w:tcPr>
            <w:tcW w:w="0" w:type="auto"/>
            <w:hideMark/>
          </w:tcPr>
          <w:p w14:paraId="676288B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3,67</w:t>
            </w:r>
          </w:p>
        </w:tc>
        <w:tc>
          <w:tcPr>
            <w:tcW w:w="0" w:type="auto"/>
            <w:hideMark/>
          </w:tcPr>
          <w:p w14:paraId="4A23595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0,33</w:t>
            </w:r>
          </w:p>
        </w:tc>
      </w:tr>
      <w:tr w:rsidR="00183A57" w:rsidRPr="00183A57" w14:paraId="19A07F1A" w14:textId="77777777" w:rsidTr="00183A57">
        <w:tc>
          <w:tcPr>
            <w:tcW w:w="0" w:type="auto"/>
            <w:hideMark/>
          </w:tcPr>
          <w:p w14:paraId="10CFE53F"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19.</w:t>
            </w:r>
          </w:p>
        </w:tc>
        <w:tc>
          <w:tcPr>
            <w:tcW w:w="0" w:type="auto"/>
            <w:hideMark/>
          </w:tcPr>
          <w:p w14:paraId="129A6D45"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Povezivanje naknada (kompenzacija) s poboljšanjima u realizaciji slobodnih novčanih tokova</w:t>
            </w:r>
          </w:p>
        </w:tc>
        <w:tc>
          <w:tcPr>
            <w:tcW w:w="0" w:type="auto"/>
            <w:hideMark/>
          </w:tcPr>
          <w:p w14:paraId="495E993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3,33</w:t>
            </w:r>
          </w:p>
        </w:tc>
        <w:tc>
          <w:tcPr>
            <w:tcW w:w="0" w:type="auto"/>
            <w:hideMark/>
          </w:tcPr>
          <w:p w14:paraId="4D282F0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0,33</w:t>
            </w:r>
          </w:p>
        </w:tc>
      </w:tr>
    </w:tbl>
    <w:p w14:paraId="225AB95F" w14:textId="77777777" w:rsidR="00183A57" w:rsidRPr="00183A57" w:rsidRDefault="00183A57" w:rsidP="00183A57">
      <w:pPr>
        <w:spacing w:line="360" w:lineRule="auto"/>
        <w:jc w:val="both"/>
        <w:rPr>
          <w:rFonts w:ascii="Times New Roman" w:hAnsi="Times New Roman" w:cs="Times New Roman"/>
          <w:sz w:val="24"/>
          <w:szCs w:val="24"/>
        </w:rPr>
      </w:pPr>
      <w:r w:rsidRPr="00183A57">
        <w:rPr>
          <w:rFonts w:ascii="Times New Roman" w:hAnsi="Times New Roman" w:cs="Times New Roman"/>
          <w:sz w:val="24"/>
          <w:szCs w:val="24"/>
        </w:rPr>
        <w:t>Izvor: obrada autora</w:t>
      </w:r>
    </w:p>
    <w:p w14:paraId="4301F109"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rezultata identificirani su </w:t>
      </w:r>
      <w:r w:rsidRPr="00BE5472">
        <w:rPr>
          <w:rFonts w:ascii="Times New Roman" w:hAnsi="Times New Roman" w:cs="Times New Roman"/>
          <w:b/>
          <w:sz w:val="24"/>
          <w:szCs w:val="24"/>
        </w:rPr>
        <w:t>ključni čimbenici uspjeha procesa spajanja i preuzimanja u hrvatskom hotelijerstvu u fazi integracije</w:t>
      </w:r>
      <w:r w:rsidRPr="00BE5472">
        <w:rPr>
          <w:rFonts w:ascii="Times New Roman" w:hAnsi="Times New Roman" w:cs="Times New Roman"/>
          <w:sz w:val="24"/>
          <w:szCs w:val="24"/>
        </w:rPr>
        <w:t>, sukladno mišljenju ispitanika, na temelju aritmetičke sredine kao pokazatelja percipirane važnosti te standardne devijacije kao mjere stupnja suglasnosti. Rangiranje čimbenika provedeno je uz istodobno razmatranje oba kriterija.</w:t>
      </w:r>
    </w:p>
    <w:p w14:paraId="3C88BC23"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čimbenici uspjeha</w:t>
      </w:r>
      <w:r w:rsidRPr="00BE5472">
        <w:rPr>
          <w:rFonts w:ascii="Times New Roman" w:hAnsi="Times New Roman" w:cs="Times New Roman"/>
          <w:sz w:val="24"/>
          <w:szCs w:val="24"/>
        </w:rPr>
        <w:t xml:space="preserve"> izdvajaju se </w:t>
      </w:r>
      <w:r w:rsidRPr="00BE5472">
        <w:rPr>
          <w:rFonts w:ascii="Times New Roman" w:hAnsi="Times New Roman" w:cs="Times New Roman"/>
          <w:bCs/>
          <w:sz w:val="24"/>
          <w:szCs w:val="24"/>
        </w:rPr>
        <w:t>definiranje nove strategije razvoja poduzeća nakon akvizicije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osiguranje resursa potrebnih za integraciju</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odlučan i pravedan odnos prema zaposlenicima koje je potrebno otpustiti</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postavljanje nove upravljačke strukture u poduzeću meti</w:t>
      </w:r>
      <w:r w:rsidRPr="00BE5472">
        <w:rPr>
          <w:rFonts w:ascii="Times New Roman" w:hAnsi="Times New Roman" w:cs="Times New Roman"/>
          <w:sz w:val="24"/>
          <w:szCs w:val="24"/>
        </w:rPr>
        <w:t xml:space="preserve"> (aritmetička sredina = 4,667; standardna devijacija = 0,471). Visoka prosječna ocjena uz vrlo nisku varijabilnost odgovora upućuje na gotovo jednoglasan stav ispitanika o njihovoj ključnoj važnosti u fazi integracije.</w:t>
      </w:r>
    </w:p>
    <w:p w14:paraId="64A66AB2"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w:t>
      </w:r>
      <w:r w:rsidRPr="00BE5472">
        <w:rPr>
          <w:rFonts w:ascii="Times New Roman" w:hAnsi="Times New Roman" w:cs="Times New Roman"/>
          <w:bCs/>
          <w:sz w:val="24"/>
          <w:szCs w:val="24"/>
        </w:rPr>
        <w:t>vrlo važnih čimbenika</w:t>
      </w:r>
      <w:r w:rsidRPr="00BE5472">
        <w:rPr>
          <w:rFonts w:ascii="Times New Roman" w:hAnsi="Times New Roman" w:cs="Times New Roman"/>
          <w:sz w:val="24"/>
          <w:szCs w:val="24"/>
        </w:rPr>
        <w:t xml:space="preserve"> čine </w:t>
      </w:r>
      <w:r w:rsidRPr="00BE5472">
        <w:rPr>
          <w:rFonts w:ascii="Times New Roman" w:hAnsi="Times New Roman" w:cs="Times New Roman"/>
          <w:bCs/>
          <w:sz w:val="24"/>
          <w:szCs w:val="24"/>
        </w:rPr>
        <w:t>uspostavljanje unutarnjih mehanizama za prijenos kompetencija i sredstava između poslovnih jedinica</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identificiranje prilika za poboljšanje konkurentske pozicije poduzeća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detektiranje i zadržavanje ključnih zaposlenika i menadžera poduzeća mete</w:t>
      </w:r>
      <w:r w:rsidRPr="00BE5472">
        <w:rPr>
          <w:rFonts w:ascii="Times New Roman" w:hAnsi="Times New Roman" w:cs="Times New Roman"/>
          <w:sz w:val="24"/>
          <w:szCs w:val="24"/>
        </w:rPr>
        <w:t xml:space="preserve"> (aritmetička sredina = 4,500; standardna devijacija = 0,500). Vrlo visoke prosječne ocjene uz nizak stupanj neslaganja među ispitanicima ukazuju na to da se ovi čimbenici prepoznaju kao ključni za uspješan proces integracije.</w:t>
      </w:r>
    </w:p>
    <w:p w14:paraId="5F5822A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Čimbenici </w:t>
      </w:r>
      <w:r w:rsidRPr="00BE5472">
        <w:rPr>
          <w:rFonts w:ascii="Times New Roman" w:hAnsi="Times New Roman" w:cs="Times New Roman"/>
          <w:bCs/>
          <w:sz w:val="24"/>
          <w:szCs w:val="24"/>
        </w:rPr>
        <w:t>uspostavljanja učinkovite komunikacijske strategije</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učinkovite komunikacije s javnošću</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integracije informacijske infrastrukture poduzeća</w:t>
      </w:r>
      <w:r w:rsidRPr="00BE5472">
        <w:rPr>
          <w:rFonts w:ascii="Times New Roman" w:hAnsi="Times New Roman" w:cs="Times New Roman"/>
          <w:sz w:val="24"/>
          <w:szCs w:val="24"/>
        </w:rPr>
        <w:t xml:space="preserve"> ostvaruju visoke prosječne </w:t>
      </w:r>
      <w:r w:rsidRPr="00BE5472">
        <w:rPr>
          <w:rFonts w:ascii="Times New Roman" w:hAnsi="Times New Roman" w:cs="Times New Roman"/>
          <w:sz w:val="24"/>
          <w:szCs w:val="24"/>
        </w:rPr>
        <w:lastRenderedPageBreak/>
        <w:t>ocjene (aritmetička sredina = 4,333), ali uz nešto višu standardnu devijaciju (0,745). Značajni su, ali s umjerenom varijabilnošću mišljenja ispitanika. Ovi rezultati upućuju na opću percepciju njihove važnosti, ali i na postojanje određenih razilaženja u procjeni njihove relativne važnosti među ispitanicima.</w:t>
      </w:r>
    </w:p>
    <w:p w14:paraId="5336416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rPr>
        <w:t xml:space="preserve">Čimbenici </w:t>
      </w:r>
      <w:r w:rsidRPr="00BE5472">
        <w:rPr>
          <w:rFonts w:ascii="Times New Roman" w:hAnsi="Times New Roman" w:cs="Times New Roman"/>
          <w:bCs/>
          <w:sz w:val="24"/>
          <w:szCs w:val="24"/>
        </w:rPr>
        <w:t>niveliranja razlika u stilovima upravljanja</w:t>
      </w:r>
      <w:r w:rsidRPr="00BE5472">
        <w:rPr>
          <w:rFonts w:ascii="Times New Roman" w:hAnsi="Times New Roman" w:cs="Times New Roman"/>
          <w:sz w:val="24"/>
          <w:szCs w:val="24"/>
        </w:rPr>
        <w:t xml:space="preserve"> (standardna devijacija = 0,687) i </w:t>
      </w:r>
      <w:r w:rsidRPr="00BE5472">
        <w:rPr>
          <w:rFonts w:ascii="Times New Roman" w:hAnsi="Times New Roman" w:cs="Times New Roman"/>
          <w:bCs/>
          <w:sz w:val="24"/>
          <w:szCs w:val="24"/>
        </w:rPr>
        <w:t>formalnog plana zajedničke integracije</w:t>
      </w:r>
      <w:r w:rsidRPr="00BE5472">
        <w:rPr>
          <w:rFonts w:ascii="Times New Roman" w:hAnsi="Times New Roman" w:cs="Times New Roman"/>
          <w:sz w:val="24"/>
          <w:szCs w:val="24"/>
        </w:rPr>
        <w:t xml:space="preserve"> (standardna devijacija = 0,898) ostvaruju nešto nižu prosječnu ocjenu (aritmetička sredina = 4,167). </w:t>
      </w:r>
      <w:r w:rsidRPr="00BE5472">
        <w:rPr>
          <w:rFonts w:ascii="Times New Roman" w:hAnsi="Times New Roman" w:cs="Times New Roman"/>
          <w:sz w:val="24"/>
          <w:szCs w:val="24"/>
          <w:lang w:val="it-IT"/>
        </w:rPr>
        <w:t>Iako ih ispitanici ne percipiraju kao prioritetne, rezultati upućuju na to da se i dalje smatraju relevantnima u procesu integracije.</w:t>
      </w:r>
    </w:p>
    <w:p w14:paraId="6377D30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Čimbenici niže </w:t>
      </w:r>
      <w:r w:rsidRPr="00BE5472">
        <w:rPr>
          <w:rFonts w:ascii="Times New Roman" w:hAnsi="Times New Roman" w:cs="Times New Roman"/>
          <w:bCs/>
          <w:sz w:val="24"/>
          <w:szCs w:val="24"/>
          <w:lang w:val="it-IT"/>
        </w:rPr>
        <w:t>percipirane važnosti uz podijeljene stavove jesu brze integracije radi ostvarivanja zacrtanog plana</w:t>
      </w:r>
      <w:r w:rsidRPr="00BE5472">
        <w:rPr>
          <w:rFonts w:ascii="Times New Roman" w:hAnsi="Times New Roman" w:cs="Times New Roman"/>
          <w:sz w:val="24"/>
          <w:szCs w:val="24"/>
          <w:lang w:val="it-IT"/>
        </w:rPr>
        <w:t xml:space="preserve">, </w:t>
      </w:r>
      <w:r w:rsidRPr="00BE5472">
        <w:rPr>
          <w:rFonts w:ascii="Times New Roman" w:hAnsi="Times New Roman" w:cs="Times New Roman"/>
          <w:bCs/>
          <w:sz w:val="24"/>
          <w:szCs w:val="24"/>
          <w:lang w:val="it-IT"/>
        </w:rPr>
        <w:t>identificiranja i usmjeravanja na ostvarivanje glavnih vrijednosnih pokretača akvizicije</w:t>
      </w:r>
      <w:r w:rsidRPr="00BE5472">
        <w:rPr>
          <w:rFonts w:ascii="Times New Roman" w:hAnsi="Times New Roman" w:cs="Times New Roman"/>
          <w:sz w:val="24"/>
          <w:szCs w:val="24"/>
          <w:lang w:val="it-IT"/>
        </w:rPr>
        <w:t xml:space="preserve"> te </w:t>
      </w:r>
      <w:r w:rsidRPr="00BE5472">
        <w:rPr>
          <w:rFonts w:ascii="Times New Roman" w:hAnsi="Times New Roman" w:cs="Times New Roman"/>
          <w:bCs/>
          <w:sz w:val="24"/>
          <w:szCs w:val="24"/>
          <w:lang w:val="it-IT"/>
        </w:rPr>
        <w:t>promptne objave plana razvoja ljudskih resursa</w:t>
      </w:r>
      <w:r w:rsidRPr="00BE5472">
        <w:rPr>
          <w:rFonts w:ascii="Times New Roman" w:hAnsi="Times New Roman" w:cs="Times New Roman"/>
          <w:sz w:val="24"/>
          <w:szCs w:val="24"/>
          <w:lang w:val="it-IT"/>
        </w:rPr>
        <w:t xml:space="preserve"> ostvaruju aritmetičku sredinu od 4,000, uz raspon standardnih devijacija od 0,577 do 1,000. Posebno visoka standardna devijacija kod objave plana razvoja ljudskih resursa upućuje na izražena razilaženja među ispitanicima o njegovoj važnosti.</w:t>
      </w:r>
    </w:p>
    <w:p w14:paraId="06E684E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Čimbenici </w:t>
      </w:r>
      <w:r w:rsidRPr="00BE5472">
        <w:rPr>
          <w:rFonts w:ascii="Times New Roman" w:hAnsi="Times New Roman" w:cs="Times New Roman"/>
          <w:bCs/>
          <w:sz w:val="24"/>
          <w:szCs w:val="24"/>
          <w:lang w:val="it-IT"/>
        </w:rPr>
        <w:t>uspostavljanja novih programa procjene učinka</w:t>
      </w:r>
      <w:r w:rsidRPr="00BE5472">
        <w:rPr>
          <w:rFonts w:ascii="Times New Roman" w:hAnsi="Times New Roman" w:cs="Times New Roman"/>
          <w:sz w:val="24"/>
          <w:szCs w:val="24"/>
          <w:lang w:val="it-IT"/>
        </w:rPr>
        <w:t xml:space="preserve"> i </w:t>
      </w:r>
      <w:r w:rsidRPr="00BE5472">
        <w:rPr>
          <w:rFonts w:ascii="Times New Roman" w:hAnsi="Times New Roman" w:cs="Times New Roman"/>
          <w:bCs/>
          <w:sz w:val="24"/>
          <w:szCs w:val="24"/>
          <w:lang w:val="it-IT"/>
        </w:rPr>
        <w:t>asimiliranja kulturoloških sustava poduzeća</w:t>
      </w:r>
      <w:r w:rsidRPr="00BE5472">
        <w:rPr>
          <w:rFonts w:ascii="Times New Roman" w:hAnsi="Times New Roman" w:cs="Times New Roman"/>
          <w:sz w:val="24"/>
          <w:szCs w:val="24"/>
          <w:lang w:val="it-IT"/>
        </w:rPr>
        <w:t xml:space="preserve"> (aritmetička sredina = 3,833; standardne devijacije = 0,687–0,898) percipirani su kao manje važni, pri čemu podijeljena mišljenja o važnosti kulturološke integracije upućuju na različite pristupe u praksi.</w:t>
      </w:r>
    </w:p>
    <w:p w14:paraId="5484C2C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Kao </w:t>
      </w:r>
      <w:r w:rsidRPr="00BE5472">
        <w:rPr>
          <w:rFonts w:ascii="Times New Roman" w:hAnsi="Times New Roman" w:cs="Times New Roman"/>
          <w:bCs/>
          <w:sz w:val="24"/>
          <w:szCs w:val="24"/>
          <w:lang w:val="it-IT"/>
        </w:rPr>
        <w:t>najmanje važni čimbenici</w:t>
      </w:r>
      <w:r w:rsidRPr="00BE5472">
        <w:rPr>
          <w:rFonts w:ascii="Times New Roman" w:hAnsi="Times New Roman" w:cs="Times New Roman"/>
          <w:sz w:val="24"/>
          <w:szCs w:val="24"/>
          <w:lang w:val="it-IT"/>
        </w:rPr>
        <w:t xml:space="preserve"> identificirani su </w:t>
      </w:r>
      <w:r w:rsidRPr="00BE5472">
        <w:rPr>
          <w:rFonts w:ascii="Times New Roman" w:hAnsi="Times New Roman" w:cs="Times New Roman"/>
          <w:bCs/>
          <w:sz w:val="24"/>
          <w:szCs w:val="24"/>
          <w:lang w:val="it-IT"/>
        </w:rPr>
        <w:t>razvojni programi za poticanje osjećaja zajedništva</w:t>
      </w:r>
      <w:r w:rsidRPr="00BE5472">
        <w:rPr>
          <w:rFonts w:ascii="Times New Roman" w:hAnsi="Times New Roman" w:cs="Times New Roman"/>
          <w:sz w:val="24"/>
          <w:szCs w:val="24"/>
          <w:lang w:val="it-IT"/>
        </w:rPr>
        <w:t xml:space="preserve"> (aritmetička sredina = 3,667; standardna devijacija = 0,943) te </w:t>
      </w:r>
      <w:r w:rsidRPr="00BE5472">
        <w:rPr>
          <w:rFonts w:ascii="Times New Roman" w:hAnsi="Times New Roman" w:cs="Times New Roman"/>
          <w:bCs/>
          <w:sz w:val="24"/>
          <w:szCs w:val="24"/>
          <w:lang w:val="it-IT"/>
        </w:rPr>
        <w:t>povezivanje naknada s poboljšanjima u realizaciji slobodnih novčanih tokova</w:t>
      </w:r>
      <w:r w:rsidRPr="00BE5472">
        <w:rPr>
          <w:rFonts w:ascii="Times New Roman" w:hAnsi="Times New Roman" w:cs="Times New Roman"/>
          <w:sz w:val="24"/>
          <w:szCs w:val="24"/>
          <w:lang w:val="it-IT"/>
        </w:rPr>
        <w:t xml:space="preserve"> (aritmetička sredina = 3,333; standardna devijacija = 0,943). Niske prosječne ocjene uz visoku varijabilnost odgovora ukazuju na neujednačene stavove ispitanika o njihovoj važnosti u fazi integracije.</w:t>
      </w:r>
    </w:p>
    <w:p w14:paraId="04A3A2C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Nakon završetka integracijskih aktivnosti, fokus procjene uspješnosti procesa spajanja i preuzimanja premješta se na postakvizicijsku fazu, u kojoj se vrednuju ostvareni financijski, operativni i organizacijski rezultati.</w:t>
      </w:r>
    </w:p>
    <w:p w14:paraId="14A76D27" w14:textId="718595BC"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rezultata drugog kruga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ispitivanja identificirani </w:t>
      </w:r>
      <w:r w:rsidRPr="00BE5472">
        <w:rPr>
          <w:rFonts w:ascii="Times New Roman" w:hAnsi="Times New Roman" w:cs="Times New Roman"/>
          <w:b/>
          <w:sz w:val="24"/>
          <w:szCs w:val="24"/>
        </w:rPr>
        <w:t>su najvažniji čimbenici uspjeha procesa spajanja i preuzimanja u hrvatskom hotelijerstvu nakon završetka procesa spajanja i preuzimanja,</w:t>
      </w:r>
      <w:r w:rsidRPr="00BE5472">
        <w:rPr>
          <w:rFonts w:ascii="Times New Roman" w:hAnsi="Times New Roman" w:cs="Times New Roman"/>
          <w:sz w:val="24"/>
          <w:szCs w:val="24"/>
        </w:rPr>
        <w:t xml:space="preserve"> sukladno mišljenju ispitanika. Procjena važnosti pojedinih čimbenika temelji se na aritmetičkoj sredini kao pokazatelju percipirane važnosti te standardnoj devijaciji kao mjeri stupnja suglasnosti. Rangiranje čimbenika provedeno je uz istodobno </w:t>
      </w:r>
      <w:r w:rsidRPr="00BE5472">
        <w:rPr>
          <w:rFonts w:ascii="Times New Roman" w:hAnsi="Times New Roman" w:cs="Times New Roman"/>
          <w:sz w:val="24"/>
          <w:szCs w:val="24"/>
        </w:rPr>
        <w:lastRenderedPageBreak/>
        <w:t>razmatranje oba kriterija.</w:t>
      </w:r>
      <w:r w:rsidR="00183A57" w:rsidRPr="00183A57">
        <w:t xml:space="preserve"> </w:t>
      </w:r>
      <w:r w:rsidR="00183A57" w:rsidRPr="00183A57">
        <w:rPr>
          <w:rFonts w:ascii="Times New Roman" w:hAnsi="Times New Roman" w:cs="Times New Roman"/>
          <w:sz w:val="24"/>
          <w:szCs w:val="24"/>
        </w:rPr>
        <w:t xml:space="preserve">Radi preglednijeg prikaza rezultata, u </w:t>
      </w:r>
      <w:r w:rsidR="00127A4E">
        <w:rPr>
          <w:rFonts w:ascii="Times New Roman" w:hAnsi="Times New Roman" w:cs="Times New Roman"/>
          <w:sz w:val="24"/>
          <w:szCs w:val="24"/>
        </w:rPr>
        <w:t>Tablici</w:t>
      </w:r>
      <w:r w:rsidR="00183A57" w:rsidRPr="00183A57">
        <w:rPr>
          <w:rFonts w:ascii="Times New Roman" w:hAnsi="Times New Roman" w:cs="Times New Roman"/>
          <w:sz w:val="24"/>
          <w:szCs w:val="24"/>
        </w:rPr>
        <w:t xml:space="preserve"> 35 prikazana je hijerarhija ključnih čimbenika uspjeha u postakvizicijskoj fazi prema prosječnoj ocjeni njihove važnosti.</w:t>
      </w:r>
    </w:p>
    <w:p w14:paraId="29A6AD01" w14:textId="793D9FAE" w:rsidR="00183A57" w:rsidRPr="00E1098E" w:rsidRDefault="00E1098E" w:rsidP="00E1098E">
      <w:pPr>
        <w:pStyle w:val="Caption"/>
        <w:rPr>
          <w:rFonts w:ascii="Times New Roman" w:hAnsi="Times New Roman" w:cs="Times New Roman"/>
          <w:sz w:val="24"/>
          <w:szCs w:val="24"/>
        </w:rPr>
      </w:pPr>
      <w:bookmarkStart w:id="184" w:name="_Toc241865229"/>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35</w:t>
      </w:r>
      <w:r w:rsidRPr="00E1098E">
        <w:rPr>
          <w:rFonts w:ascii="Times New Roman" w:hAnsi="Times New Roman" w:cs="Times New Roman"/>
          <w:sz w:val="24"/>
          <w:szCs w:val="24"/>
        </w:rPr>
        <w:fldChar w:fldCharType="end"/>
      </w:r>
      <w:r w:rsidR="00183A57" w:rsidRPr="00E1098E">
        <w:rPr>
          <w:rFonts w:ascii="Times New Roman" w:hAnsi="Times New Roman" w:cs="Times New Roman"/>
          <w:sz w:val="24"/>
          <w:szCs w:val="24"/>
        </w:rPr>
        <w:t>: Hijerarhija ključnih čimbenika uspjeha u postakvizicijskoj fazi prema rezultatima drugog ciklusa Delphi postupka</w:t>
      </w:r>
      <w:bookmarkEnd w:id="184"/>
    </w:p>
    <w:tbl>
      <w:tblPr>
        <w:tblStyle w:val="Reetkatablice1"/>
        <w:tblW w:w="0" w:type="auto"/>
        <w:tblLook w:val="04A0" w:firstRow="1" w:lastRow="0" w:firstColumn="1" w:lastColumn="0" w:noHBand="0" w:noVBand="1"/>
      </w:tblPr>
      <w:tblGrid>
        <w:gridCol w:w="763"/>
        <w:gridCol w:w="5354"/>
        <w:gridCol w:w="636"/>
        <w:gridCol w:w="2266"/>
      </w:tblGrid>
      <w:tr w:rsidR="00183A57" w:rsidRPr="00183A57" w14:paraId="56873192" w14:textId="77777777" w:rsidTr="00183A57">
        <w:tc>
          <w:tcPr>
            <w:tcW w:w="0" w:type="auto"/>
            <w:hideMark/>
          </w:tcPr>
          <w:p w14:paraId="4609EFFE"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Rang</w:t>
            </w:r>
          </w:p>
        </w:tc>
        <w:tc>
          <w:tcPr>
            <w:tcW w:w="0" w:type="auto"/>
            <w:hideMark/>
          </w:tcPr>
          <w:p w14:paraId="0648CD87"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Ključni čimbenik uspjeha</w:t>
            </w:r>
          </w:p>
        </w:tc>
        <w:tc>
          <w:tcPr>
            <w:tcW w:w="0" w:type="auto"/>
            <w:hideMark/>
          </w:tcPr>
          <w:p w14:paraId="320156E3"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M</w:t>
            </w:r>
          </w:p>
        </w:tc>
        <w:tc>
          <w:tcPr>
            <w:tcW w:w="0" w:type="auto"/>
            <w:hideMark/>
          </w:tcPr>
          <w:p w14:paraId="786F07B2" w14:textId="77777777" w:rsidR="00183A57" w:rsidRPr="00183A57" w:rsidRDefault="00183A57" w:rsidP="00183A57">
            <w:pPr>
              <w:spacing w:after="160" w:line="360" w:lineRule="auto"/>
              <w:jc w:val="both"/>
              <w:rPr>
                <w:rFonts w:ascii="Times New Roman" w:hAnsi="Times New Roman" w:cs="Times New Roman"/>
                <w:b/>
                <w:bCs/>
                <w:sz w:val="24"/>
                <w:szCs w:val="24"/>
                <w:lang w:val="en-US"/>
              </w:rPr>
            </w:pPr>
            <w:r w:rsidRPr="00183A57">
              <w:rPr>
                <w:rFonts w:ascii="Times New Roman" w:hAnsi="Times New Roman" w:cs="Times New Roman"/>
                <w:b/>
                <w:bCs/>
                <w:sz w:val="24"/>
                <w:szCs w:val="24"/>
                <w:lang w:val="en-US"/>
              </w:rPr>
              <w:t>Linearno ponderirani indeks suglasnosti</w:t>
            </w:r>
          </w:p>
        </w:tc>
      </w:tr>
      <w:tr w:rsidR="00183A57" w:rsidRPr="00183A57" w14:paraId="618B78B3" w14:textId="77777777" w:rsidTr="00183A57">
        <w:tc>
          <w:tcPr>
            <w:tcW w:w="0" w:type="auto"/>
            <w:hideMark/>
          </w:tcPr>
          <w:p w14:paraId="1B859C4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1.</w:t>
            </w:r>
          </w:p>
        </w:tc>
        <w:tc>
          <w:tcPr>
            <w:tcW w:w="0" w:type="auto"/>
            <w:hideMark/>
          </w:tcPr>
          <w:p w14:paraId="6FC8713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Uobičajeni hotelski pokazatelji uspješnosti (ADR, stopa popunjenosti, REVPAR, TREVPAR)</w:t>
            </w:r>
          </w:p>
        </w:tc>
        <w:tc>
          <w:tcPr>
            <w:tcW w:w="0" w:type="auto"/>
            <w:hideMark/>
          </w:tcPr>
          <w:p w14:paraId="77ACDBC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4,50</w:t>
            </w:r>
          </w:p>
        </w:tc>
        <w:tc>
          <w:tcPr>
            <w:tcW w:w="0" w:type="auto"/>
            <w:hideMark/>
          </w:tcPr>
          <w:p w14:paraId="3D78E23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0,81</w:t>
            </w:r>
          </w:p>
        </w:tc>
      </w:tr>
      <w:tr w:rsidR="00183A57" w:rsidRPr="00183A57" w14:paraId="1C7449A8" w14:textId="77777777" w:rsidTr="00183A57">
        <w:tc>
          <w:tcPr>
            <w:tcW w:w="0" w:type="auto"/>
            <w:hideMark/>
          </w:tcPr>
          <w:p w14:paraId="3EA25C9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2.</w:t>
            </w:r>
          </w:p>
        </w:tc>
        <w:tc>
          <w:tcPr>
            <w:tcW w:w="0" w:type="auto"/>
            <w:hideMark/>
          </w:tcPr>
          <w:p w14:paraId="75C80152"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 xml:space="preserve">Novčani tijek iz operacija (prodaja umanjena za troškove prodanih dobara i usluga, administrativne troškove uvećano za deprecijaciju i </w:t>
            </w:r>
            <w:r w:rsidRPr="00183A57">
              <w:rPr>
                <w:rFonts w:ascii="Times New Roman" w:hAnsi="Times New Roman" w:cs="Times New Roman"/>
                <w:i/>
                <w:iCs/>
                <w:sz w:val="24"/>
                <w:szCs w:val="24"/>
                <w:lang w:val="en-US"/>
              </w:rPr>
              <w:t>goodwill</w:t>
            </w:r>
            <w:r w:rsidRPr="00183A57">
              <w:rPr>
                <w:rFonts w:ascii="Times New Roman" w:hAnsi="Times New Roman" w:cs="Times New Roman"/>
                <w:sz w:val="24"/>
                <w:szCs w:val="24"/>
                <w:lang w:val="en-US"/>
              </w:rPr>
              <w:t>)</w:t>
            </w:r>
          </w:p>
        </w:tc>
        <w:tc>
          <w:tcPr>
            <w:tcW w:w="0" w:type="auto"/>
            <w:hideMark/>
          </w:tcPr>
          <w:p w14:paraId="14E7A486"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4,33</w:t>
            </w:r>
          </w:p>
        </w:tc>
        <w:tc>
          <w:tcPr>
            <w:tcW w:w="0" w:type="auto"/>
            <w:hideMark/>
          </w:tcPr>
          <w:p w14:paraId="159F545E"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039D7818" w14:textId="77777777" w:rsidTr="00183A57">
        <w:tc>
          <w:tcPr>
            <w:tcW w:w="0" w:type="auto"/>
            <w:hideMark/>
          </w:tcPr>
          <w:p w14:paraId="343A6BA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2.</w:t>
            </w:r>
          </w:p>
        </w:tc>
        <w:tc>
          <w:tcPr>
            <w:tcW w:w="0" w:type="auto"/>
            <w:hideMark/>
          </w:tcPr>
          <w:p w14:paraId="4040B34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Prihvaćanje nove organizacijske strukture</w:t>
            </w:r>
          </w:p>
        </w:tc>
        <w:tc>
          <w:tcPr>
            <w:tcW w:w="0" w:type="auto"/>
            <w:hideMark/>
          </w:tcPr>
          <w:p w14:paraId="0D2B24FB"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4,33</w:t>
            </w:r>
          </w:p>
        </w:tc>
        <w:tc>
          <w:tcPr>
            <w:tcW w:w="0" w:type="auto"/>
            <w:hideMark/>
          </w:tcPr>
          <w:p w14:paraId="4B3677C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0,83</w:t>
            </w:r>
          </w:p>
        </w:tc>
      </w:tr>
      <w:tr w:rsidR="00183A57" w:rsidRPr="00183A57" w14:paraId="476A53E1" w14:textId="77777777" w:rsidTr="00183A57">
        <w:tc>
          <w:tcPr>
            <w:tcW w:w="0" w:type="auto"/>
            <w:hideMark/>
          </w:tcPr>
          <w:p w14:paraId="4B14D4AF"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w:t>
            </w:r>
          </w:p>
        </w:tc>
        <w:tc>
          <w:tcPr>
            <w:tcW w:w="0" w:type="auto"/>
            <w:hideMark/>
          </w:tcPr>
          <w:p w14:paraId="79301E9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Povrat na ukupno uloženi kapital (WACC)</w:t>
            </w:r>
          </w:p>
        </w:tc>
        <w:tc>
          <w:tcPr>
            <w:tcW w:w="0" w:type="auto"/>
            <w:hideMark/>
          </w:tcPr>
          <w:p w14:paraId="461302C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4,17</w:t>
            </w:r>
          </w:p>
        </w:tc>
        <w:tc>
          <w:tcPr>
            <w:tcW w:w="0" w:type="auto"/>
            <w:hideMark/>
          </w:tcPr>
          <w:p w14:paraId="625DE6C1"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0,65</w:t>
            </w:r>
          </w:p>
        </w:tc>
      </w:tr>
      <w:tr w:rsidR="00183A57" w:rsidRPr="00183A57" w14:paraId="4BE49B23" w14:textId="77777777" w:rsidTr="00183A57">
        <w:tc>
          <w:tcPr>
            <w:tcW w:w="0" w:type="auto"/>
            <w:hideMark/>
          </w:tcPr>
          <w:p w14:paraId="5520A971"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w:t>
            </w:r>
          </w:p>
        </w:tc>
        <w:tc>
          <w:tcPr>
            <w:tcW w:w="0" w:type="auto"/>
            <w:hideMark/>
          </w:tcPr>
          <w:p w14:paraId="6111318F"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Računovodstveni pokazatelji (ROI, ROE, ROA)</w:t>
            </w:r>
          </w:p>
        </w:tc>
        <w:tc>
          <w:tcPr>
            <w:tcW w:w="0" w:type="auto"/>
            <w:hideMark/>
          </w:tcPr>
          <w:p w14:paraId="6BA72F2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4,17</w:t>
            </w:r>
          </w:p>
        </w:tc>
        <w:tc>
          <w:tcPr>
            <w:tcW w:w="0" w:type="auto"/>
            <w:hideMark/>
          </w:tcPr>
          <w:p w14:paraId="07C92D89"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0,65</w:t>
            </w:r>
          </w:p>
        </w:tc>
      </w:tr>
      <w:tr w:rsidR="00183A57" w:rsidRPr="00183A57" w14:paraId="436982B9" w14:textId="77777777" w:rsidTr="00183A57">
        <w:tc>
          <w:tcPr>
            <w:tcW w:w="0" w:type="auto"/>
            <w:hideMark/>
          </w:tcPr>
          <w:p w14:paraId="1C207AA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w:t>
            </w:r>
          </w:p>
        </w:tc>
        <w:tc>
          <w:tcPr>
            <w:tcW w:w="0" w:type="auto"/>
            <w:hideMark/>
          </w:tcPr>
          <w:p w14:paraId="250E834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Tržišni udio (gubitak/dobitak)</w:t>
            </w:r>
          </w:p>
        </w:tc>
        <w:tc>
          <w:tcPr>
            <w:tcW w:w="0" w:type="auto"/>
            <w:hideMark/>
          </w:tcPr>
          <w:p w14:paraId="38CF2B7C"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4,17</w:t>
            </w:r>
          </w:p>
        </w:tc>
        <w:tc>
          <w:tcPr>
            <w:tcW w:w="0" w:type="auto"/>
            <w:hideMark/>
          </w:tcPr>
          <w:p w14:paraId="7EC4151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0,65</w:t>
            </w:r>
          </w:p>
        </w:tc>
      </w:tr>
      <w:tr w:rsidR="00183A57" w:rsidRPr="00183A57" w14:paraId="283990FB" w14:textId="77777777" w:rsidTr="00183A57">
        <w:tc>
          <w:tcPr>
            <w:tcW w:w="0" w:type="auto"/>
            <w:hideMark/>
          </w:tcPr>
          <w:p w14:paraId="41C8C0C2"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7.</w:t>
            </w:r>
          </w:p>
        </w:tc>
        <w:tc>
          <w:tcPr>
            <w:tcW w:w="0" w:type="auto"/>
            <w:hideMark/>
          </w:tcPr>
          <w:p w14:paraId="4D97AC3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Promjena kretanja cijene dionica</w:t>
            </w:r>
          </w:p>
        </w:tc>
        <w:tc>
          <w:tcPr>
            <w:tcW w:w="0" w:type="auto"/>
            <w:hideMark/>
          </w:tcPr>
          <w:p w14:paraId="4EB7913A"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4,00</w:t>
            </w:r>
          </w:p>
        </w:tc>
        <w:tc>
          <w:tcPr>
            <w:tcW w:w="0" w:type="auto"/>
            <w:hideMark/>
          </w:tcPr>
          <w:p w14:paraId="734B3B9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0,75</w:t>
            </w:r>
          </w:p>
        </w:tc>
      </w:tr>
      <w:tr w:rsidR="00183A57" w:rsidRPr="00183A57" w14:paraId="59424CCF" w14:textId="77777777" w:rsidTr="00183A57">
        <w:tc>
          <w:tcPr>
            <w:tcW w:w="0" w:type="auto"/>
            <w:hideMark/>
          </w:tcPr>
          <w:p w14:paraId="437BBC88"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8.</w:t>
            </w:r>
          </w:p>
        </w:tc>
        <w:tc>
          <w:tcPr>
            <w:tcW w:w="0" w:type="auto"/>
            <w:hideMark/>
          </w:tcPr>
          <w:p w14:paraId="7CFC94F4"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Prihvaćanje nove/izmijenjene organizacijske kulture</w:t>
            </w:r>
          </w:p>
        </w:tc>
        <w:tc>
          <w:tcPr>
            <w:tcW w:w="0" w:type="auto"/>
            <w:hideMark/>
          </w:tcPr>
          <w:p w14:paraId="00EB55E5"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3,83</w:t>
            </w:r>
          </w:p>
        </w:tc>
        <w:tc>
          <w:tcPr>
            <w:tcW w:w="0" w:type="auto"/>
            <w:hideMark/>
          </w:tcPr>
          <w:p w14:paraId="5F4AF267"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0,40</w:t>
            </w:r>
          </w:p>
        </w:tc>
      </w:tr>
      <w:tr w:rsidR="00183A57" w:rsidRPr="00183A57" w14:paraId="1C7DB7BC" w14:textId="77777777" w:rsidTr="00183A57">
        <w:tc>
          <w:tcPr>
            <w:tcW w:w="0" w:type="auto"/>
            <w:hideMark/>
          </w:tcPr>
          <w:p w14:paraId="5F897C03"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9.</w:t>
            </w:r>
          </w:p>
        </w:tc>
        <w:tc>
          <w:tcPr>
            <w:tcW w:w="0" w:type="auto"/>
            <w:hideMark/>
          </w:tcPr>
          <w:p w14:paraId="38675EA0" w14:textId="77777777" w:rsidR="00183A57" w:rsidRPr="00183A57" w:rsidRDefault="00183A57" w:rsidP="00183A57">
            <w:pPr>
              <w:spacing w:after="160" w:line="360" w:lineRule="auto"/>
              <w:jc w:val="both"/>
              <w:rPr>
                <w:rFonts w:ascii="Times New Roman" w:hAnsi="Times New Roman" w:cs="Times New Roman"/>
                <w:sz w:val="24"/>
                <w:szCs w:val="24"/>
                <w:lang w:val="it-IT"/>
              </w:rPr>
            </w:pPr>
            <w:r w:rsidRPr="00183A57">
              <w:rPr>
                <w:rFonts w:ascii="Times New Roman" w:hAnsi="Times New Roman" w:cs="Times New Roman"/>
                <w:sz w:val="24"/>
                <w:szCs w:val="24"/>
                <w:lang w:val="it-IT"/>
              </w:rPr>
              <w:t>Slobodni novčani tijek po dionici</w:t>
            </w:r>
          </w:p>
        </w:tc>
        <w:tc>
          <w:tcPr>
            <w:tcW w:w="0" w:type="auto"/>
            <w:hideMark/>
          </w:tcPr>
          <w:p w14:paraId="70A5EA4D"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3,67</w:t>
            </w:r>
          </w:p>
        </w:tc>
        <w:tc>
          <w:tcPr>
            <w:tcW w:w="0" w:type="auto"/>
            <w:hideMark/>
          </w:tcPr>
          <w:p w14:paraId="281A856F" w14:textId="77777777" w:rsidR="00183A57" w:rsidRPr="00183A57" w:rsidRDefault="00183A57" w:rsidP="00183A57">
            <w:pPr>
              <w:spacing w:after="160" w:line="360" w:lineRule="auto"/>
              <w:jc w:val="both"/>
              <w:rPr>
                <w:rFonts w:ascii="Times New Roman" w:hAnsi="Times New Roman" w:cs="Times New Roman"/>
                <w:sz w:val="24"/>
                <w:szCs w:val="24"/>
                <w:lang w:val="en-US"/>
              </w:rPr>
            </w:pPr>
            <w:r w:rsidRPr="00183A57">
              <w:rPr>
                <w:rFonts w:ascii="Times New Roman" w:hAnsi="Times New Roman" w:cs="Times New Roman"/>
                <w:sz w:val="24"/>
                <w:szCs w:val="24"/>
                <w:lang w:val="en-US"/>
              </w:rPr>
              <w:t>0,33</w:t>
            </w:r>
          </w:p>
        </w:tc>
      </w:tr>
    </w:tbl>
    <w:p w14:paraId="704863EE" w14:textId="77777777" w:rsidR="00183A57" w:rsidRPr="00183A57" w:rsidRDefault="00183A57" w:rsidP="00183A57">
      <w:pPr>
        <w:spacing w:line="360" w:lineRule="auto"/>
        <w:jc w:val="both"/>
        <w:rPr>
          <w:rFonts w:ascii="Times New Roman" w:hAnsi="Times New Roman" w:cs="Times New Roman"/>
          <w:sz w:val="24"/>
          <w:szCs w:val="24"/>
        </w:rPr>
      </w:pPr>
      <w:r w:rsidRPr="00183A57">
        <w:rPr>
          <w:rFonts w:ascii="Times New Roman" w:hAnsi="Times New Roman" w:cs="Times New Roman"/>
          <w:sz w:val="24"/>
          <w:szCs w:val="24"/>
        </w:rPr>
        <w:t>Izvor: obrada autora</w:t>
      </w:r>
    </w:p>
    <w:p w14:paraId="76133CFE"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najvažniji čimbenik uspjeha</w:t>
      </w:r>
      <w:r w:rsidRPr="00BE5472">
        <w:rPr>
          <w:rFonts w:ascii="Times New Roman" w:hAnsi="Times New Roman" w:cs="Times New Roman"/>
          <w:sz w:val="24"/>
          <w:szCs w:val="24"/>
        </w:rPr>
        <w:t xml:space="preserve"> izdvaja se </w:t>
      </w:r>
      <w:r w:rsidRPr="00BE5472">
        <w:rPr>
          <w:rFonts w:ascii="Times New Roman" w:hAnsi="Times New Roman" w:cs="Times New Roman"/>
          <w:bCs/>
          <w:sz w:val="24"/>
          <w:szCs w:val="24"/>
        </w:rPr>
        <w:t>uobičajeni hotelski pokazatelji uspješnosti (ADR, stopa popunjenosti, RevPAR, TRevPAR)</w:t>
      </w:r>
      <w:r w:rsidRPr="00BE5472">
        <w:rPr>
          <w:rFonts w:ascii="Times New Roman" w:hAnsi="Times New Roman" w:cs="Times New Roman"/>
          <w:sz w:val="24"/>
          <w:szCs w:val="24"/>
        </w:rPr>
        <w:t xml:space="preserve"> (aritmetička sredina = 4,500; standardna devijacija = 0,500). Najviša prosječna ocjena uz nisku varijabilnost odgovora ukazuje na gotovo jednoglasan stav ispitanika da upravo ovi operativni pokazatelji predstavljaju ključnu mjeru uspješnosti nakon preuzimanja.</w:t>
      </w:r>
    </w:p>
    <w:p w14:paraId="5B17D595" w14:textId="094AAC7E"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Skupinu </w:t>
      </w:r>
      <w:r w:rsidRPr="00BE5472">
        <w:rPr>
          <w:rFonts w:ascii="Times New Roman" w:hAnsi="Times New Roman" w:cs="Times New Roman"/>
          <w:bCs/>
          <w:sz w:val="24"/>
          <w:szCs w:val="24"/>
        </w:rPr>
        <w:t>vrlo važnih čimbenika</w:t>
      </w:r>
      <w:r w:rsidRPr="00BE5472">
        <w:rPr>
          <w:rFonts w:ascii="Times New Roman" w:hAnsi="Times New Roman" w:cs="Times New Roman"/>
          <w:sz w:val="24"/>
          <w:szCs w:val="24"/>
        </w:rPr>
        <w:t xml:space="preserve"> čine </w:t>
      </w:r>
      <w:r w:rsidRPr="00BE5472">
        <w:rPr>
          <w:rFonts w:ascii="Times New Roman" w:hAnsi="Times New Roman" w:cs="Times New Roman"/>
          <w:bCs/>
          <w:sz w:val="24"/>
          <w:szCs w:val="24"/>
        </w:rPr>
        <w:t>novčani tijek iz operacija</w:t>
      </w:r>
      <w:r w:rsidRPr="00BE5472">
        <w:rPr>
          <w:rFonts w:ascii="Times New Roman" w:hAnsi="Times New Roman" w:cs="Times New Roman"/>
          <w:sz w:val="24"/>
          <w:szCs w:val="24"/>
        </w:rPr>
        <w:t xml:space="preserve"> i </w:t>
      </w:r>
      <w:r w:rsidRPr="00BE5472">
        <w:rPr>
          <w:rFonts w:ascii="Times New Roman" w:hAnsi="Times New Roman" w:cs="Times New Roman"/>
          <w:bCs/>
          <w:sz w:val="24"/>
          <w:szCs w:val="24"/>
        </w:rPr>
        <w:t>prihvaćanje nove organizacijske strukture</w:t>
      </w:r>
      <w:r w:rsidRPr="00BE5472">
        <w:rPr>
          <w:rFonts w:ascii="Times New Roman" w:hAnsi="Times New Roman" w:cs="Times New Roman"/>
          <w:sz w:val="24"/>
          <w:szCs w:val="24"/>
        </w:rPr>
        <w:t xml:space="preserve"> (aritmetička sredina = 4,333; standardna devijacija = 0,471). Visoke </w:t>
      </w:r>
      <w:r w:rsidRPr="00BE5472">
        <w:rPr>
          <w:rFonts w:ascii="Times New Roman" w:hAnsi="Times New Roman" w:cs="Times New Roman"/>
          <w:sz w:val="24"/>
          <w:szCs w:val="24"/>
        </w:rPr>
        <w:lastRenderedPageBreak/>
        <w:t>prosječne ocjene uz nizak stupanj raspršenosti odgovora upućuju na stabilan konsenzus ispitanika o njihovoj važnosti za dugoročnu stabilnost i uspješnu postakvizicijsku integraciju.</w:t>
      </w:r>
    </w:p>
    <w:p w14:paraId="3C6991F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Čimbenici </w:t>
      </w:r>
      <w:r w:rsidRPr="00BE5472">
        <w:rPr>
          <w:rFonts w:ascii="Times New Roman" w:hAnsi="Times New Roman" w:cs="Times New Roman"/>
          <w:bCs/>
          <w:sz w:val="24"/>
          <w:szCs w:val="24"/>
        </w:rPr>
        <w:t>povrata na ukupno uloženi kapital (WACC)</w:t>
      </w:r>
      <w:r w:rsidRPr="00BE5472">
        <w:rPr>
          <w:rFonts w:ascii="Times New Roman" w:hAnsi="Times New Roman" w:cs="Times New Roman"/>
          <w:sz w:val="24"/>
          <w:szCs w:val="24"/>
        </w:rPr>
        <w:t xml:space="preserve">, </w:t>
      </w:r>
      <w:r w:rsidRPr="00BE5472">
        <w:rPr>
          <w:rFonts w:ascii="Times New Roman" w:hAnsi="Times New Roman" w:cs="Times New Roman"/>
          <w:bCs/>
          <w:sz w:val="24"/>
          <w:szCs w:val="24"/>
        </w:rPr>
        <w:t>računovodstvenih pokazatelja uspješnosti (ROI, ROE, ROA)</w:t>
      </w:r>
      <w:r w:rsidRPr="00BE5472">
        <w:rPr>
          <w:rFonts w:ascii="Times New Roman" w:hAnsi="Times New Roman" w:cs="Times New Roman"/>
          <w:sz w:val="24"/>
          <w:szCs w:val="24"/>
        </w:rPr>
        <w:t xml:space="preserve"> te </w:t>
      </w:r>
      <w:r w:rsidRPr="00BE5472">
        <w:rPr>
          <w:rFonts w:ascii="Times New Roman" w:hAnsi="Times New Roman" w:cs="Times New Roman"/>
          <w:bCs/>
          <w:sz w:val="24"/>
          <w:szCs w:val="24"/>
        </w:rPr>
        <w:t>tržišnog udjela (dobitak ili gubitak)</w:t>
      </w:r>
      <w:r w:rsidRPr="00BE5472">
        <w:rPr>
          <w:rFonts w:ascii="Times New Roman" w:hAnsi="Times New Roman" w:cs="Times New Roman"/>
          <w:sz w:val="24"/>
          <w:szCs w:val="24"/>
        </w:rPr>
        <w:t xml:space="preserve"> ostvaruju aritmetičku sredinu od 4,167 uz standardnu devijaciju od 0,687. Iako se navedeni pokazatelji percipiraju kao važni za ocjenu financijske uspješnosti preuzimanja, viša varijabilnost odgovora ukazuje na razlike u procjeni njihove relativne važnosti među ispitanicima.</w:t>
      </w:r>
    </w:p>
    <w:p w14:paraId="39118C98"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Cs/>
          <w:sz w:val="24"/>
          <w:szCs w:val="24"/>
        </w:rPr>
        <w:t>Promjena kretanja cijene dionica</w:t>
      </w:r>
      <w:r w:rsidRPr="00BE5472">
        <w:rPr>
          <w:rFonts w:ascii="Times New Roman" w:hAnsi="Times New Roman" w:cs="Times New Roman"/>
          <w:sz w:val="24"/>
          <w:szCs w:val="24"/>
        </w:rPr>
        <w:t xml:space="preserve"> (aritmetička sredina = 4,000; standardna devijacija = 0,577) ocijenjena je kao umjereno važan čimbenik. Relativno niska standardna devijacija upućuje na ujednačen stav ispitanika da je riječ o relevantnom, ali ne i presudnom pokazatelju uspješnosti nakon preuzimanja.</w:t>
      </w:r>
    </w:p>
    <w:p w14:paraId="714B7137" w14:textId="10C806EA"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Cs/>
          <w:sz w:val="24"/>
          <w:szCs w:val="24"/>
        </w:rPr>
        <w:t>Prihvaćanje nove ili izmijenjene organizacijske kulture</w:t>
      </w:r>
      <w:r w:rsidRPr="00BE5472">
        <w:rPr>
          <w:rFonts w:ascii="Times New Roman" w:hAnsi="Times New Roman" w:cs="Times New Roman"/>
          <w:sz w:val="24"/>
          <w:szCs w:val="24"/>
        </w:rPr>
        <w:t xml:space="preserve"> (aritmetička sredina = 3,833; standardna devijacija = 0,898) ocijenjeno je kao čimbenik niže važnosti, pri čemu visoka standardna devijacija ukazuje na izraženo razilaženje mišljenja među ispitanicima o njegovoj ulozi u postakvizicijskoj fazi.</w:t>
      </w:r>
    </w:p>
    <w:p w14:paraId="76434E8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Kao </w:t>
      </w:r>
      <w:r w:rsidRPr="00BE5472">
        <w:rPr>
          <w:rFonts w:ascii="Times New Roman" w:hAnsi="Times New Roman" w:cs="Times New Roman"/>
          <w:bCs/>
          <w:sz w:val="24"/>
          <w:szCs w:val="24"/>
        </w:rPr>
        <w:t>najniže ocijenjeni čimbenik</w:t>
      </w:r>
      <w:r w:rsidRPr="00BE5472">
        <w:rPr>
          <w:rFonts w:ascii="Times New Roman" w:hAnsi="Times New Roman" w:cs="Times New Roman"/>
          <w:sz w:val="24"/>
          <w:szCs w:val="24"/>
        </w:rPr>
        <w:t xml:space="preserve"> identificiran je </w:t>
      </w:r>
      <w:r w:rsidRPr="00BE5472">
        <w:rPr>
          <w:rFonts w:ascii="Times New Roman" w:hAnsi="Times New Roman" w:cs="Times New Roman"/>
          <w:bCs/>
          <w:sz w:val="24"/>
          <w:szCs w:val="24"/>
        </w:rPr>
        <w:t>slobodni novčani tijek po dionici</w:t>
      </w:r>
      <w:r w:rsidRPr="00BE5472">
        <w:rPr>
          <w:rFonts w:ascii="Times New Roman" w:hAnsi="Times New Roman" w:cs="Times New Roman"/>
          <w:sz w:val="24"/>
          <w:szCs w:val="24"/>
        </w:rPr>
        <w:t xml:space="preserve"> (aritmetička sredina = 3,667; standardna devijacija = 0,943). Niska prosječna ocjena uz visoku varijabilnost odgovora upućuje na izrazito podijeljene stavove ispitanika o njegovoj važnosti u procjeni uspješnosti procesa spajanja i preuzimanja nakon njegova završetka.</w:t>
      </w:r>
    </w:p>
    <w:p w14:paraId="449DE4EE" w14:textId="76FD968F"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nastavku se grafički prikazuju ključni čimbenici u svakoj fazi procesa spajanja i preuzimanja, a </w:t>
      </w:r>
      <w:r w:rsidR="00F87611" w:rsidRPr="00BE5472">
        <w:rPr>
          <w:rFonts w:ascii="Times New Roman" w:hAnsi="Times New Roman" w:cs="Times New Roman"/>
          <w:sz w:val="24"/>
          <w:szCs w:val="24"/>
        </w:rPr>
        <w:t xml:space="preserve">na </w:t>
      </w:r>
      <w:r w:rsidRPr="00BE5472">
        <w:rPr>
          <w:rFonts w:ascii="Times New Roman" w:hAnsi="Times New Roman" w:cs="Times New Roman"/>
          <w:sz w:val="24"/>
          <w:szCs w:val="24"/>
        </w:rPr>
        <w:t>temelj</w:t>
      </w:r>
      <w:r w:rsidR="00F87611" w:rsidRPr="00BE5472">
        <w:rPr>
          <w:rFonts w:ascii="Times New Roman" w:hAnsi="Times New Roman" w:cs="Times New Roman"/>
          <w:sz w:val="24"/>
          <w:szCs w:val="24"/>
        </w:rPr>
        <w:t>u</w:t>
      </w:r>
      <w:r w:rsidRPr="00BE5472">
        <w:rPr>
          <w:rFonts w:ascii="Times New Roman" w:hAnsi="Times New Roman" w:cs="Times New Roman"/>
          <w:sz w:val="24"/>
          <w:szCs w:val="24"/>
        </w:rPr>
        <w:t xml:space="preserve"> sljedećih kriterija:</w:t>
      </w:r>
    </w:p>
    <w:p w14:paraId="78646483" w14:textId="77777777" w:rsidR="00120B4F" w:rsidRPr="00BE5472" w:rsidRDefault="00120B4F" w:rsidP="00120B4F">
      <w:pPr>
        <w:numPr>
          <w:ilvl w:val="0"/>
          <w:numId w:val="102"/>
        </w:numPr>
        <w:spacing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visoka aritmetička sredina</w:t>
      </w:r>
      <w:r w:rsidRPr="00BE5472">
        <w:rPr>
          <w:rFonts w:ascii="Times New Roman" w:hAnsi="Times New Roman" w:cs="Times New Roman"/>
          <w:sz w:val="24"/>
          <w:szCs w:val="24"/>
        </w:rPr>
        <w:t xml:space="preserve"> – čimbenici s </w:t>
      </w:r>
      <w:r w:rsidRPr="00BE5472">
        <w:rPr>
          <w:rFonts w:ascii="Times New Roman" w:hAnsi="Times New Roman" w:cs="Times New Roman"/>
          <w:bCs/>
          <w:sz w:val="24"/>
          <w:szCs w:val="24"/>
        </w:rPr>
        <w:t>najvišim ocjenama</w:t>
      </w:r>
      <w:r w:rsidRPr="00BE5472">
        <w:rPr>
          <w:rFonts w:ascii="Times New Roman" w:hAnsi="Times New Roman" w:cs="Times New Roman"/>
          <w:sz w:val="24"/>
          <w:szCs w:val="24"/>
        </w:rPr>
        <w:t xml:space="preserve"> od ispitanika (iznad 4.3).</w:t>
      </w:r>
    </w:p>
    <w:p w14:paraId="3E70DE91" w14:textId="77777777" w:rsidR="00120B4F" w:rsidRPr="00BE5472" w:rsidRDefault="00120B4F" w:rsidP="00120B4F">
      <w:pPr>
        <w:numPr>
          <w:ilvl w:val="0"/>
          <w:numId w:val="102"/>
        </w:numPr>
        <w:spacing w:line="360" w:lineRule="auto"/>
        <w:jc w:val="both"/>
        <w:rPr>
          <w:rFonts w:ascii="Times New Roman" w:hAnsi="Times New Roman" w:cs="Times New Roman"/>
          <w:sz w:val="24"/>
          <w:szCs w:val="24"/>
        </w:rPr>
      </w:pPr>
      <w:r w:rsidRPr="00BE5472">
        <w:rPr>
          <w:rFonts w:ascii="Times New Roman" w:hAnsi="Times New Roman" w:cs="Times New Roman"/>
          <w:bCs/>
          <w:i/>
          <w:sz w:val="24"/>
          <w:szCs w:val="24"/>
        </w:rPr>
        <w:t>niska standardna devijacija</w:t>
      </w:r>
      <w:r w:rsidRPr="00BE5472">
        <w:rPr>
          <w:rFonts w:ascii="Times New Roman" w:hAnsi="Times New Roman" w:cs="Times New Roman"/>
          <w:sz w:val="24"/>
          <w:szCs w:val="24"/>
        </w:rPr>
        <w:t xml:space="preserve"> – čimbenici kod kojih postoji </w:t>
      </w:r>
      <w:r w:rsidRPr="00BE5472">
        <w:rPr>
          <w:rFonts w:ascii="Times New Roman" w:hAnsi="Times New Roman" w:cs="Times New Roman"/>
          <w:bCs/>
          <w:sz w:val="24"/>
          <w:szCs w:val="24"/>
        </w:rPr>
        <w:t>visoka razina suglasnosti među ispitanicima</w:t>
      </w:r>
      <w:r w:rsidRPr="00BE5472">
        <w:rPr>
          <w:rFonts w:ascii="Times New Roman" w:hAnsi="Times New Roman" w:cs="Times New Roman"/>
          <w:sz w:val="24"/>
          <w:szCs w:val="24"/>
        </w:rPr>
        <w:t xml:space="preserve"> (najčešće </w:t>
      </w:r>
      <w:r w:rsidRPr="00BE5472">
        <w:rPr>
          <w:rFonts w:ascii="Times New Roman" w:hAnsi="Times New Roman" w:cs="Times New Roman"/>
          <w:bCs/>
          <w:sz w:val="24"/>
          <w:szCs w:val="24"/>
        </w:rPr>
        <w:t>ispod 0.6</w:t>
      </w:r>
      <w:r w:rsidRPr="00BE5472">
        <w:rPr>
          <w:rFonts w:ascii="Times New Roman" w:hAnsi="Times New Roman" w:cs="Times New Roman"/>
          <w:sz w:val="24"/>
          <w:szCs w:val="24"/>
        </w:rPr>
        <w:t>).</w:t>
      </w:r>
    </w:p>
    <w:p w14:paraId="12300E07" w14:textId="64D0B2FC" w:rsidR="00120B4F" w:rsidRDefault="00120B4F" w:rsidP="0022220D">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Broj čimbenika se razlikuje jer su u nekim fazama </w:t>
      </w:r>
      <w:r w:rsidRPr="00BE5472">
        <w:rPr>
          <w:rFonts w:ascii="Times New Roman" w:hAnsi="Times New Roman" w:cs="Times New Roman"/>
          <w:bCs/>
          <w:sz w:val="24"/>
          <w:szCs w:val="24"/>
        </w:rPr>
        <w:t>više čimbenika imala podjednako visoku aritmetičku sredinu i nisku standardnu devijaciju</w:t>
      </w:r>
      <w:r w:rsidRPr="00BE5472">
        <w:rPr>
          <w:rFonts w:ascii="Times New Roman" w:hAnsi="Times New Roman" w:cs="Times New Roman"/>
          <w:sz w:val="24"/>
          <w:szCs w:val="24"/>
        </w:rPr>
        <w:t xml:space="preserve">. U </w:t>
      </w:r>
      <w:r w:rsidRPr="00BE5472">
        <w:rPr>
          <w:rFonts w:ascii="Times New Roman" w:hAnsi="Times New Roman" w:cs="Times New Roman"/>
          <w:bCs/>
          <w:sz w:val="24"/>
          <w:szCs w:val="24"/>
        </w:rPr>
        <w:t>prvoj fazi (prije pokretanja procesa spajanja i preuzimanja)</w:t>
      </w:r>
      <w:r w:rsidRPr="00BE5472">
        <w:rPr>
          <w:rFonts w:ascii="Times New Roman" w:hAnsi="Times New Roman" w:cs="Times New Roman"/>
          <w:sz w:val="24"/>
          <w:szCs w:val="24"/>
        </w:rPr>
        <w:t xml:space="preserve"> četiri čimbenika su imala visoku ocjenu </w:t>
      </w:r>
      <w:r w:rsidRPr="00BE5472">
        <w:rPr>
          <w:rFonts w:ascii="Times New Roman" w:hAnsi="Times New Roman" w:cs="Times New Roman"/>
          <w:bCs/>
          <w:sz w:val="24"/>
          <w:szCs w:val="24"/>
        </w:rPr>
        <w:t>(4.5 i više)</w:t>
      </w:r>
      <w:r w:rsidRPr="00BE5472">
        <w:rPr>
          <w:rFonts w:ascii="Times New Roman" w:hAnsi="Times New Roman" w:cs="Times New Roman"/>
          <w:sz w:val="24"/>
          <w:szCs w:val="24"/>
        </w:rPr>
        <w:t xml:space="preserve"> i nisku varijabilnost. U </w:t>
      </w:r>
      <w:r w:rsidRPr="00BE5472">
        <w:rPr>
          <w:rFonts w:ascii="Times New Roman" w:hAnsi="Times New Roman" w:cs="Times New Roman"/>
          <w:bCs/>
          <w:sz w:val="24"/>
          <w:szCs w:val="24"/>
        </w:rPr>
        <w:t>drugim</w:t>
      </w:r>
      <w:r w:rsidR="00875A28" w:rsidRPr="00BE5472">
        <w:rPr>
          <w:rFonts w:ascii="Times New Roman" w:hAnsi="Times New Roman" w:cs="Times New Roman"/>
          <w:bCs/>
          <w:sz w:val="24"/>
          <w:szCs w:val="24"/>
        </w:rPr>
        <w:t xml:space="preserve"> su</w:t>
      </w:r>
      <w:r w:rsidRPr="00BE5472">
        <w:rPr>
          <w:rFonts w:ascii="Times New Roman" w:hAnsi="Times New Roman" w:cs="Times New Roman"/>
          <w:bCs/>
          <w:sz w:val="24"/>
          <w:szCs w:val="24"/>
        </w:rPr>
        <w:t xml:space="preserve"> fazama</w:t>
      </w:r>
      <w:r w:rsidRPr="00BE5472">
        <w:rPr>
          <w:rFonts w:ascii="Times New Roman" w:hAnsi="Times New Roman" w:cs="Times New Roman"/>
          <w:sz w:val="24"/>
          <w:szCs w:val="24"/>
        </w:rPr>
        <w:t xml:space="preserve"> uzeta </w:t>
      </w:r>
      <w:r w:rsidRPr="00BE5472">
        <w:rPr>
          <w:rFonts w:ascii="Times New Roman" w:hAnsi="Times New Roman" w:cs="Times New Roman"/>
          <w:bCs/>
          <w:sz w:val="24"/>
          <w:szCs w:val="24"/>
        </w:rPr>
        <w:t>tri ili četiri čimbenika</w:t>
      </w:r>
      <w:r w:rsidRPr="00BE5472">
        <w:rPr>
          <w:rFonts w:ascii="Times New Roman" w:hAnsi="Times New Roman" w:cs="Times New Roman"/>
          <w:sz w:val="24"/>
          <w:szCs w:val="24"/>
        </w:rPr>
        <w:t>, ovisno o tome gdje je jasno vidljiva granica između ključnih i manje važnih čimbenika.</w:t>
      </w:r>
    </w:p>
    <w:p w14:paraId="356F5B3E" w14:textId="77777777" w:rsidR="003D46C7" w:rsidRPr="00BE5472" w:rsidRDefault="003D46C7" w:rsidP="0022220D">
      <w:pPr>
        <w:spacing w:line="360" w:lineRule="auto"/>
        <w:jc w:val="both"/>
        <w:rPr>
          <w:rFonts w:ascii="Times New Roman" w:hAnsi="Times New Roman" w:cs="Times New Roman"/>
          <w:sz w:val="24"/>
          <w:szCs w:val="24"/>
        </w:rPr>
      </w:pPr>
    </w:p>
    <w:p w14:paraId="5896EB99" w14:textId="2EC3D9AD" w:rsidR="00120B4F" w:rsidRPr="00E1098E" w:rsidRDefault="00E1098E" w:rsidP="00E1098E">
      <w:pPr>
        <w:pStyle w:val="Caption"/>
        <w:rPr>
          <w:rFonts w:ascii="Times New Roman" w:hAnsi="Times New Roman" w:cs="Times New Roman"/>
          <w:sz w:val="24"/>
          <w:szCs w:val="24"/>
          <w:lang w:val="it-IT"/>
        </w:rPr>
      </w:pPr>
      <w:bookmarkStart w:id="185" w:name="_Toc241865290"/>
      <w:r w:rsidRPr="00E1098E">
        <w:rPr>
          <w:rFonts w:ascii="Times New Roman" w:hAnsi="Times New Roman" w:cs="Times New Roman"/>
          <w:sz w:val="24"/>
          <w:szCs w:val="24"/>
        </w:rPr>
        <w:lastRenderedPageBreak/>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22</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lang w:val="it-IT"/>
        </w:rPr>
        <w:t xml:space="preserve">: </w:t>
      </w:r>
      <w:r w:rsidR="00120B4F" w:rsidRPr="00E1098E">
        <w:rPr>
          <w:rFonts w:ascii="Times New Roman" w:hAnsi="Times New Roman" w:cs="Times New Roman"/>
          <w:sz w:val="24"/>
          <w:szCs w:val="24"/>
        </w:rPr>
        <w:t>Najvažniji čimbenici procesa spajanja i preuzimanja prije pokretanja procesa</w:t>
      </w:r>
      <w:bookmarkEnd w:id="185"/>
    </w:p>
    <w:p w14:paraId="30D92A3E" w14:textId="77777777" w:rsidR="00120B4F" w:rsidRPr="00BE5472" w:rsidRDefault="00120B4F" w:rsidP="00120B4F">
      <w:pPr>
        <w:jc w:val="both"/>
        <w:rPr>
          <w:rFonts w:ascii="Times New Roman" w:hAnsi="Times New Roman" w:cs="Times New Roman"/>
          <w:b/>
          <w:sz w:val="24"/>
          <w:szCs w:val="24"/>
          <w:lang w:val="en-US"/>
        </w:rPr>
      </w:pPr>
      <w:r w:rsidRPr="00BE5472">
        <w:rPr>
          <w:rFonts w:ascii="Times New Roman" w:hAnsi="Times New Roman" w:cs="Times New Roman"/>
          <w:noProof/>
          <w:lang w:eastAsia="hr-HR"/>
        </w:rPr>
        <w:drawing>
          <wp:inline distT="0" distB="0" distL="0" distR="0" wp14:anchorId="0C14BD08" wp14:editId="12A49F0C">
            <wp:extent cx="6207808" cy="1817317"/>
            <wp:effectExtent l="0" t="0" r="2540" b="0"/>
            <wp:docPr id="2516678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238558" cy="1826319"/>
                    </a:xfrm>
                    <a:prstGeom prst="rect">
                      <a:avLst/>
                    </a:prstGeom>
                  </pic:spPr>
                </pic:pic>
              </a:graphicData>
            </a:graphic>
          </wp:inline>
        </w:drawing>
      </w:r>
    </w:p>
    <w:p w14:paraId="066524B4" w14:textId="316FEB48" w:rsidR="0022220D" w:rsidRPr="00BE5472" w:rsidRDefault="0022220D" w:rsidP="00120B4F">
      <w:pPr>
        <w:jc w:val="both"/>
        <w:rPr>
          <w:rFonts w:ascii="Times New Roman" w:hAnsi="Times New Roman" w:cs="Times New Roman"/>
          <w:sz w:val="24"/>
          <w:szCs w:val="24"/>
        </w:rPr>
      </w:pPr>
      <w:r w:rsidRPr="00BE5472">
        <w:rPr>
          <w:rFonts w:ascii="Times New Roman" w:hAnsi="Times New Roman" w:cs="Times New Roman"/>
          <w:sz w:val="24"/>
          <w:szCs w:val="24"/>
        </w:rPr>
        <w:t>Izvor: obrada autora</w:t>
      </w:r>
    </w:p>
    <w:p w14:paraId="6EAFBB25" w14:textId="77777777" w:rsidR="00C86689" w:rsidRDefault="00C86689" w:rsidP="00120B4F">
      <w:pPr>
        <w:jc w:val="both"/>
        <w:rPr>
          <w:rFonts w:ascii="Times New Roman" w:hAnsi="Times New Roman" w:cs="Times New Roman"/>
          <w:sz w:val="24"/>
          <w:szCs w:val="24"/>
        </w:rPr>
      </w:pPr>
    </w:p>
    <w:p w14:paraId="16366850" w14:textId="13B2A32F" w:rsidR="00120B4F" w:rsidRPr="00E1098E" w:rsidRDefault="00E1098E" w:rsidP="00E1098E">
      <w:pPr>
        <w:pStyle w:val="Caption"/>
        <w:rPr>
          <w:rFonts w:ascii="Times New Roman" w:hAnsi="Times New Roman" w:cs="Times New Roman"/>
          <w:sz w:val="24"/>
          <w:szCs w:val="24"/>
        </w:rPr>
      </w:pPr>
      <w:bookmarkStart w:id="186" w:name="_Toc241865291"/>
      <w:r w:rsidRPr="00E1098E">
        <w:rPr>
          <w:rFonts w:ascii="Times New Roman" w:hAnsi="Times New Roman" w:cs="Times New Roman"/>
          <w:sz w:val="24"/>
          <w:szCs w:val="24"/>
        </w:rPr>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23</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xml:space="preserve">: </w:t>
      </w:r>
      <w:bookmarkStart w:id="187" w:name="_Hlk192439586"/>
      <w:r w:rsidR="00120B4F" w:rsidRPr="00E1098E">
        <w:rPr>
          <w:rFonts w:ascii="Times New Roman" w:hAnsi="Times New Roman" w:cs="Times New Roman"/>
          <w:sz w:val="24"/>
          <w:szCs w:val="24"/>
        </w:rPr>
        <w:t>Najvažniji čimbenici procesa spajanja i preuzimanja u fazi integracije</w:t>
      </w:r>
      <w:bookmarkEnd w:id="186"/>
      <w:r w:rsidR="00120B4F" w:rsidRPr="00E1098E">
        <w:rPr>
          <w:rFonts w:ascii="Times New Roman" w:hAnsi="Times New Roman" w:cs="Times New Roman"/>
          <w:sz w:val="24"/>
          <w:szCs w:val="24"/>
        </w:rPr>
        <w:t xml:space="preserve"> </w:t>
      </w:r>
      <w:bookmarkEnd w:id="187"/>
    </w:p>
    <w:p w14:paraId="404C8C18" w14:textId="77777777" w:rsidR="00120B4F" w:rsidRPr="00BE5472" w:rsidRDefault="00120B4F" w:rsidP="00120B4F">
      <w:pPr>
        <w:jc w:val="both"/>
        <w:rPr>
          <w:rFonts w:ascii="Times New Roman" w:hAnsi="Times New Roman" w:cs="Times New Roman"/>
          <w:b/>
          <w:sz w:val="24"/>
          <w:szCs w:val="24"/>
        </w:rPr>
      </w:pPr>
      <w:r w:rsidRPr="00BE5472">
        <w:rPr>
          <w:rFonts w:ascii="Times New Roman" w:hAnsi="Times New Roman" w:cs="Times New Roman"/>
          <w:noProof/>
          <w:lang w:eastAsia="hr-HR"/>
        </w:rPr>
        <w:drawing>
          <wp:inline distT="0" distB="0" distL="0" distR="0" wp14:anchorId="5076393E" wp14:editId="627EEDF7">
            <wp:extent cx="5181600" cy="2410483"/>
            <wp:effectExtent l="0" t="0" r="0" b="8890"/>
            <wp:docPr id="113087313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189152" cy="2413996"/>
                    </a:xfrm>
                    <a:prstGeom prst="rect">
                      <a:avLst/>
                    </a:prstGeom>
                  </pic:spPr>
                </pic:pic>
              </a:graphicData>
            </a:graphic>
          </wp:inline>
        </w:drawing>
      </w:r>
    </w:p>
    <w:p w14:paraId="53A7560D" w14:textId="77777777" w:rsidR="00120B4F" w:rsidRPr="00BE5472" w:rsidRDefault="00120B4F" w:rsidP="00120B4F">
      <w:pPr>
        <w:jc w:val="both"/>
        <w:rPr>
          <w:rFonts w:ascii="Times New Roman" w:hAnsi="Times New Roman" w:cs="Times New Roman"/>
          <w:sz w:val="24"/>
          <w:szCs w:val="24"/>
        </w:rPr>
      </w:pPr>
      <w:r w:rsidRPr="00BE5472">
        <w:rPr>
          <w:rFonts w:ascii="Times New Roman" w:hAnsi="Times New Roman" w:cs="Times New Roman"/>
          <w:sz w:val="24"/>
          <w:szCs w:val="24"/>
        </w:rPr>
        <w:t>Izvor: obrada autora</w:t>
      </w:r>
    </w:p>
    <w:p w14:paraId="2C1AB036" w14:textId="35B6FE45" w:rsidR="0022220D" w:rsidRDefault="0022220D" w:rsidP="00120B4F">
      <w:pPr>
        <w:jc w:val="both"/>
        <w:rPr>
          <w:rFonts w:ascii="Times New Roman" w:hAnsi="Times New Roman" w:cs="Times New Roman"/>
          <w:sz w:val="24"/>
          <w:szCs w:val="24"/>
        </w:rPr>
      </w:pPr>
    </w:p>
    <w:p w14:paraId="48455C4E" w14:textId="52D29626" w:rsidR="003D46C7" w:rsidRDefault="003D46C7" w:rsidP="00120B4F">
      <w:pPr>
        <w:jc w:val="both"/>
        <w:rPr>
          <w:rFonts w:ascii="Times New Roman" w:hAnsi="Times New Roman" w:cs="Times New Roman"/>
          <w:sz w:val="24"/>
          <w:szCs w:val="24"/>
        </w:rPr>
      </w:pPr>
    </w:p>
    <w:p w14:paraId="73D7121C" w14:textId="3C9A9A9B" w:rsidR="003D46C7" w:rsidRDefault="003D46C7" w:rsidP="00120B4F">
      <w:pPr>
        <w:jc w:val="both"/>
        <w:rPr>
          <w:rFonts w:ascii="Times New Roman" w:hAnsi="Times New Roman" w:cs="Times New Roman"/>
          <w:sz w:val="24"/>
          <w:szCs w:val="24"/>
        </w:rPr>
      </w:pPr>
    </w:p>
    <w:p w14:paraId="122A0BFF" w14:textId="605F7A3B" w:rsidR="003D46C7" w:rsidRDefault="003D46C7" w:rsidP="00120B4F">
      <w:pPr>
        <w:jc w:val="both"/>
        <w:rPr>
          <w:rFonts w:ascii="Times New Roman" w:hAnsi="Times New Roman" w:cs="Times New Roman"/>
          <w:sz w:val="24"/>
          <w:szCs w:val="24"/>
        </w:rPr>
      </w:pPr>
    </w:p>
    <w:p w14:paraId="49E11C60" w14:textId="5DAFEFE5" w:rsidR="003D46C7" w:rsidRDefault="003D46C7" w:rsidP="00120B4F">
      <w:pPr>
        <w:jc w:val="both"/>
        <w:rPr>
          <w:rFonts w:ascii="Times New Roman" w:hAnsi="Times New Roman" w:cs="Times New Roman"/>
          <w:sz w:val="24"/>
          <w:szCs w:val="24"/>
        </w:rPr>
      </w:pPr>
    </w:p>
    <w:p w14:paraId="4192F976" w14:textId="6BEB5563" w:rsidR="003D46C7" w:rsidRDefault="003D46C7" w:rsidP="00120B4F">
      <w:pPr>
        <w:jc w:val="both"/>
        <w:rPr>
          <w:rFonts w:ascii="Times New Roman" w:hAnsi="Times New Roman" w:cs="Times New Roman"/>
          <w:sz w:val="24"/>
          <w:szCs w:val="24"/>
        </w:rPr>
      </w:pPr>
    </w:p>
    <w:p w14:paraId="3E3799B9" w14:textId="5D341BAF" w:rsidR="003D46C7" w:rsidRDefault="003D46C7" w:rsidP="00120B4F">
      <w:pPr>
        <w:jc w:val="both"/>
        <w:rPr>
          <w:rFonts w:ascii="Times New Roman" w:hAnsi="Times New Roman" w:cs="Times New Roman"/>
          <w:sz w:val="24"/>
          <w:szCs w:val="24"/>
        </w:rPr>
      </w:pPr>
    </w:p>
    <w:p w14:paraId="3316E5F0" w14:textId="66E33133" w:rsidR="003D46C7" w:rsidRDefault="003D46C7" w:rsidP="00120B4F">
      <w:pPr>
        <w:jc w:val="both"/>
        <w:rPr>
          <w:rFonts w:ascii="Times New Roman" w:hAnsi="Times New Roman" w:cs="Times New Roman"/>
          <w:sz w:val="24"/>
          <w:szCs w:val="24"/>
        </w:rPr>
      </w:pPr>
    </w:p>
    <w:p w14:paraId="34E35795" w14:textId="1190357D" w:rsidR="003D46C7" w:rsidRDefault="003D46C7" w:rsidP="00120B4F">
      <w:pPr>
        <w:jc w:val="both"/>
        <w:rPr>
          <w:rFonts w:ascii="Times New Roman" w:hAnsi="Times New Roman" w:cs="Times New Roman"/>
          <w:sz w:val="24"/>
          <w:szCs w:val="24"/>
        </w:rPr>
      </w:pPr>
    </w:p>
    <w:p w14:paraId="6460C9A9" w14:textId="77777777" w:rsidR="003D46C7" w:rsidRPr="00BE5472" w:rsidRDefault="003D46C7" w:rsidP="00120B4F">
      <w:pPr>
        <w:jc w:val="both"/>
        <w:rPr>
          <w:rFonts w:ascii="Times New Roman" w:hAnsi="Times New Roman" w:cs="Times New Roman"/>
          <w:sz w:val="24"/>
          <w:szCs w:val="24"/>
        </w:rPr>
      </w:pPr>
    </w:p>
    <w:p w14:paraId="559D08B0" w14:textId="680070FE" w:rsidR="00120B4F" w:rsidRPr="00E1098E" w:rsidRDefault="00E1098E" w:rsidP="00E1098E">
      <w:pPr>
        <w:pStyle w:val="Caption"/>
        <w:rPr>
          <w:rFonts w:ascii="Times New Roman" w:hAnsi="Times New Roman" w:cs="Times New Roman"/>
          <w:sz w:val="24"/>
          <w:szCs w:val="24"/>
        </w:rPr>
      </w:pPr>
      <w:bookmarkStart w:id="188" w:name="_Toc241865292"/>
      <w:r w:rsidRPr="00E1098E">
        <w:rPr>
          <w:rFonts w:ascii="Times New Roman" w:hAnsi="Times New Roman" w:cs="Times New Roman"/>
          <w:sz w:val="24"/>
          <w:szCs w:val="24"/>
        </w:rPr>
        <w:lastRenderedPageBreak/>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24</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Najvažniji čimbenici procesa spajanja i preuzimanja po završetku procesa</w:t>
      </w:r>
      <w:bookmarkEnd w:id="188"/>
    </w:p>
    <w:p w14:paraId="04632B39" w14:textId="77777777" w:rsidR="00120B4F" w:rsidRPr="00BE5472" w:rsidRDefault="00120B4F" w:rsidP="00120B4F">
      <w:pPr>
        <w:jc w:val="both"/>
        <w:rPr>
          <w:rFonts w:ascii="Times New Roman" w:hAnsi="Times New Roman" w:cs="Times New Roman"/>
          <w:sz w:val="24"/>
          <w:szCs w:val="24"/>
        </w:rPr>
      </w:pPr>
      <w:r w:rsidRPr="00BE5472">
        <w:rPr>
          <w:rFonts w:ascii="Times New Roman" w:hAnsi="Times New Roman" w:cs="Times New Roman"/>
          <w:noProof/>
          <w:lang w:eastAsia="hr-HR"/>
        </w:rPr>
        <w:drawing>
          <wp:inline distT="0" distB="0" distL="0" distR="0" wp14:anchorId="3A7C12E5" wp14:editId="62AEBE8B">
            <wp:extent cx="5554639" cy="2506017"/>
            <wp:effectExtent l="0" t="0" r="8255" b="889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574366" cy="2514917"/>
                    </a:xfrm>
                    <a:prstGeom prst="rect">
                      <a:avLst/>
                    </a:prstGeom>
                  </pic:spPr>
                </pic:pic>
              </a:graphicData>
            </a:graphic>
          </wp:inline>
        </w:drawing>
      </w:r>
    </w:p>
    <w:p w14:paraId="6B7DD0AB" w14:textId="77777777" w:rsidR="00120B4F" w:rsidRPr="00BE5472" w:rsidRDefault="00120B4F" w:rsidP="00120B4F">
      <w:pPr>
        <w:jc w:val="both"/>
        <w:rPr>
          <w:rFonts w:ascii="Times New Roman" w:hAnsi="Times New Roman" w:cs="Times New Roman"/>
          <w:sz w:val="24"/>
          <w:szCs w:val="24"/>
        </w:rPr>
      </w:pPr>
      <w:r w:rsidRPr="00BE5472">
        <w:rPr>
          <w:rFonts w:ascii="Times New Roman" w:hAnsi="Times New Roman" w:cs="Times New Roman"/>
          <w:sz w:val="24"/>
          <w:szCs w:val="24"/>
        </w:rPr>
        <w:t xml:space="preserve">Izvor: obrada autora </w:t>
      </w:r>
    </w:p>
    <w:p w14:paraId="54FE7D1A" w14:textId="77777777" w:rsidR="00C02DDA" w:rsidRPr="00BE5472" w:rsidRDefault="00C02DDA" w:rsidP="00120B4F">
      <w:pPr>
        <w:spacing w:line="360" w:lineRule="auto"/>
        <w:jc w:val="both"/>
        <w:rPr>
          <w:rFonts w:ascii="Times New Roman" w:hAnsi="Times New Roman" w:cs="Times New Roman"/>
          <w:sz w:val="24"/>
          <w:szCs w:val="24"/>
        </w:rPr>
      </w:pPr>
    </w:p>
    <w:p w14:paraId="5E76A7A0" w14:textId="70873376"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nastavku je prikazana </w:t>
      </w:r>
      <w:r w:rsidR="00852F1F" w:rsidRPr="00BE5472">
        <w:rPr>
          <w:rFonts w:ascii="Times New Roman" w:hAnsi="Times New Roman" w:cs="Times New Roman"/>
          <w:sz w:val="24"/>
          <w:szCs w:val="24"/>
        </w:rPr>
        <w:t>T</w:t>
      </w:r>
      <w:r w:rsidRPr="00BE5472">
        <w:rPr>
          <w:rFonts w:ascii="Times New Roman" w:hAnsi="Times New Roman" w:cs="Times New Roman"/>
          <w:sz w:val="24"/>
          <w:szCs w:val="24"/>
        </w:rPr>
        <w:t xml:space="preserve">ablica </w:t>
      </w:r>
      <w:r w:rsidR="00302F02" w:rsidRPr="00BE5472">
        <w:rPr>
          <w:rFonts w:ascii="Times New Roman" w:hAnsi="Times New Roman" w:cs="Times New Roman"/>
          <w:sz w:val="24"/>
          <w:szCs w:val="24"/>
        </w:rPr>
        <w:t>3</w:t>
      </w:r>
      <w:r w:rsidR="00E7132C">
        <w:rPr>
          <w:rFonts w:ascii="Times New Roman" w:hAnsi="Times New Roman" w:cs="Times New Roman"/>
          <w:sz w:val="24"/>
          <w:szCs w:val="24"/>
        </w:rPr>
        <w:t>6</w:t>
      </w:r>
      <w:r w:rsidRPr="00BE5472">
        <w:rPr>
          <w:rFonts w:ascii="Times New Roman" w:hAnsi="Times New Roman" w:cs="Times New Roman"/>
          <w:sz w:val="24"/>
          <w:szCs w:val="24"/>
        </w:rPr>
        <w:t xml:space="preserve"> s popisom motiva i čimbenika koji na temelju navedenih kriterija čine temelj za izradu anketnog upitnika i provedbu empirijskog istraživanja među menadžerima hotelskih poduzeća izravno uključenima u procese spajanja i preuzimanja.</w:t>
      </w:r>
    </w:p>
    <w:p w14:paraId="090999CB" w14:textId="77777777" w:rsidR="00120B4F" w:rsidRPr="00BE5472" w:rsidRDefault="00120B4F" w:rsidP="00120B4F">
      <w:pPr>
        <w:jc w:val="both"/>
        <w:rPr>
          <w:rFonts w:ascii="Times New Roman" w:hAnsi="Times New Roman" w:cs="Times New Roman"/>
          <w:sz w:val="24"/>
          <w:szCs w:val="24"/>
        </w:rPr>
      </w:pPr>
    </w:p>
    <w:p w14:paraId="000178BC" w14:textId="77777777" w:rsidR="006650BC" w:rsidRDefault="006650BC" w:rsidP="00120B4F">
      <w:pPr>
        <w:jc w:val="both"/>
        <w:rPr>
          <w:rFonts w:ascii="Times New Roman" w:hAnsi="Times New Roman" w:cs="Times New Roman"/>
          <w:sz w:val="24"/>
          <w:szCs w:val="24"/>
        </w:rPr>
        <w:sectPr w:rsidR="006650BC" w:rsidSect="00120B4F">
          <w:pgSz w:w="11909" w:h="16834" w:code="9"/>
          <w:pgMar w:top="1440" w:right="1440" w:bottom="1440" w:left="1440" w:header="720" w:footer="720" w:gutter="0"/>
          <w:cols w:space="720"/>
          <w:docGrid w:linePitch="360"/>
        </w:sectPr>
      </w:pPr>
    </w:p>
    <w:p w14:paraId="505DAD1A" w14:textId="5A80DF9E" w:rsidR="00120B4F" w:rsidRPr="00E1098E" w:rsidRDefault="00E1098E" w:rsidP="00E1098E">
      <w:pPr>
        <w:pStyle w:val="Caption"/>
        <w:rPr>
          <w:rFonts w:ascii="Times New Roman" w:hAnsi="Times New Roman" w:cs="Times New Roman"/>
          <w:sz w:val="24"/>
          <w:szCs w:val="24"/>
        </w:rPr>
      </w:pPr>
      <w:bookmarkStart w:id="189" w:name="_Toc241865230"/>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36</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Motivi i čimbenici uključeni u anketni upitnik na temelju rezultata drug</w:t>
      </w:r>
      <w:r w:rsidR="007D0E77" w:rsidRPr="00E1098E">
        <w:rPr>
          <w:rFonts w:ascii="Times New Roman" w:hAnsi="Times New Roman" w:cs="Times New Roman"/>
          <w:sz w:val="24"/>
          <w:szCs w:val="24"/>
        </w:rPr>
        <w:t>og ciklusa</w:t>
      </w:r>
      <w:r w:rsidR="00120B4F" w:rsidRPr="00E1098E">
        <w:rPr>
          <w:rFonts w:ascii="Times New Roman" w:hAnsi="Times New Roman" w:cs="Times New Roman"/>
          <w:sz w:val="24"/>
          <w:szCs w:val="24"/>
        </w:rPr>
        <w:t xml:space="preserve"> Delphi postupka</w:t>
      </w:r>
      <w:bookmarkEnd w:id="189"/>
    </w:p>
    <w:tbl>
      <w:tblPr>
        <w:tblStyle w:val="TableGrid"/>
        <w:tblW w:w="0" w:type="auto"/>
        <w:tblLook w:val="04A0" w:firstRow="1" w:lastRow="0" w:firstColumn="1" w:lastColumn="0" w:noHBand="0" w:noVBand="1"/>
      </w:tblPr>
      <w:tblGrid>
        <w:gridCol w:w="688"/>
        <w:gridCol w:w="5252"/>
        <w:gridCol w:w="1835"/>
        <w:gridCol w:w="1244"/>
      </w:tblGrid>
      <w:tr w:rsidR="00120B4F" w:rsidRPr="00BE5472" w14:paraId="2E40D5AA" w14:textId="77777777" w:rsidTr="00302F02">
        <w:trPr>
          <w:trHeight w:val="747"/>
        </w:trPr>
        <w:tc>
          <w:tcPr>
            <w:tcW w:w="704" w:type="dxa"/>
          </w:tcPr>
          <w:p w14:paraId="34C6ACAA" w14:textId="77777777" w:rsidR="00120B4F" w:rsidRPr="00E1098E" w:rsidRDefault="00120B4F" w:rsidP="003C2F5B">
            <w:pPr>
              <w:jc w:val="both"/>
              <w:rPr>
                <w:rFonts w:ascii="Times New Roman" w:hAnsi="Times New Roman" w:cs="Times New Roman"/>
                <w:b/>
                <w:sz w:val="24"/>
                <w:szCs w:val="24"/>
              </w:rPr>
            </w:pPr>
          </w:p>
        </w:tc>
        <w:tc>
          <w:tcPr>
            <w:tcW w:w="5498" w:type="dxa"/>
            <w:vAlign w:val="center"/>
          </w:tcPr>
          <w:p w14:paraId="44DAD704" w14:textId="77777777" w:rsidR="00120B4F" w:rsidRPr="00BE5472" w:rsidRDefault="00120B4F" w:rsidP="00302F02">
            <w:pPr>
              <w:jc w:val="center"/>
              <w:rPr>
                <w:rFonts w:ascii="Times New Roman" w:hAnsi="Times New Roman" w:cs="Times New Roman"/>
                <w:b/>
                <w:sz w:val="24"/>
                <w:szCs w:val="24"/>
                <w:lang w:val="it-IT"/>
              </w:rPr>
            </w:pPr>
            <w:r w:rsidRPr="00BE5472">
              <w:rPr>
                <w:rFonts w:ascii="Times New Roman" w:hAnsi="Times New Roman" w:cs="Times New Roman"/>
                <w:b/>
                <w:sz w:val="24"/>
                <w:szCs w:val="24"/>
                <w:lang w:val="it-IT"/>
              </w:rPr>
              <w:t>Motivi i čimbenici u svim fazama procesa spajanja i preuzimanja</w:t>
            </w:r>
          </w:p>
        </w:tc>
        <w:tc>
          <w:tcPr>
            <w:tcW w:w="1862" w:type="dxa"/>
            <w:vAlign w:val="center"/>
          </w:tcPr>
          <w:p w14:paraId="1A778574" w14:textId="77777777" w:rsidR="00120B4F" w:rsidRPr="00BE5472" w:rsidRDefault="00120B4F" w:rsidP="00302F02">
            <w:pPr>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Linearno ponderirani indeks suglasnosti</w:t>
            </w:r>
          </w:p>
        </w:tc>
        <w:tc>
          <w:tcPr>
            <w:tcW w:w="1286" w:type="dxa"/>
            <w:vAlign w:val="center"/>
          </w:tcPr>
          <w:p w14:paraId="7647742D" w14:textId="77777777" w:rsidR="00120B4F" w:rsidRPr="00BE5472" w:rsidRDefault="00120B4F" w:rsidP="00302F02">
            <w:pPr>
              <w:jc w:val="center"/>
              <w:rPr>
                <w:rFonts w:ascii="Times New Roman" w:hAnsi="Times New Roman" w:cs="Times New Roman"/>
                <w:b/>
                <w:sz w:val="24"/>
                <w:szCs w:val="24"/>
                <w:lang w:val="en-US"/>
              </w:rPr>
            </w:pPr>
            <w:r w:rsidRPr="00BE5472">
              <w:rPr>
                <w:rFonts w:ascii="Times New Roman" w:hAnsi="Times New Roman" w:cs="Times New Roman"/>
                <w:b/>
                <w:sz w:val="24"/>
                <w:szCs w:val="24"/>
                <w:lang w:val="en-US"/>
              </w:rPr>
              <w:t>M</w:t>
            </w:r>
          </w:p>
        </w:tc>
      </w:tr>
      <w:tr w:rsidR="00120B4F" w:rsidRPr="00BE5472" w14:paraId="008F2101" w14:textId="77777777" w:rsidTr="00A97F79">
        <w:trPr>
          <w:trHeight w:val="448"/>
        </w:trPr>
        <w:tc>
          <w:tcPr>
            <w:tcW w:w="704" w:type="dxa"/>
            <w:vAlign w:val="center"/>
          </w:tcPr>
          <w:p w14:paraId="0851A338"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w:t>
            </w:r>
          </w:p>
        </w:tc>
        <w:tc>
          <w:tcPr>
            <w:tcW w:w="5498" w:type="dxa"/>
          </w:tcPr>
          <w:p w14:paraId="3EEF4142"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Povećanje tržišnog udjela poduzeća preuzimatelja</w:t>
            </w:r>
          </w:p>
        </w:tc>
        <w:tc>
          <w:tcPr>
            <w:tcW w:w="1862" w:type="dxa"/>
            <w:vAlign w:val="center"/>
          </w:tcPr>
          <w:p w14:paraId="7BA7575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5DCF9B8C"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27988B4E" w14:textId="77777777" w:rsidTr="00A97F79">
        <w:trPr>
          <w:trHeight w:val="1047"/>
        </w:trPr>
        <w:tc>
          <w:tcPr>
            <w:tcW w:w="704" w:type="dxa"/>
            <w:vAlign w:val="center"/>
          </w:tcPr>
          <w:p w14:paraId="0DF1E05C"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w:t>
            </w:r>
          </w:p>
        </w:tc>
        <w:tc>
          <w:tcPr>
            <w:tcW w:w="5498" w:type="dxa"/>
          </w:tcPr>
          <w:p w14:paraId="1338D75B"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Proširivanje tržišnih segmenata (baze kupaca) poduzeća preuzimatelja širenjem ponude na postojećem ili novom tržištu – destinaciji</w:t>
            </w:r>
          </w:p>
        </w:tc>
        <w:tc>
          <w:tcPr>
            <w:tcW w:w="1862" w:type="dxa"/>
            <w:vAlign w:val="center"/>
          </w:tcPr>
          <w:p w14:paraId="06AA8A4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0.90</w:t>
            </w:r>
          </w:p>
        </w:tc>
        <w:tc>
          <w:tcPr>
            <w:tcW w:w="1286" w:type="dxa"/>
            <w:vAlign w:val="center"/>
          </w:tcPr>
          <w:p w14:paraId="57886BB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58E12382" w14:textId="77777777" w:rsidTr="00A97F79">
        <w:trPr>
          <w:trHeight w:val="1047"/>
        </w:trPr>
        <w:tc>
          <w:tcPr>
            <w:tcW w:w="704" w:type="dxa"/>
            <w:vAlign w:val="center"/>
          </w:tcPr>
          <w:p w14:paraId="22250641"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3</w:t>
            </w:r>
          </w:p>
        </w:tc>
        <w:tc>
          <w:tcPr>
            <w:tcW w:w="5498" w:type="dxa"/>
          </w:tcPr>
          <w:p w14:paraId="016DBA11"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Povećanje kapaciteta pouzeća preuzimatelja (uz manje kapitalne i operativne troškove nego li što bi to bilo u slučaju izgradnje novih vlastitih objekata)</w:t>
            </w:r>
          </w:p>
        </w:tc>
        <w:tc>
          <w:tcPr>
            <w:tcW w:w="1862" w:type="dxa"/>
            <w:vAlign w:val="center"/>
          </w:tcPr>
          <w:p w14:paraId="6987D878"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1B88599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71F75DCA" w14:textId="77777777" w:rsidTr="00A97F79">
        <w:trPr>
          <w:trHeight w:val="1047"/>
        </w:trPr>
        <w:tc>
          <w:tcPr>
            <w:tcW w:w="704" w:type="dxa"/>
            <w:vAlign w:val="center"/>
          </w:tcPr>
          <w:p w14:paraId="501C1A87"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4</w:t>
            </w:r>
          </w:p>
        </w:tc>
        <w:tc>
          <w:tcPr>
            <w:tcW w:w="5498" w:type="dxa"/>
          </w:tcPr>
          <w:p w14:paraId="613280E3"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Dobra procjena potencijalne operativne sinergije poduzeća mete na poduzeće preuzimatelja </w:t>
            </w:r>
            <w:r w:rsidRPr="00BE5472">
              <w:rPr>
                <w:rFonts w:ascii="Times New Roman" w:hAnsi="Times New Roman" w:cs="Times New Roman"/>
                <w:sz w:val="24"/>
                <w:szCs w:val="24"/>
                <w:lang w:val="en-GB"/>
              </w:rPr>
              <w:br/>
              <w:t>(tj. poboljšanu operativnu učinkovitost)</w:t>
            </w:r>
          </w:p>
        </w:tc>
        <w:tc>
          <w:tcPr>
            <w:tcW w:w="1862" w:type="dxa"/>
            <w:vAlign w:val="center"/>
          </w:tcPr>
          <w:p w14:paraId="6987681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0AB23712"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5976C902" w14:textId="77777777" w:rsidTr="00A97F79">
        <w:trPr>
          <w:trHeight w:val="747"/>
        </w:trPr>
        <w:tc>
          <w:tcPr>
            <w:tcW w:w="704" w:type="dxa"/>
            <w:vAlign w:val="center"/>
          </w:tcPr>
          <w:p w14:paraId="39D60DB0" w14:textId="77777777" w:rsidR="00120B4F" w:rsidRPr="00BE5472" w:rsidRDefault="00120B4F" w:rsidP="00A97F79">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5</w:t>
            </w:r>
          </w:p>
        </w:tc>
        <w:tc>
          <w:tcPr>
            <w:tcW w:w="5498" w:type="dxa"/>
          </w:tcPr>
          <w:p w14:paraId="63D7E3CA" w14:textId="77777777" w:rsidR="00120B4F" w:rsidRPr="00BE5472" w:rsidRDefault="00120B4F" w:rsidP="003C2F5B">
            <w:pPr>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Imidž turističke destinacije u kojoj posluje poduzeće meta</w:t>
            </w:r>
          </w:p>
        </w:tc>
        <w:tc>
          <w:tcPr>
            <w:tcW w:w="1862" w:type="dxa"/>
            <w:vAlign w:val="center"/>
          </w:tcPr>
          <w:p w14:paraId="6C4AA7D4"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07155BF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2DB416FE" w14:textId="77777777" w:rsidTr="00A97F79">
        <w:trPr>
          <w:trHeight w:val="448"/>
        </w:trPr>
        <w:tc>
          <w:tcPr>
            <w:tcW w:w="704" w:type="dxa"/>
            <w:vAlign w:val="center"/>
          </w:tcPr>
          <w:p w14:paraId="3D0A323C"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6</w:t>
            </w:r>
          </w:p>
        </w:tc>
        <w:tc>
          <w:tcPr>
            <w:tcW w:w="5498" w:type="dxa"/>
          </w:tcPr>
          <w:p w14:paraId="4B35FFD6" w14:textId="77777777" w:rsidR="00120B4F" w:rsidRPr="00BE5472" w:rsidRDefault="00120B4F" w:rsidP="003C2F5B">
            <w:pPr>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Lokacija poduzeća mete </w:t>
            </w:r>
          </w:p>
        </w:tc>
        <w:tc>
          <w:tcPr>
            <w:tcW w:w="1862" w:type="dxa"/>
            <w:vAlign w:val="center"/>
          </w:tcPr>
          <w:p w14:paraId="71A49EF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53743F7A"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09057597" w14:textId="77777777" w:rsidTr="00A97F79">
        <w:trPr>
          <w:trHeight w:val="448"/>
        </w:trPr>
        <w:tc>
          <w:tcPr>
            <w:tcW w:w="704" w:type="dxa"/>
            <w:vAlign w:val="center"/>
          </w:tcPr>
          <w:p w14:paraId="70E2E8C9"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7</w:t>
            </w:r>
          </w:p>
        </w:tc>
        <w:tc>
          <w:tcPr>
            <w:tcW w:w="5498" w:type="dxa"/>
          </w:tcPr>
          <w:p w14:paraId="4C09510B" w14:textId="77777777" w:rsidR="00120B4F" w:rsidRPr="00BE5472" w:rsidRDefault="00120B4F" w:rsidP="003C2F5B">
            <w:pPr>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Dubinsko snimanje poduzeća mete </w:t>
            </w:r>
          </w:p>
        </w:tc>
        <w:tc>
          <w:tcPr>
            <w:tcW w:w="1862" w:type="dxa"/>
            <w:vAlign w:val="center"/>
          </w:tcPr>
          <w:p w14:paraId="1C76EDB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198B1DD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1883C00A" w14:textId="77777777" w:rsidTr="00A97F79">
        <w:trPr>
          <w:trHeight w:val="747"/>
        </w:trPr>
        <w:tc>
          <w:tcPr>
            <w:tcW w:w="704" w:type="dxa"/>
            <w:vAlign w:val="center"/>
          </w:tcPr>
          <w:p w14:paraId="317CCE37"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8</w:t>
            </w:r>
          </w:p>
        </w:tc>
        <w:tc>
          <w:tcPr>
            <w:tcW w:w="5498" w:type="dxa"/>
          </w:tcPr>
          <w:p w14:paraId="1BFFDBD7"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Potreba kapitalnih izdataka kod poduzeća mete (npr. potencijalni troškovi obnove nekretnina)</w:t>
            </w:r>
          </w:p>
        </w:tc>
        <w:tc>
          <w:tcPr>
            <w:tcW w:w="1862" w:type="dxa"/>
            <w:vAlign w:val="center"/>
          </w:tcPr>
          <w:p w14:paraId="41A18200"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6C050AFF"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3F931604" w14:textId="77777777" w:rsidTr="00A97F79">
        <w:trPr>
          <w:trHeight w:val="747"/>
        </w:trPr>
        <w:tc>
          <w:tcPr>
            <w:tcW w:w="704" w:type="dxa"/>
            <w:vAlign w:val="center"/>
          </w:tcPr>
          <w:p w14:paraId="116B0C96"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9</w:t>
            </w:r>
          </w:p>
        </w:tc>
        <w:tc>
          <w:tcPr>
            <w:tcW w:w="5498" w:type="dxa"/>
          </w:tcPr>
          <w:p w14:paraId="52CE9EDF"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Potencijalni učinak na jačanje marke i reputacije poduzeća preuzimatelja</w:t>
            </w:r>
          </w:p>
        </w:tc>
        <w:tc>
          <w:tcPr>
            <w:tcW w:w="1862" w:type="dxa"/>
            <w:vAlign w:val="center"/>
          </w:tcPr>
          <w:p w14:paraId="5BB1BCAF"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4CA0601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52CF3AFD" w14:textId="77777777" w:rsidTr="00A97F79">
        <w:trPr>
          <w:trHeight w:val="747"/>
        </w:trPr>
        <w:tc>
          <w:tcPr>
            <w:tcW w:w="704" w:type="dxa"/>
            <w:vAlign w:val="center"/>
          </w:tcPr>
          <w:p w14:paraId="08C0721F"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10</w:t>
            </w:r>
          </w:p>
        </w:tc>
        <w:tc>
          <w:tcPr>
            <w:tcW w:w="5498" w:type="dxa"/>
          </w:tcPr>
          <w:p w14:paraId="59E6BA7E"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Strateška povezanost između poduzeća preuzimatelja i poduzeća mete </w:t>
            </w:r>
          </w:p>
        </w:tc>
        <w:tc>
          <w:tcPr>
            <w:tcW w:w="1862" w:type="dxa"/>
            <w:vAlign w:val="center"/>
          </w:tcPr>
          <w:p w14:paraId="038D6C90"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638A7C4B"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4B44F787" w14:textId="77777777" w:rsidTr="00A97F79">
        <w:trPr>
          <w:trHeight w:val="1047"/>
        </w:trPr>
        <w:tc>
          <w:tcPr>
            <w:tcW w:w="704" w:type="dxa"/>
            <w:vAlign w:val="center"/>
          </w:tcPr>
          <w:p w14:paraId="7316CB68"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11</w:t>
            </w:r>
          </w:p>
        </w:tc>
        <w:tc>
          <w:tcPr>
            <w:tcW w:w="5498" w:type="dxa"/>
          </w:tcPr>
          <w:p w14:paraId="4C864A45" w14:textId="3F34BBDD"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Sadašnja vrijednost očekivanih sinergija preuzimanja za poduzeće preuzimatelja bit</w:t>
            </w:r>
            <w:r w:rsidR="00875A28" w:rsidRPr="00BE5472">
              <w:rPr>
                <w:rFonts w:ascii="Times New Roman" w:hAnsi="Times New Roman" w:cs="Times New Roman"/>
                <w:sz w:val="24"/>
                <w:szCs w:val="24"/>
                <w:lang w:val="en-GB"/>
              </w:rPr>
              <w:t xml:space="preserve"> će</w:t>
            </w:r>
            <w:r w:rsidRPr="00BE5472">
              <w:rPr>
                <w:rFonts w:ascii="Times New Roman" w:hAnsi="Times New Roman" w:cs="Times New Roman"/>
                <w:sz w:val="24"/>
                <w:szCs w:val="24"/>
                <w:lang w:val="en-GB"/>
              </w:rPr>
              <w:t xml:space="preserve"> veća od plaćenih premija </w:t>
            </w:r>
          </w:p>
        </w:tc>
        <w:tc>
          <w:tcPr>
            <w:tcW w:w="1862" w:type="dxa"/>
            <w:vAlign w:val="center"/>
          </w:tcPr>
          <w:p w14:paraId="56DC0BB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52BA2C5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59F279D2" w14:textId="77777777" w:rsidTr="00A97F79">
        <w:trPr>
          <w:trHeight w:val="448"/>
        </w:trPr>
        <w:tc>
          <w:tcPr>
            <w:tcW w:w="704" w:type="dxa"/>
            <w:vAlign w:val="center"/>
          </w:tcPr>
          <w:p w14:paraId="2FD8C6AB"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12</w:t>
            </w:r>
          </w:p>
        </w:tc>
        <w:tc>
          <w:tcPr>
            <w:tcW w:w="5498" w:type="dxa"/>
          </w:tcPr>
          <w:p w14:paraId="2A4A52AF" w14:textId="77777777" w:rsidR="00120B4F" w:rsidRPr="00BE5472" w:rsidRDefault="00120B4F" w:rsidP="003C2F5B">
            <w:pPr>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Iznos akvizicijske premije </w:t>
            </w:r>
          </w:p>
        </w:tc>
        <w:tc>
          <w:tcPr>
            <w:tcW w:w="1862" w:type="dxa"/>
            <w:vAlign w:val="center"/>
          </w:tcPr>
          <w:p w14:paraId="0052BEC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016D5214"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120B4F" w:rsidRPr="00BE5472" w14:paraId="6F7857FF" w14:textId="77777777" w:rsidTr="00A97F79">
        <w:trPr>
          <w:trHeight w:val="1047"/>
        </w:trPr>
        <w:tc>
          <w:tcPr>
            <w:tcW w:w="704" w:type="dxa"/>
            <w:vAlign w:val="center"/>
          </w:tcPr>
          <w:p w14:paraId="46384A1D"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13</w:t>
            </w:r>
          </w:p>
        </w:tc>
        <w:tc>
          <w:tcPr>
            <w:tcW w:w="5498" w:type="dxa"/>
          </w:tcPr>
          <w:p w14:paraId="78800B01"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Potencijalna upravljačka sinergija (tj. poboljšani konkurentni položaj poduzeća mete prijenosom upravljačkog znanja poduzeća preuzimatelja)</w:t>
            </w:r>
          </w:p>
        </w:tc>
        <w:tc>
          <w:tcPr>
            <w:tcW w:w="1862" w:type="dxa"/>
            <w:vAlign w:val="center"/>
          </w:tcPr>
          <w:p w14:paraId="633328B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3CADB7F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0473DA53" w14:textId="77777777" w:rsidTr="00A97F79">
        <w:trPr>
          <w:trHeight w:val="747"/>
        </w:trPr>
        <w:tc>
          <w:tcPr>
            <w:tcW w:w="704" w:type="dxa"/>
            <w:vAlign w:val="center"/>
          </w:tcPr>
          <w:p w14:paraId="76D4D1D6"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14</w:t>
            </w:r>
          </w:p>
        </w:tc>
        <w:tc>
          <w:tcPr>
            <w:tcW w:w="5498" w:type="dxa"/>
          </w:tcPr>
          <w:p w14:paraId="5D82F6DA"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Cijena ponude (akvizicije) temelji se na konkurentnom položaju poduzeća mete u hotelskom sektoru</w:t>
            </w:r>
          </w:p>
        </w:tc>
        <w:tc>
          <w:tcPr>
            <w:tcW w:w="1862" w:type="dxa"/>
            <w:vAlign w:val="center"/>
          </w:tcPr>
          <w:p w14:paraId="0444E9A2"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62C3968F"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26D06F45" w14:textId="77777777" w:rsidTr="00A97F79">
        <w:trPr>
          <w:trHeight w:val="1346"/>
        </w:trPr>
        <w:tc>
          <w:tcPr>
            <w:tcW w:w="704" w:type="dxa"/>
            <w:vAlign w:val="center"/>
          </w:tcPr>
          <w:p w14:paraId="6B8B449E"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lastRenderedPageBreak/>
              <w:t>15</w:t>
            </w:r>
          </w:p>
        </w:tc>
        <w:tc>
          <w:tcPr>
            <w:tcW w:w="5498" w:type="dxa"/>
          </w:tcPr>
          <w:p w14:paraId="58D45084"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Definiranje nove strategije razvoja poduzeća nakon akvizicije (novog zajedničkog poduzeća ili pak svakog pojedinog poduzeća koje je sudjelovalo u procesu akvizicije ako ostaju kao samostalne pravne osobe)</w:t>
            </w:r>
          </w:p>
        </w:tc>
        <w:tc>
          <w:tcPr>
            <w:tcW w:w="1862" w:type="dxa"/>
            <w:vAlign w:val="center"/>
          </w:tcPr>
          <w:p w14:paraId="6421C02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7DD67195"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3173F0D0" w14:textId="77777777" w:rsidTr="00A97F79">
        <w:trPr>
          <w:trHeight w:val="1346"/>
        </w:trPr>
        <w:tc>
          <w:tcPr>
            <w:tcW w:w="704" w:type="dxa"/>
            <w:vAlign w:val="center"/>
          </w:tcPr>
          <w:p w14:paraId="25497393"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16</w:t>
            </w:r>
          </w:p>
        </w:tc>
        <w:tc>
          <w:tcPr>
            <w:tcW w:w="5498" w:type="dxa"/>
          </w:tcPr>
          <w:p w14:paraId="0DE38926"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Detektiranje i zadržavanje ključnih zaposlenika i menadžere poduzeća mete ako poduzeća koja su sudjelovala u akvizicijskom procesu ostaju kao samostalne pravne osobe</w:t>
            </w:r>
          </w:p>
        </w:tc>
        <w:tc>
          <w:tcPr>
            <w:tcW w:w="1862" w:type="dxa"/>
            <w:vAlign w:val="center"/>
          </w:tcPr>
          <w:p w14:paraId="6D1139D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48E5C2E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51EDE321" w14:textId="77777777" w:rsidTr="00A97F79">
        <w:trPr>
          <w:trHeight w:val="747"/>
        </w:trPr>
        <w:tc>
          <w:tcPr>
            <w:tcW w:w="704" w:type="dxa"/>
            <w:vAlign w:val="center"/>
          </w:tcPr>
          <w:p w14:paraId="47EA38EC" w14:textId="77777777" w:rsidR="00120B4F" w:rsidRPr="00BE5472" w:rsidRDefault="00120B4F" w:rsidP="00A97F79">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17</w:t>
            </w:r>
          </w:p>
        </w:tc>
        <w:tc>
          <w:tcPr>
            <w:tcW w:w="5498" w:type="dxa"/>
          </w:tcPr>
          <w:p w14:paraId="7F969C02" w14:textId="77777777" w:rsidR="00120B4F" w:rsidRPr="00BE5472" w:rsidRDefault="00120B4F" w:rsidP="003C2F5B">
            <w:pPr>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Osiguranje resursa potrebnih za integraciju nakon procesa akvizicije</w:t>
            </w:r>
          </w:p>
        </w:tc>
        <w:tc>
          <w:tcPr>
            <w:tcW w:w="1862" w:type="dxa"/>
            <w:vAlign w:val="center"/>
          </w:tcPr>
          <w:p w14:paraId="4FEBF69B"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2A607825"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38371A51" w14:textId="77777777" w:rsidTr="00A97F79">
        <w:trPr>
          <w:trHeight w:val="463"/>
        </w:trPr>
        <w:tc>
          <w:tcPr>
            <w:tcW w:w="704" w:type="dxa"/>
            <w:vAlign w:val="center"/>
          </w:tcPr>
          <w:p w14:paraId="2E2F51F7" w14:textId="77777777" w:rsidR="00120B4F" w:rsidRPr="00BE5472" w:rsidRDefault="00120B4F" w:rsidP="00A97F79">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18</w:t>
            </w:r>
          </w:p>
        </w:tc>
        <w:tc>
          <w:tcPr>
            <w:tcW w:w="5498" w:type="dxa"/>
          </w:tcPr>
          <w:p w14:paraId="68683690" w14:textId="77777777" w:rsidR="00120B4F" w:rsidRPr="00BE5472" w:rsidRDefault="00120B4F" w:rsidP="003C2F5B">
            <w:pPr>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Brza integracija radi ostvarivanja zacrtanog plana</w:t>
            </w:r>
          </w:p>
        </w:tc>
        <w:tc>
          <w:tcPr>
            <w:tcW w:w="1862" w:type="dxa"/>
            <w:vAlign w:val="center"/>
          </w:tcPr>
          <w:p w14:paraId="0102173F"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484272B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3E8BE5AE" w14:textId="77777777" w:rsidTr="00A97F79">
        <w:trPr>
          <w:trHeight w:val="747"/>
        </w:trPr>
        <w:tc>
          <w:tcPr>
            <w:tcW w:w="704" w:type="dxa"/>
            <w:vAlign w:val="center"/>
          </w:tcPr>
          <w:p w14:paraId="34F959D6" w14:textId="77777777" w:rsidR="00120B4F" w:rsidRPr="00BE5472" w:rsidRDefault="00120B4F" w:rsidP="00A97F79">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19</w:t>
            </w:r>
          </w:p>
        </w:tc>
        <w:tc>
          <w:tcPr>
            <w:tcW w:w="5498" w:type="dxa"/>
          </w:tcPr>
          <w:p w14:paraId="5CF83A5C" w14:textId="77777777" w:rsidR="00120B4F" w:rsidRPr="00BE5472" w:rsidRDefault="00120B4F" w:rsidP="003C2F5B">
            <w:pPr>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Odlučan i pravedan odnos prema zaposlenicima koje je potrebno otpustiti</w:t>
            </w:r>
          </w:p>
        </w:tc>
        <w:tc>
          <w:tcPr>
            <w:tcW w:w="1862" w:type="dxa"/>
            <w:vAlign w:val="center"/>
          </w:tcPr>
          <w:p w14:paraId="39E3D089"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73C3EDEF"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7BFB5026" w14:textId="77777777" w:rsidTr="00A97F79">
        <w:trPr>
          <w:trHeight w:val="1047"/>
        </w:trPr>
        <w:tc>
          <w:tcPr>
            <w:tcW w:w="704" w:type="dxa"/>
            <w:vAlign w:val="center"/>
          </w:tcPr>
          <w:p w14:paraId="17F727CB"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20</w:t>
            </w:r>
          </w:p>
        </w:tc>
        <w:tc>
          <w:tcPr>
            <w:tcW w:w="5498" w:type="dxa"/>
          </w:tcPr>
          <w:p w14:paraId="7FBE5994"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Uspostaviti odgovarajuće unutarnje mehanizme za prijenos kompetencija i sredstava između poslovnih jedinica </w:t>
            </w:r>
          </w:p>
        </w:tc>
        <w:tc>
          <w:tcPr>
            <w:tcW w:w="1862" w:type="dxa"/>
            <w:vAlign w:val="center"/>
          </w:tcPr>
          <w:p w14:paraId="447F83D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6AF2B449"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0475B7D1" w14:textId="77777777" w:rsidTr="00A97F79">
        <w:trPr>
          <w:trHeight w:val="1346"/>
        </w:trPr>
        <w:tc>
          <w:tcPr>
            <w:tcW w:w="704" w:type="dxa"/>
            <w:vAlign w:val="center"/>
          </w:tcPr>
          <w:p w14:paraId="733EB6EA"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21</w:t>
            </w:r>
          </w:p>
        </w:tc>
        <w:tc>
          <w:tcPr>
            <w:tcW w:w="5498" w:type="dxa"/>
          </w:tcPr>
          <w:p w14:paraId="47FC2B9D"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Identificiranje prilika za poboljšanje konkurentske pozicije novostvorenog zajedničkog poduzeća ili oba poduzeća koja su sudjelovala u procesu spajanja i preuzimanja, ali su ostala kao samostalne pravne osobe</w:t>
            </w:r>
          </w:p>
        </w:tc>
        <w:tc>
          <w:tcPr>
            <w:tcW w:w="1862" w:type="dxa"/>
            <w:vAlign w:val="center"/>
          </w:tcPr>
          <w:p w14:paraId="3022029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23C98165"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28EA5BC1" w14:textId="77777777" w:rsidTr="00A97F79">
        <w:trPr>
          <w:trHeight w:val="747"/>
        </w:trPr>
        <w:tc>
          <w:tcPr>
            <w:tcW w:w="704" w:type="dxa"/>
            <w:vAlign w:val="center"/>
          </w:tcPr>
          <w:p w14:paraId="33198247"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22</w:t>
            </w:r>
          </w:p>
        </w:tc>
        <w:tc>
          <w:tcPr>
            <w:tcW w:w="5498" w:type="dxa"/>
          </w:tcPr>
          <w:p w14:paraId="74A79DDB"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Postavljanje nove upravljačke strukture u poduzeću meti </w:t>
            </w:r>
          </w:p>
        </w:tc>
        <w:tc>
          <w:tcPr>
            <w:tcW w:w="1862" w:type="dxa"/>
            <w:vAlign w:val="center"/>
          </w:tcPr>
          <w:p w14:paraId="5D5FC00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3D560AD5"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7D1CA74F" w14:textId="77777777" w:rsidTr="00A97F79">
        <w:trPr>
          <w:trHeight w:val="1047"/>
        </w:trPr>
        <w:tc>
          <w:tcPr>
            <w:tcW w:w="704" w:type="dxa"/>
            <w:vAlign w:val="center"/>
          </w:tcPr>
          <w:p w14:paraId="41CED4CD"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23</w:t>
            </w:r>
          </w:p>
        </w:tc>
        <w:tc>
          <w:tcPr>
            <w:tcW w:w="5498" w:type="dxa"/>
          </w:tcPr>
          <w:p w14:paraId="36C6A692"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 xml:space="preserve">Novčani tijek iz operacija (prodaja umanjena za troškove prodanih dobara i usluga, administrativne troškove uvećano za depricijaciju i </w:t>
            </w:r>
            <w:r w:rsidRPr="00BE5472">
              <w:rPr>
                <w:rFonts w:ascii="Times New Roman" w:hAnsi="Times New Roman" w:cs="Times New Roman"/>
                <w:i/>
                <w:iCs/>
                <w:sz w:val="24"/>
                <w:szCs w:val="24"/>
                <w:lang w:val="en-GB"/>
              </w:rPr>
              <w:t>goodwill</w:t>
            </w:r>
            <w:r w:rsidRPr="00BE5472">
              <w:rPr>
                <w:rFonts w:ascii="Times New Roman" w:hAnsi="Times New Roman" w:cs="Times New Roman"/>
                <w:sz w:val="24"/>
                <w:szCs w:val="24"/>
                <w:lang w:val="en-GB"/>
              </w:rPr>
              <w:t>)</w:t>
            </w:r>
          </w:p>
        </w:tc>
        <w:tc>
          <w:tcPr>
            <w:tcW w:w="1862" w:type="dxa"/>
            <w:vAlign w:val="center"/>
          </w:tcPr>
          <w:p w14:paraId="7DF110AB"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241963F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1FB6BD16" w14:textId="77777777" w:rsidTr="00A97F79">
        <w:trPr>
          <w:trHeight w:val="747"/>
        </w:trPr>
        <w:tc>
          <w:tcPr>
            <w:tcW w:w="704" w:type="dxa"/>
            <w:vAlign w:val="center"/>
          </w:tcPr>
          <w:p w14:paraId="4F4B84D3" w14:textId="77777777" w:rsidR="00120B4F" w:rsidRPr="00BE5472" w:rsidRDefault="00120B4F" w:rsidP="00A97F79">
            <w:pPr>
              <w:jc w:val="center"/>
              <w:rPr>
                <w:rFonts w:ascii="Times New Roman" w:hAnsi="Times New Roman" w:cs="Times New Roman"/>
                <w:sz w:val="24"/>
                <w:szCs w:val="24"/>
                <w:lang w:val="en-GB"/>
              </w:rPr>
            </w:pPr>
            <w:r w:rsidRPr="00BE5472">
              <w:rPr>
                <w:rFonts w:ascii="Times New Roman" w:hAnsi="Times New Roman" w:cs="Times New Roman"/>
                <w:sz w:val="24"/>
                <w:szCs w:val="24"/>
                <w:lang w:val="en-GB"/>
              </w:rPr>
              <w:t>24</w:t>
            </w:r>
          </w:p>
        </w:tc>
        <w:tc>
          <w:tcPr>
            <w:tcW w:w="5498" w:type="dxa"/>
          </w:tcPr>
          <w:p w14:paraId="1F3367B3" w14:textId="77777777" w:rsidR="00120B4F" w:rsidRPr="00BE5472" w:rsidRDefault="00120B4F" w:rsidP="003C2F5B">
            <w:pPr>
              <w:jc w:val="both"/>
              <w:rPr>
                <w:rFonts w:ascii="Times New Roman" w:hAnsi="Times New Roman" w:cs="Times New Roman"/>
                <w:sz w:val="24"/>
                <w:szCs w:val="24"/>
                <w:lang w:val="en-GB"/>
              </w:rPr>
            </w:pPr>
            <w:r w:rsidRPr="00BE5472">
              <w:rPr>
                <w:rFonts w:ascii="Times New Roman" w:hAnsi="Times New Roman" w:cs="Times New Roman"/>
                <w:sz w:val="24"/>
                <w:szCs w:val="24"/>
                <w:lang w:val="en-GB"/>
              </w:rPr>
              <w:t>Uobičajeni hotelski pokazatelji uspješnosti (ADR, stopa popunjenosti, REVPAR, TREVPAR)</w:t>
            </w:r>
          </w:p>
        </w:tc>
        <w:tc>
          <w:tcPr>
            <w:tcW w:w="1862" w:type="dxa"/>
            <w:vAlign w:val="center"/>
          </w:tcPr>
          <w:p w14:paraId="121DF7BA"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1286" w:type="dxa"/>
            <w:vAlign w:val="center"/>
          </w:tcPr>
          <w:p w14:paraId="22B548CE"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4.50</w:t>
            </w:r>
          </w:p>
        </w:tc>
      </w:tr>
      <w:tr w:rsidR="00120B4F" w:rsidRPr="00BE5472" w14:paraId="5380DC9B" w14:textId="77777777" w:rsidTr="00A97F79">
        <w:trPr>
          <w:trHeight w:val="448"/>
        </w:trPr>
        <w:tc>
          <w:tcPr>
            <w:tcW w:w="704" w:type="dxa"/>
            <w:vAlign w:val="center"/>
          </w:tcPr>
          <w:p w14:paraId="4080BBF3"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25</w:t>
            </w:r>
          </w:p>
        </w:tc>
        <w:tc>
          <w:tcPr>
            <w:tcW w:w="5498" w:type="dxa"/>
          </w:tcPr>
          <w:p w14:paraId="25B733A5" w14:textId="77777777" w:rsidR="00120B4F" w:rsidRPr="00BE5472" w:rsidRDefault="00120B4F" w:rsidP="003C2F5B">
            <w:pPr>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Promjena kretanja cijene dionica</w:t>
            </w:r>
          </w:p>
        </w:tc>
        <w:tc>
          <w:tcPr>
            <w:tcW w:w="1862" w:type="dxa"/>
            <w:vAlign w:val="center"/>
          </w:tcPr>
          <w:p w14:paraId="0044F6AB"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1286" w:type="dxa"/>
            <w:vAlign w:val="center"/>
          </w:tcPr>
          <w:p w14:paraId="70B7BAA9"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4A9DE118" w14:textId="77777777" w:rsidTr="00A97F79">
        <w:trPr>
          <w:trHeight w:val="448"/>
        </w:trPr>
        <w:tc>
          <w:tcPr>
            <w:tcW w:w="704" w:type="dxa"/>
            <w:vAlign w:val="center"/>
          </w:tcPr>
          <w:p w14:paraId="119C0E3D"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26</w:t>
            </w:r>
          </w:p>
        </w:tc>
        <w:tc>
          <w:tcPr>
            <w:tcW w:w="5498" w:type="dxa"/>
          </w:tcPr>
          <w:p w14:paraId="2ADAEB2A" w14:textId="77777777" w:rsidR="00120B4F" w:rsidRPr="00BE5472" w:rsidRDefault="00120B4F" w:rsidP="003C2F5B">
            <w:pPr>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Prihvaćanje nove organizacijske strukture </w:t>
            </w:r>
          </w:p>
        </w:tc>
        <w:tc>
          <w:tcPr>
            <w:tcW w:w="1862" w:type="dxa"/>
            <w:vAlign w:val="center"/>
          </w:tcPr>
          <w:p w14:paraId="2B7C7C28"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1286" w:type="dxa"/>
            <w:vAlign w:val="center"/>
          </w:tcPr>
          <w:p w14:paraId="61B3D276" w14:textId="77777777" w:rsidR="00120B4F" w:rsidRPr="00BE5472" w:rsidRDefault="00120B4F" w:rsidP="00A97F79">
            <w:pPr>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bl>
    <w:p w14:paraId="25D12299" w14:textId="197AE2B5" w:rsidR="00120B4F" w:rsidRPr="00BE5472" w:rsidRDefault="00B06692" w:rsidP="00120B4F">
      <w:pPr>
        <w:jc w:val="both"/>
        <w:rPr>
          <w:rFonts w:ascii="Times New Roman" w:hAnsi="Times New Roman" w:cs="Times New Roman"/>
          <w:sz w:val="24"/>
          <w:szCs w:val="24"/>
        </w:rPr>
      </w:pPr>
      <w:r>
        <w:rPr>
          <w:rFonts w:ascii="Times New Roman" w:hAnsi="Times New Roman" w:cs="Times New Roman"/>
          <w:sz w:val="24"/>
          <w:szCs w:val="24"/>
        </w:rPr>
        <w:t>Izvor: obrada autora</w:t>
      </w:r>
    </w:p>
    <w:p w14:paraId="15076688" w14:textId="77777777" w:rsidR="003F6E8E" w:rsidRDefault="003F6E8E" w:rsidP="00A97F79">
      <w:pPr>
        <w:pStyle w:val="Heading3"/>
        <w:rPr>
          <w:rFonts w:ascii="Times New Roman" w:hAnsi="Times New Roman" w:cs="Times New Roman"/>
        </w:rPr>
        <w:sectPr w:rsidR="003F6E8E" w:rsidSect="00120B4F">
          <w:pgSz w:w="11909" w:h="16834" w:code="9"/>
          <w:pgMar w:top="1440" w:right="1440" w:bottom="1440" w:left="1440" w:header="720" w:footer="720" w:gutter="0"/>
          <w:cols w:space="720"/>
          <w:docGrid w:linePitch="360"/>
        </w:sectPr>
      </w:pPr>
    </w:p>
    <w:p w14:paraId="632908FE" w14:textId="77777777" w:rsidR="00120B4F" w:rsidRPr="00BE5472" w:rsidRDefault="00120B4F" w:rsidP="00127A4E">
      <w:pPr>
        <w:pStyle w:val="Heading3"/>
        <w:spacing w:line="360" w:lineRule="auto"/>
        <w:rPr>
          <w:rFonts w:ascii="Times New Roman" w:hAnsi="Times New Roman" w:cs="Times New Roman"/>
        </w:rPr>
      </w:pPr>
      <w:bookmarkStart w:id="190" w:name="_Toc241865172"/>
      <w:r w:rsidRPr="00BE5472">
        <w:rPr>
          <w:rFonts w:ascii="Times New Roman" w:hAnsi="Times New Roman" w:cs="Times New Roman"/>
        </w:rPr>
        <w:lastRenderedPageBreak/>
        <w:t>5.2.2. Rezultati empirijskog istraživanja čimbenika procesa spajanja i preuzimanja u hrvatskom hotelijerstvu provedenog s menadžerima hotelskih poduzeća</w:t>
      </w:r>
      <w:bookmarkEnd w:id="190"/>
    </w:p>
    <w:p w14:paraId="384AE811" w14:textId="77777777" w:rsidR="00120B4F" w:rsidRPr="00BE5472" w:rsidRDefault="00120B4F" w:rsidP="00120B4F">
      <w:pPr>
        <w:spacing w:line="360" w:lineRule="auto"/>
        <w:jc w:val="both"/>
        <w:rPr>
          <w:rFonts w:ascii="Times New Roman" w:hAnsi="Times New Roman" w:cs="Times New Roman"/>
          <w:sz w:val="24"/>
          <w:szCs w:val="24"/>
        </w:rPr>
      </w:pPr>
    </w:p>
    <w:p w14:paraId="2CB5AE51" w14:textId="3A8542E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Nakon provedene dv</w:t>
      </w:r>
      <w:r w:rsidR="007D0E77" w:rsidRPr="00BE5472">
        <w:rPr>
          <w:rFonts w:ascii="Times New Roman" w:hAnsi="Times New Roman" w:cs="Times New Roman"/>
          <w:sz w:val="24"/>
          <w:szCs w:val="24"/>
        </w:rPr>
        <w:t>a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i konačne selekcije motiva i čimbenika na temelju unaprijed definiranih kriterija važnosti i stupnja suglasnosti, sljedeća faza istraživanja usmjerena je na njihovu empirijsku provjeru u stvarnom poslovnom kontekstu. U tom je cilju provedeno empirijsko istraživanje putem polustrukturiranih intervjua s menadžerima hotelskih poduzeća koji su izravno sudjelovali u konkretnim procesima spajanja i preuzimanja u hrvatskom hotelijerstvu. Za razliku od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koji se temeljio na ekspertnoj procjeni, ova faza istraživanja omogućuje evaluaciju konačno identificiranih motiva i čimbenika iz perspektive praktičnog iskustva, odnosno njihove stvarne relevantnosti i uloge u različitim fazama procesa spajanja i preuzimanja.</w:t>
      </w:r>
    </w:p>
    <w:p w14:paraId="50ED209B"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okviru intervjua ispitanici su evaluirali isključivo motive i čimbenike identificirane kao ključni u prethodnoj fazi istraživanja, pri čemu su procjenjivali njihovu važnost po pojedinim fazama procesa spajanja i preuzimanja, uz mogućnost dodatnog kvalitativnog komentara temeljenog na vlastitom iskustvu.</w:t>
      </w:r>
    </w:p>
    <w:p w14:paraId="3408C994"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empirijskog istraživanja prikazani su fazno, sukladno strukturi prethodnih analiza, počevši od motiva pokretanja procesa, zatim čimbenika uspjeha u fazi prije preuzimanja, tijekom integracije te u postakvizicijskoj fazi.</w:t>
      </w:r>
    </w:p>
    <w:p w14:paraId="502A027D" w14:textId="75C70A5E"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Prilogu </w:t>
      </w:r>
      <w:r w:rsidR="00AD0F7C" w:rsidRPr="00BE5472">
        <w:rPr>
          <w:rFonts w:ascii="Times New Roman" w:hAnsi="Times New Roman" w:cs="Times New Roman"/>
          <w:sz w:val="24"/>
          <w:szCs w:val="24"/>
        </w:rPr>
        <w:t>8</w:t>
      </w:r>
      <w:r w:rsidRPr="00BE5472">
        <w:rPr>
          <w:rFonts w:ascii="Times New Roman" w:hAnsi="Times New Roman" w:cs="Times New Roman"/>
          <w:sz w:val="24"/>
          <w:szCs w:val="24"/>
        </w:rPr>
        <w:t xml:space="preserve"> prikazani su rezultati empirijskog istraživanja za motive pokretanja procesa spajanja i preuzimanja, čimbenike u fazi koja prethodi spajanju i preuzimanju, one u integracijskoj fazi i one u fazi nakon završetka integracije, a sve prema procjeni ispitanika koji su sudjelovali u konkretnim akvizicijskim procesima.</w:t>
      </w:r>
    </w:p>
    <w:p w14:paraId="76AE5970" w14:textId="601EC8DC"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Analizom </w:t>
      </w:r>
      <w:r w:rsidR="00EB3DF0">
        <w:rPr>
          <w:rFonts w:ascii="Times New Roman" w:hAnsi="Times New Roman" w:cs="Times New Roman"/>
          <w:sz w:val="24"/>
          <w:szCs w:val="24"/>
        </w:rPr>
        <w:t xml:space="preserve">su </w:t>
      </w:r>
      <w:r w:rsidRPr="00BE5472">
        <w:rPr>
          <w:rFonts w:ascii="Times New Roman" w:hAnsi="Times New Roman" w:cs="Times New Roman"/>
          <w:sz w:val="24"/>
          <w:szCs w:val="24"/>
        </w:rPr>
        <w:t>identificirani najvažniji motivi pokretanja procesa spajanja i preuzimanja u hrvatskom hotelijerstvu, sukladno mišljenju ispitanika koji su izravno sudjelovali u provedbi navedenih procesa. Identifikacija i rangiranje motiva provedeni su na temelju prosječne ocjene te stupnja suglasnosti ispitanika, mjerenog standardnom devijacijom, pri čemu su u obzir uzeta oba kriterija.</w:t>
      </w:r>
      <w:r w:rsidR="00127A4E">
        <w:rPr>
          <w:rFonts w:ascii="Times New Roman" w:hAnsi="Times New Roman" w:cs="Times New Roman"/>
          <w:sz w:val="24"/>
          <w:szCs w:val="24"/>
        </w:rPr>
        <w:t xml:space="preserve"> Navedeno se prikazuje u Tablici 37.</w:t>
      </w:r>
    </w:p>
    <w:p w14:paraId="180C82D4" w14:textId="1C56DCF2" w:rsidR="003D46C7" w:rsidRDefault="003D46C7" w:rsidP="00120B4F">
      <w:pPr>
        <w:spacing w:line="360" w:lineRule="auto"/>
        <w:jc w:val="both"/>
        <w:rPr>
          <w:rFonts w:ascii="Times New Roman" w:hAnsi="Times New Roman" w:cs="Times New Roman"/>
          <w:sz w:val="24"/>
          <w:szCs w:val="24"/>
        </w:rPr>
      </w:pPr>
    </w:p>
    <w:p w14:paraId="4B66F78C" w14:textId="77777777" w:rsidR="003D46C7" w:rsidRDefault="003D46C7" w:rsidP="00120B4F">
      <w:pPr>
        <w:spacing w:line="360" w:lineRule="auto"/>
        <w:jc w:val="both"/>
        <w:rPr>
          <w:rFonts w:ascii="Times New Roman" w:hAnsi="Times New Roman" w:cs="Times New Roman"/>
          <w:sz w:val="24"/>
          <w:szCs w:val="24"/>
        </w:rPr>
      </w:pPr>
    </w:p>
    <w:p w14:paraId="26FC154D" w14:textId="47E43DC3" w:rsidR="00EB3DF0" w:rsidRPr="00E1098E" w:rsidRDefault="00E1098E" w:rsidP="00E1098E">
      <w:pPr>
        <w:pStyle w:val="Caption"/>
        <w:rPr>
          <w:rFonts w:ascii="Times New Roman" w:hAnsi="Times New Roman" w:cs="Times New Roman"/>
          <w:sz w:val="24"/>
          <w:szCs w:val="24"/>
        </w:rPr>
      </w:pPr>
      <w:bookmarkStart w:id="191" w:name="_Toc241865231"/>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37</w:t>
      </w:r>
      <w:r w:rsidRPr="00E1098E">
        <w:rPr>
          <w:rFonts w:ascii="Times New Roman" w:hAnsi="Times New Roman" w:cs="Times New Roman"/>
          <w:sz w:val="24"/>
          <w:szCs w:val="24"/>
        </w:rPr>
        <w:fldChar w:fldCharType="end"/>
      </w:r>
      <w:r w:rsidR="00EB3DF0" w:rsidRPr="00E1098E">
        <w:rPr>
          <w:rFonts w:ascii="Times New Roman" w:hAnsi="Times New Roman" w:cs="Times New Roman"/>
          <w:sz w:val="24"/>
          <w:szCs w:val="24"/>
        </w:rPr>
        <w:t>: Hijerarhija motiva spajanja i preuzimanja prema procjenama ispitanika iz hotelskih poduzeća</w:t>
      </w:r>
      <w:bookmarkEnd w:id="191"/>
    </w:p>
    <w:tbl>
      <w:tblPr>
        <w:tblStyle w:val="Reetkatablice1"/>
        <w:tblW w:w="0" w:type="auto"/>
        <w:tblLook w:val="04A0" w:firstRow="1" w:lastRow="0" w:firstColumn="1" w:lastColumn="0" w:noHBand="0" w:noVBand="1"/>
      </w:tblPr>
      <w:tblGrid>
        <w:gridCol w:w="763"/>
        <w:gridCol w:w="4553"/>
        <w:gridCol w:w="636"/>
        <w:gridCol w:w="3067"/>
      </w:tblGrid>
      <w:tr w:rsidR="00EB3DF0" w:rsidRPr="00EB3DF0" w14:paraId="226B3EFC" w14:textId="77777777" w:rsidTr="00EB3DF0">
        <w:tc>
          <w:tcPr>
            <w:tcW w:w="0" w:type="auto"/>
            <w:hideMark/>
          </w:tcPr>
          <w:p w14:paraId="4F43A456"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Rang</w:t>
            </w:r>
          </w:p>
        </w:tc>
        <w:tc>
          <w:tcPr>
            <w:tcW w:w="0" w:type="auto"/>
            <w:hideMark/>
          </w:tcPr>
          <w:p w14:paraId="7104593F"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Motiv</w:t>
            </w:r>
          </w:p>
        </w:tc>
        <w:tc>
          <w:tcPr>
            <w:tcW w:w="0" w:type="auto"/>
            <w:hideMark/>
          </w:tcPr>
          <w:p w14:paraId="4EE0B634"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M</w:t>
            </w:r>
          </w:p>
        </w:tc>
        <w:tc>
          <w:tcPr>
            <w:tcW w:w="0" w:type="auto"/>
            <w:hideMark/>
          </w:tcPr>
          <w:p w14:paraId="1DBACD86"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Linearno ponderirani indeks suglasnosti</w:t>
            </w:r>
          </w:p>
        </w:tc>
      </w:tr>
      <w:tr w:rsidR="00EB3DF0" w:rsidRPr="00EB3DF0" w14:paraId="3C1DF29F" w14:textId="77777777" w:rsidTr="00EB3DF0">
        <w:tc>
          <w:tcPr>
            <w:tcW w:w="0" w:type="auto"/>
            <w:hideMark/>
          </w:tcPr>
          <w:p w14:paraId="075C10F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1.</w:t>
            </w:r>
          </w:p>
        </w:tc>
        <w:tc>
          <w:tcPr>
            <w:tcW w:w="0" w:type="auto"/>
            <w:hideMark/>
          </w:tcPr>
          <w:p w14:paraId="72033E73"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Povećanje kapaciteta poduzeća preuzimatelja</w:t>
            </w:r>
          </w:p>
        </w:tc>
        <w:tc>
          <w:tcPr>
            <w:tcW w:w="0" w:type="auto"/>
            <w:hideMark/>
          </w:tcPr>
          <w:p w14:paraId="017FAB81"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4,33</w:t>
            </w:r>
          </w:p>
        </w:tc>
        <w:tc>
          <w:tcPr>
            <w:tcW w:w="0" w:type="auto"/>
            <w:hideMark/>
          </w:tcPr>
          <w:p w14:paraId="19E332BB"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0,83</w:t>
            </w:r>
          </w:p>
        </w:tc>
      </w:tr>
      <w:tr w:rsidR="00EB3DF0" w:rsidRPr="00EB3DF0" w14:paraId="5694F29C" w14:textId="77777777" w:rsidTr="00EB3DF0">
        <w:tc>
          <w:tcPr>
            <w:tcW w:w="0" w:type="auto"/>
            <w:hideMark/>
          </w:tcPr>
          <w:p w14:paraId="63F1961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4616D34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Povećanje tržišnog udjela poduzeća preuzimatelja</w:t>
            </w:r>
          </w:p>
        </w:tc>
        <w:tc>
          <w:tcPr>
            <w:tcW w:w="0" w:type="auto"/>
            <w:hideMark/>
          </w:tcPr>
          <w:p w14:paraId="74B53BF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4,17</w:t>
            </w:r>
          </w:p>
        </w:tc>
        <w:tc>
          <w:tcPr>
            <w:tcW w:w="0" w:type="auto"/>
            <w:hideMark/>
          </w:tcPr>
          <w:p w14:paraId="67CA4A6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0,80</w:t>
            </w:r>
          </w:p>
        </w:tc>
      </w:tr>
      <w:tr w:rsidR="00EB3DF0" w:rsidRPr="00EB3DF0" w14:paraId="6C17E3D6" w14:textId="77777777" w:rsidTr="00EB3DF0">
        <w:tc>
          <w:tcPr>
            <w:tcW w:w="0" w:type="auto"/>
            <w:hideMark/>
          </w:tcPr>
          <w:p w14:paraId="2B2C366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w:t>
            </w:r>
          </w:p>
        </w:tc>
        <w:tc>
          <w:tcPr>
            <w:tcW w:w="0" w:type="auto"/>
            <w:hideMark/>
          </w:tcPr>
          <w:p w14:paraId="5A30885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Proširivanje tržišnih segmenata (baze kupaca) poduzeća preuzimatelja</w:t>
            </w:r>
          </w:p>
        </w:tc>
        <w:tc>
          <w:tcPr>
            <w:tcW w:w="0" w:type="auto"/>
            <w:hideMark/>
          </w:tcPr>
          <w:p w14:paraId="12EBCA9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3,50</w:t>
            </w:r>
          </w:p>
        </w:tc>
        <w:tc>
          <w:tcPr>
            <w:tcW w:w="0" w:type="auto"/>
            <w:hideMark/>
          </w:tcPr>
          <w:p w14:paraId="7AC82A9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0,83</w:t>
            </w:r>
          </w:p>
        </w:tc>
      </w:tr>
    </w:tbl>
    <w:p w14:paraId="2C96785D" w14:textId="77777777" w:rsidR="00EB3DF0" w:rsidRPr="00EB3DF0" w:rsidRDefault="00EB3DF0" w:rsidP="00EB3DF0">
      <w:pPr>
        <w:spacing w:line="360" w:lineRule="auto"/>
        <w:jc w:val="both"/>
        <w:rPr>
          <w:rFonts w:ascii="Times New Roman" w:hAnsi="Times New Roman" w:cs="Times New Roman"/>
          <w:sz w:val="24"/>
          <w:szCs w:val="24"/>
        </w:rPr>
      </w:pPr>
      <w:r w:rsidRPr="00EB3DF0">
        <w:rPr>
          <w:rFonts w:ascii="Times New Roman" w:hAnsi="Times New Roman" w:cs="Times New Roman"/>
          <w:sz w:val="24"/>
          <w:szCs w:val="24"/>
        </w:rPr>
        <w:t>Izvor: obrada autora</w:t>
      </w:r>
    </w:p>
    <w:p w14:paraId="19AA0A56"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Najvažniji motiv spajanja i preuzimanja uz visoku razinu suglasnosti ispitanika</w:t>
      </w:r>
      <w:r w:rsidRPr="00BE5472">
        <w:rPr>
          <w:rFonts w:ascii="Times New Roman" w:hAnsi="Times New Roman" w:cs="Times New Roman"/>
          <w:sz w:val="24"/>
          <w:szCs w:val="24"/>
        </w:rPr>
        <w:br/>
        <w:t>Kao najvažniji motiv spajanja i preuzimanja izdvaja se povećanje kapaciteta poduzeća preuzimatelja, uz niže kapitalne i operativne troškove u odnosu na izgradnju novih vlastitih objekata (aritmetička sredina = 4,33; standardna devijacija = 0,62). Najviša prosječna ocjena među analiziranim motivima upućuje na vrlo visoku percepciju važnosti ovog motiva. Medijan i mod iznose 4, što potvrđuje stabilnost i dominantnost visoke ocjene. Relativno niska standardna devijacija ukazuje na nisku varijabilnost odgovora i visok stupanj suglasnosti ispitanika, što sugerira da se ovaj motiv percipira kao ključni razlog za pokretanje procesa preuzimanja, uz jasno izražene i ujednačene stavove.</w:t>
      </w:r>
    </w:p>
    <w:p w14:paraId="2B5B4768"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Visoko ocijenjen motiv uz dobru razinu suglasnosti ispitanika</w:t>
      </w:r>
      <w:r w:rsidRPr="00BE5472">
        <w:rPr>
          <w:rFonts w:ascii="Times New Roman" w:hAnsi="Times New Roman" w:cs="Times New Roman"/>
          <w:sz w:val="24"/>
          <w:szCs w:val="24"/>
        </w:rPr>
        <w:br/>
        <w:t>Povećanje tržišnog udjela poduzeća preuzimatelja također je visoko ocijenjen motiv (aritmetička sredina = 4,17; standardna devijacija = 0,69). Visoka prosječna ocjena upućuje na izraženu važnost ovog motiva u percepciji ispitanika, dok medijan i mod u vrijednosti 4 potvrđuju dominantnu i stabilnu ocjenu. Standardna devijacija ukazuje na relativno nisku varijabilnost odgovora, odnosno na dobru razinu suglasnosti među ispitanicima. Rezultati sugeriraju da se povećanje tržišnog udjela percipira kao značajan motiv spajanja i preuzimanja, uz pretežno ujednačene stavove.</w:t>
      </w:r>
    </w:p>
    <w:p w14:paraId="67CF232A"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Motiv umjerene važnosti uz veću raznolikost stavova ispitanika</w:t>
      </w:r>
      <w:r w:rsidRPr="00BE5472">
        <w:rPr>
          <w:rFonts w:ascii="Times New Roman" w:hAnsi="Times New Roman" w:cs="Times New Roman"/>
          <w:sz w:val="24"/>
          <w:szCs w:val="24"/>
        </w:rPr>
        <w:br/>
        <w:t xml:space="preserve">Motiv proširivanja tržišnih segmenata, odnosno baze kupaca poduzeća preuzimatelja širenjem ponude na postojećem ili novom tržištu, ostvaruje nižu prosječnu ocjenu (aritmetička sredina = 3,50; standardna devijacija = 0,65), što upućuje na umjerenu razinu slaganja ispitanika o </w:t>
      </w:r>
      <w:r w:rsidRPr="00BE5472">
        <w:rPr>
          <w:rFonts w:ascii="Times New Roman" w:hAnsi="Times New Roman" w:cs="Times New Roman"/>
          <w:sz w:val="24"/>
          <w:szCs w:val="24"/>
        </w:rPr>
        <w:lastRenderedPageBreak/>
        <w:t>njegovoj važnosti. Medijan i mod iznose 4, što ukazuje da je najčešća i središnja ocjena pozitivna, iako dio ispitanika ovaj motiv procjenjuje nižim ocjenama. Umjerena standardna devijacija upućuje na veću raznolikost stavova u usporedbi s prethodno analiziranim motivima. Može se zaključiti da je ovaj motiv važan za većinu ispitanika, ali uz slabije izražen konsenzus.</w:t>
      </w:r>
    </w:p>
    <w:p w14:paraId="1084FFEA" w14:textId="0FBC149B"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
          <w:sz w:val="24"/>
          <w:szCs w:val="24"/>
        </w:rPr>
        <w:t>Uz navedene kvantitativno evaluirane motive</w:t>
      </w:r>
      <w:r w:rsidRPr="00BE5472">
        <w:rPr>
          <w:rFonts w:ascii="Times New Roman" w:hAnsi="Times New Roman" w:cs="Times New Roman"/>
          <w:sz w:val="24"/>
          <w:szCs w:val="24"/>
        </w:rPr>
        <w:t xml:space="preserve">, dio ispitanika je tijekom usmenih intervjua dodatno istaknuo i druge razloge pokretanja procesa spajanja i preuzimanja koji nisu bili uključeni u tablični dio istraživanja, poput prodaje menadžment usluga i partnerstava s financijskim investitorima (uključujući mirovinske fondove), sinergije znanja i kadrova, strateških poslovnih prilika, potencijala rasta ciljnog poduzeća, kao i akvizicije kapaciteta s izraženim </w:t>
      </w:r>
      <w:r w:rsidRPr="00BE5472">
        <w:rPr>
          <w:rFonts w:ascii="Times New Roman" w:hAnsi="Times New Roman" w:cs="Times New Roman"/>
          <w:i/>
          <w:iCs/>
          <w:sz w:val="24"/>
          <w:szCs w:val="24"/>
        </w:rPr>
        <w:t>up-side</w:t>
      </w:r>
      <w:r w:rsidRPr="00BE5472">
        <w:rPr>
          <w:rFonts w:ascii="Times New Roman" w:hAnsi="Times New Roman" w:cs="Times New Roman"/>
          <w:sz w:val="24"/>
          <w:szCs w:val="24"/>
        </w:rPr>
        <w:t xml:space="preserve"> potencijalom na atraktivnim lokacijama. Također, u pojedinim slučajevima istaknuta je i diverzifikacija portfelja kroz međunarodna preuzimanja, primjerice u alpskim destinacijama, pri čemu se kao dodatna vrijednost navodila mogućnost osiguravanja cjelogodišnjeg zaposlenja radne snage.</w:t>
      </w:r>
    </w:p>
    <w:p w14:paraId="595A7EE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Nakon razmatranja motiva pokretanja procesa spajanja i preuzimanja, u nastavku se analiziraju čimbenici koji su, prema mišljenju ispitanika, ključni za uspješnost procesa u fazi prije preuzimanja poduzeća mete.</w:t>
      </w:r>
      <w:r w:rsidRPr="00BE5472">
        <w:rPr>
          <w:rFonts w:ascii="Times New Roman" w:hAnsi="Times New Roman" w:cs="Times New Roman"/>
        </w:rPr>
        <w:t xml:space="preserve"> </w:t>
      </w:r>
    </w:p>
    <w:p w14:paraId="7FC4893C" w14:textId="0575043F"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Analizom prikazanih podataka identificirani su ključni čimbenici uspjeha procesa spajanja i preuzimanja u fazi prije preuzimanja poduzeća mete, sukladno mišljenju ispitanika. Rangiranje čimbenika provedeno je na temelju aritmetičke sredine kao pokazatelja percipirane važnosti te standardne devijacije kao mjere stupnja suglasnosti među ispitanicima.</w:t>
      </w:r>
    </w:p>
    <w:p w14:paraId="7530930A" w14:textId="7E1EC03F" w:rsidR="00EB3DF0" w:rsidRDefault="00EB3DF0" w:rsidP="00120B4F">
      <w:pPr>
        <w:spacing w:line="360" w:lineRule="auto"/>
        <w:jc w:val="both"/>
        <w:rPr>
          <w:rFonts w:ascii="Times New Roman" w:hAnsi="Times New Roman" w:cs="Times New Roman"/>
          <w:sz w:val="24"/>
          <w:szCs w:val="24"/>
        </w:rPr>
      </w:pPr>
      <w:r w:rsidRPr="00EB3DF0">
        <w:rPr>
          <w:rFonts w:ascii="Times New Roman" w:hAnsi="Times New Roman" w:cs="Times New Roman"/>
          <w:sz w:val="24"/>
          <w:szCs w:val="24"/>
        </w:rPr>
        <w:t xml:space="preserve">Radi preglednijeg prikaza rezultata, u </w:t>
      </w:r>
      <w:r w:rsidR="00127A4E">
        <w:rPr>
          <w:rFonts w:ascii="Times New Roman" w:hAnsi="Times New Roman" w:cs="Times New Roman"/>
          <w:sz w:val="24"/>
          <w:szCs w:val="24"/>
        </w:rPr>
        <w:t>Tablici</w:t>
      </w:r>
      <w:r w:rsidRPr="00EB3DF0">
        <w:rPr>
          <w:rFonts w:ascii="Times New Roman" w:hAnsi="Times New Roman" w:cs="Times New Roman"/>
          <w:sz w:val="24"/>
          <w:szCs w:val="24"/>
        </w:rPr>
        <w:t xml:space="preserve"> </w:t>
      </w:r>
      <w:r w:rsidRPr="0026305B">
        <w:rPr>
          <w:rFonts w:ascii="Times New Roman" w:hAnsi="Times New Roman" w:cs="Times New Roman"/>
          <w:sz w:val="24"/>
          <w:szCs w:val="24"/>
        </w:rPr>
        <w:t>38</w:t>
      </w:r>
      <w:r w:rsidRPr="00EB3DF0">
        <w:rPr>
          <w:rFonts w:ascii="Times New Roman" w:hAnsi="Times New Roman" w:cs="Times New Roman"/>
          <w:sz w:val="24"/>
          <w:szCs w:val="24"/>
        </w:rPr>
        <w:t xml:space="preserve"> prikazana je hijerarhija ključnih čimbenika uspjeha prije faze integracije prema prosječnoj ocjeni njihove važnosti od strane ispitanika iz hotelskih poduzeća.</w:t>
      </w:r>
    </w:p>
    <w:p w14:paraId="547CCE28" w14:textId="6A152629" w:rsidR="00EB3DF0" w:rsidRPr="00E1098E" w:rsidRDefault="00E1098E" w:rsidP="00E1098E">
      <w:pPr>
        <w:pStyle w:val="Caption"/>
        <w:rPr>
          <w:rFonts w:ascii="Times New Roman" w:hAnsi="Times New Roman" w:cs="Times New Roman"/>
          <w:sz w:val="24"/>
          <w:szCs w:val="24"/>
        </w:rPr>
      </w:pPr>
      <w:bookmarkStart w:id="192" w:name="_Toc241865232"/>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38</w:t>
      </w:r>
      <w:r w:rsidRPr="00E1098E">
        <w:rPr>
          <w:rFonts w:ascii="Times New Roman" w:hAnsi="Times New Roman" w:cs="Times New Roman"/>
          <w:sz w:val="24"/>
          <w:szCs w:val="24"/>
        </w:rPr>
        <w:fldChar w:fldCharType="end"/>
      </w:r>
      <w:r w:rsidR="00EB3DF0" w:rsidRPr="00E1098E">
        <w:rPr>
          <w:rFonts w:ascii="Times New Roman" w:hAnsi="Times New Roman" w:cs="Times New Roman"/>
          <w:sz w:val="24"/>
          <w:szCs w:val="24"/>
        </w:rPr>
        <w:t>: Hijerarhija ključnih čimbenika uspjeha prije faze integracije prema procjenama ispitanika iz hotelskih poduzeća</w:t>
      </w:r>
      <w:bookmarkEnd w:id="192"/>
    </w:p>
    <w:tbl>
      <w:tblPr>
        <w:tblStyle w:val="Reetkatablice1"/>
        <w:tblW w:w="0" w:type="auto"/>
        <w:tblLook w:val="04A0" w:firstRow="1" w:lastRow="0" w:firstColumn="1" w:lastColumn="0" w:noHBand="0" w:noVBand="1"/>
      </w:tblPr>
      <w:tblGrid>
        <w:gridCol w:w="763"/>
        <w:gridCol w:w="4566"/>
        <w:gridCol w:w="636"/>
        <w:gridCol w:w="3054"/>
      </w:tblGrid>
      <w:tr w:rsidR="00EB3DF0" w:rsidRPr="00EB3DF0" w14:paraId="4FB73477" w14:textId="77777777" w:rsidTr="00EB3DF0">
        <w:tc>
          <w:tcPr>
            <w:tcW w:w="0" w:type="auto"/>
            <w:hideMark/>
          </w:tcPr>
          <w:p w14:paraId="2516D575"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Rang</w:t>
            </w:r>
          </w:p>
        </w:tc>
        <w:tc>
          <w:tcPr>
            <w:tcW w:w="0" w:type="auto"/>
            <w:hideMark/>
          </w:tcPr>
          <w:p w14:paraId="7807A2F9"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Ključni čimbenik uspjeha</w:t>
            </w:r>
          </w:p>
        </w:tc>
        <w:tc>
          <w:tcPr>
            <w:tcW w:w="0" w:type="auto"/>
            <w:hideMark/>
          </w:tcPr>
          <w:p w14:paraId="58041082"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M</w:t>
            </w:r>
          </w:p>
        </w:tc>
        <w:tc>
          <w:tcPr>
            <w:tcW w:w="0" w:type="auto"/>
            <w:hideMark/>
          </w:tcPr>
          <w:p w14:paraId="2EFA345A"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Linearno ponderirani indeks suglasnosti</w:t>
            </w:r>
          </w:p>
        </w:tc>
      </w:tr>
      <w:tr w:rsidR="00EB3DF0" w:rsidRPr="00EB3DF0" w14:paraId="62BC966A" w14:textId="77777777" w:rsidTr="00EB3DF0">
        <w:tc>
          <w:tcPr>
            <w:tcW w:w="0" w:type="auto"/>
            <w:hideMark/>
          </w:tcPr>
          <w:p w14:paraId="426495EB"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1.</w:t>
            </w:r>
          </w:p>
        </w:tc>
        <w:tc>
          <w:tcPr>
            <w:tcW w:w="0" w:type="auto"/>
            <w:hideMark/>
          </w:tcPr>
          <w:p w14:paraId="27D8264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Lokacija poduzeća mete</w:t>
            </w:r>
          </w:p>
        </w:tc>
        <w:tc>
          <w:tcPr>
            <w:tcW w:w="0" w:type="auto"/>
            <w:hideMark/>
          </w:tcPr>
          <w:p w14:paraId="2A4207D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4,75</w:t>
            </w:r>
          </w:p>
        </w:tc>
        <w:tc>
          <w:tcPr>
            <w:tcW w:w="0" w:type="auto"/>
            <w:hideMark/>
          </w:tcPr>
          <w:p w14:paraId="423412A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0,88</w:t>
            </w:r>
          </w:p>
        </w:tc>
      </w:tr>
      <w:tr w:rsidR="00EB3DF0" w:rsidRPr="00EB3DF0" w14:paraId="32B9986C" w14:textId="77777777" w:rsidTr="00EB3DF0">
        <w:tc>
          <w:tcPr>
            <w:tcW w:w="0" w:type="auto"/>
            <w:hideMark/>
          </w:tcPr>
          <w:p w14:paraId="77E3431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64928AD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Potencijalna upravljačka sinergija (prijenos upravljačkog znanja)</w:t>
            </w:r>
          </w:p>
        </w:tc>
        <w:tc>
          <w:tcPr>
            <w:tcW w:w="0" w:type="auto"/>
            <w:hideMark/>
          </w:tcPr>
          <w:p w14:paraId="64E6770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4,58</w:t>
            </w:r>
          </w:p>
        </w:tc>
        <w:tc>
          <w:tcPr>
            <w:tcW w:w="0" w:type="auto"/>
            <w:hideMark/>
          </w:tcPr>
          <w:p w14:paraId="78716EE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0,87</w:t>
            </w:r>
          </w:p>
        </w:tc>
      </w:tr>
      <w:tr w:rsidR="00EB3DF0" w:rsidRPr="00EB3DF0" w14:paraId="6D6EA20C" w14:textId="77777777" w:rsidTr="00EB3DF0">
        <w:tc>
          <w:tcPr>
            <w:tcW w:w="0" w:type="auto"/>
            <w:hideMark/>
          </w:tcPr>
          <w:p w14:paraId="151939B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lastRenderedPageBreak/>
              <w:t>3.</w:t>
            </w:r>
          </w:p>
        </w:tc>
        <w:tc>
          <w:tcPr>
            <w:tcW w:w="0" w:type="auto"/>
            <w:hideMark/>
          </w:tcPr>
          <w:p w14:paraId="03C89441"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Imidž turističke destinacije u kojoj posluje poduzeće meta</w:t>
            </w:r>
          </w:p>
        </w:tc>
        <w:tc>
          <w:tcPr>
            <w:tcW w:w="0" w:type="auto"/>
            <w:hideMark/>
          </w:tcPr>
          <w:p w14:paraId="40EC228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4,42</w:t>
            </w:r>
          </w:p>
        </w:tc>
        <w:tc>
          <w:tcPr>
            <w:tcW w:w="0" w:type="auto"/>
            <w:hideMark/>
          </w:tcPr>
          <w:p w14:paraId="3DF4A51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0,87</w:t>
            </w:r>
          </w:p>
        </w:tc>
      </w:tr>
      <w:tr w:rsidR="00EB3DF0" w:rsidRPr="00EB3DF0" w14:paraId="15031C5E" w14:textId="77777777" w:rsidTr="00EB3DF0">
        <w:tc>
          <w:tcPr>
            <w:tcW w:w="0" w:type="auto"/>
            <w:hideMark/>
          </w:tcPr>
          <w:p w14:paraId="484B8AC3"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w:t>
            </w:r>
          </w:p>
        </w:tc>
        <w:tc>
          <w:tcPr>
            <w:tcW w:w="0" w:type="auto"/>
            <w:hideMark/>
          </w:tcPr>
          <w:p w14:paraId="151743F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Dubinsko snimanje poduzeća mete</w:t>
            </w:r>
          </w:p>
        </w:tc>
        <w:tc>
          <w:tcPr>
            <w:tcW w:w="0" w:type="auto"/>
            <w:hideMark/>
          </w:tcPr>
          <w:p w14:paraId="38972E8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4,33</w:t>
            </w:r>
          </w:p>
        </w:tc>
        <w:tc>
          <w:tcPr>
            <w:tcW w:w="0" w:type="auto"/>
            <w:hideMark/>
          </w:tcPr>
          <w:p w14:paraId="1ADFC13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0,78</w:t>
            </w:r>
          </w:p>
        </w:tc>
      </w:tr>
      <w:tr w:rsidR="00EB3DF0" w:rsidRPr="00EB3DF0" w14:paraId="129AD49D" w14:textId="77777777" w:rsidTr="00EB3DF0">
        <w:tc>
          <w:tcPr>
            <w:tcW w:w="0" w:type="auto"/>
            <w:hideMark/>
          </w:tcPr>
          <w:p w14:paraId="3363F207"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w:t>
            </w:r>
          </w:p>
        </w:tc>
        <w:tc>
          <w:tcPr>
            <w:tcW w:w="0" w:type="auto"/>
            <w:hideMark/>
          </w:tcPr>
          <w:p w14:paraId="1C48D30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Sadašnja vrijednost očekivanih sinergija veća od plaćenih premija</w:t>
            </w:r>
          </w:p>
        </w:tc>
        <w:tc>
          <w:tcPr>
            <w:tcW w:w="0" w:type="auto"/>
            <w:hideMark/>
          </w:tcPr>
          <w:p w14:paraId="30D3ACC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4,33</w:t>
            </w:r>
          </w:p>
        </w:tc>
        <w:tc>
          <w:tcPr>
            <w:tcW w:w="0" w:type="auto"/>
            <w:hideMark/>
          </w:tcPr>
          <w:p w14:paraId="4396FDF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0,88</w:t>
            </w:r>
          </w:p>
        </w:tc>
      </w:tr>
      <w:tr w:rsidR="00EB3DF0" w:rsidRPr="00EB3DF0" w14:paraId="4C6DECFB" w14:textId="77777777" w:rsidTr="00EB3DF0">
        <w:tc>
          <w:tcPr>
            <w:tcW w:w="0" w:type="auto"/>
            <w:hideMark/>
          </w:tcPr>
          <w:p w14:paraId="58DB4E9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6.</w:t>
            </w:r>
          </w:p>
        </w:tc>
        <w:tc>
          <w:tcPr>
            <w:tcW w:w="0" w:type="auto"/>
            <w:hideMark/>
          </w:tcPr>
          <w:p w14:paraId="7063FD7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Potreba kapitalnih izdataka kod poduzeća mete</w:t>
            </w:r>
          </w:p>
        </w:tc>
        <w:tc>
          <w:tcPr>
            <w:tcW w:w="0" w:type="auto"/>
            <w:hideMark/>
          </w:tcPr>
          <w:p w14:paraId="46FF473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4,25</w:t>
            </w:r>
          </w:p>
        </w:tc>
        <w:tc>
          <w:tcPr>
            <w:tcW w:w="0" w:type="auto"/>
            <w:hideMark/>
          </w:tcPr>
          <w:p w14:paraId="4A5C27C1"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0,76</w:t>
            </w:r>
          </w:p>
        </w:tc>
      </w:tr>
      <w:tr w:rsidR="00EB3DF0" w:rsidRPr="00EB3DF0" w14:paraId="18C35CDB" w14:textId="77777777" w:rsidTr="00EB3DF0">
        <w:tc>
          <w:tcPr>
            <w:tcW w:w="0" w:type="auto"/>
            <w:hideMark/>
          </w:tcPr>
          <w:p w14:paraId="3029392B"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7.</w:t>
            </w:r>
          </w:p>
        </w:tc>
        <w:tc>
          <w:tcPr>
            <w:tcW w:w="0" w:type="auto"/>
            <w:hideMark/>
          </w:tcPr>
          <w:p w14:paraId="3882F43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Iznos akvizicijske premije</w:t>
            </w:r>
          </w:p>
        </w:tc>
        <w:tc>
          <w:tcPr>
            <w:tcW w:w="0" w:type="auto"/>
            <w:hideMark/>
          </w:tcPr>
          <w:p w14:paraId="12E0F59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4,17</w:t>
            </w:r>
          </w:p>
        </w:tc>
        <w:tc>
          <w:tcPr>
            <w:tcW w:w="0" w:type="auto"/>
            <w:hideMark/>
          </w:tcPr>
          <w:p w14:paraId="5B3B9B5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0,77</w:t>
            </w:r>
          </w:p>
        </w:tc>
      </w:tr>
      <w:tr w:rsidR="00EB3DF0" w:rsidRPr="00EB3DF0" w14:paraId="70B14D96" w14:textId="77777777" w:rsidTr="00EB3DF0">
        <w:tc>
          <w:tcPr>
            <w:tcW w:w="0" w:type="auto"/>
            <w:hideMark/>
          </w:tcPr>
          <w:p w14:paraId="19CE07E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8.</w:t>
            </w:r>
          </w:p>
        </w:tc>
        <w:tc>
          <w:tcPr>
            <w:tcW w:w="0" w:type="auto"/>
            <w:hideMark/>
          </w:tcPr>
          <w:p w14:paraId="1011708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Strateška povezanost između poduzeća preuzimatelja i poduzeća mete</w:t>
            </w:r>
          </w:p>
        </w:tc>
        <w:tc>
          <w:tcPr>
            <w:tcW w:w="0" w:type="auto"/>
            <w:hideMark/>
          </w:tcPr>
          <w:p w14:paraId="08159A9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4,00</w:t>
            </w:r>
          </w:p>
        </w:tc>
        <w:tc>
          <w:tcPr>
            <w:tcW w:w="0" w:type="auto"/>
            <w:hideMark/>
          </w:tcPr>
          <w:p w14:paraId="3FD8869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0,85</w:t>
            </w:r>
          </w:p>
        </w:tc>
      </w:tr>
      <w:tr w:rsidR="00EB3DF0" w:rsidRPr="00EB3DF0" w14:paraId="6E184B45" w14:textId="77777777" w:rsidTr="00EB3DF0">
        <w:tc>
          <w:tcPr>
            <w:tcW w:w="0" w:type="auto"/>
            <w:hideMark/>
          </w:tcPr>
          <w:p w14:paraId="5CFA6CCD"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9.</w:t>
            </w:r>
          </w:p>
        </w:tc>
        <w:tc>
          <w:tcPr>
            <w:tcW w:w="0" w:type="auto"/>
            <w:hideMark/>
          </w:tcPr>
          <w:p w14:paraId="0E2CD150"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Dobra procjena potencijalne operativne sinergije poduzeća mete</w:t>
            </w:r>
          </w:p>
        </w:tc>
        <w:tc>
          <w:tcPr>
            <w:tcW w:w="0" w:type="auto"/>
            <w:hideMark/>
          </w:tcPr>
          <w:p w14:paraId="68669F8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3,92</w:t>
            </w:r>
          </w:p>
        </w:tc>
        <w:tc>
          <w:tcPr>
            <w:tcW w:w="0" w:type="auto"/>
            <w:hideMark/>
          </w:tcPr>
          <w:p w14:paraId="4404255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0,82</w:t>
            </w:r>
          </w:p>
        </w:tc>
      </w:tr>
      <w:tr w:rsidR="00EB3DF0" w:rsidRPr="00EB3DF0" w14:paraId="61EC3CDA" w14:textId="77777777" w:rsidTr="00EB3DF0">
        <w:tc>
          <w:tcPr>
            <w:tcW w:w="0" w:type="auto"/>
            <w:hideMark/>
          </w:tcPr>
          <w:p w14:paraId="350C94C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9.</w:t>
            </w:r>
          </w:p>
        </w:tc>
        <w:tc>
          <w:tcPr>
            <w:tcW w:w="0" w:type="auto"/>
            <w:hideMark/>
          </w:tcPr>
          <w:p w14:paraId="3EB4296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Cijena ponude temeljena na konkurentnom položaju poduzeća mete</w:t>
            </w:r>
          </w:p>
        </w:tc>
        <w:tc>
          <w:tcPr>
            <w:tcW w:w="0" w:type="auto"/>
            <w:hideMark/>
          </w:tcPr>
          <w:p w14:paraId="20A5141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3,92</w:t>
            </w:r>
          </w:p>
        </w:tc>
        <w:tc>
          <w:tcPr>
            <w:tcW w:w="0" w:type="auto"/>
            <w:hideMark/>
          </w:tcPr>
          <w:p w14:paraId="780138C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0,69</w:t>
            </w:r>
          </w:p>
        </w:tc>
      </w:tr>
      <w:tr w:rsidR="00EB3DF0" w:rsidRPr="00EB3DF0" w14:paraId="5F6498A8" w14:textId="77777777" w:rsidTr="00EB3DF0">
        <w:tc>
          <w:tcPr>
            <w:tcW w:w="0" w:type="auto"/>
            <w:hideMark/>
          </w:tcPr>
          <w:p w14:paraId="3EE75C2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11.</w:t>
            </w:r>
          </w:p>
        </w:tc>
        <w:tc>
          <w:tcPr>
            <w:tcW w:w="0" w:type="auto"/>
            <w:hideMark/>
          </w:tcPr>
          <w:p w14:paraId="4CC604CD"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Jačanje marke i reputacije poduzeća preuzimatelja</w:t>
            </w:r>
          </w:p>
        </w:tc>
        <w:tc>
          <w:tcPr>
            <w:tcW w:w="0" w:type="auto"/>
            <w:hideMark/>
          </w:tcPr>
          <w:p w14:paraId="63B309C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3,75</w:t>
            </w:r>
          </w:p>
        </w:tc>
        <w:tc>
          <w:tcPr>
            <w:tcW w:w="0" w:type="auto"/>
            <w:hideMark/>
          </w:tcPr>
          <w:p w14:paraId="668A36C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0,76</w:t>
            </w:r>
          </w:p>
        </w:tc>
      </w:tr>
    </w:tbl>
    <w:p w14:paraId="71966103" w14:textId="77777777" w:rsidR="0026305B" w:rsidRDefault="00EB3DF0" w:rsidP="00120B4F">
      <w:pPr>
        <w:spacing w:line="360" w:lineRule="auto"/>
        <w:jc w:val="both"/>
        <w:rPr>
          <w:rFonts w:ascii="Times New Roman" w:hAnsi="Times New Roman" w:cs="Times New Roman"/>
          <w:sz w:val="24"/>
          <w:szCs w:val="24"/>
        </w:rPr>
      </w:pPr>
      <w:r w:rsidRPr="00EB3DF0">
        <w:rPr>
          <w:rFonts w:ascii="Times New Roman" w:hAnsi="Times New Roman" w:cs="Times New Roman"/>
          <w:sz w:val="24"/>
          <w:szCs w:val="24"/>
        </w:rPr>
        <w:t>Izvor: obrada autora</w:t>
      </w:r>
    </w:p>
    <w:p w14:paraId="31D1D103" w14:textId="04920A00"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rPr>
        <w:t>Najvažniji čimbenici uspjeha s izrazito visokim stupnjem suglasnosti ispitanika</w:t>
      </w:r>
      <w:r w:rsidRPr="00BE5472">
        <w:rPr>
          <w:rFonts w:ascii="Times New Roman" w:hAnsi="Times New Roman" w:cs="Times New Roman"/>
          <w:sz w:val="24"/>
          <w:szCs w:val="24"/>
        </w:rPr>
        <w:br/>
        <w:t xml:space="preserve">Lokacija poduzeća mete ostvaruje najvišu prosječnu ocjenu među svim promatranim čimbenicima (aritmetička sredina = 4,75; standardna devijacija = 0,595), što upućuje na iznimno visoku razinu slaganja ispitanika o njezinoj važnosti. </w:t>
      </w:r>
      <w:r w:rsidRPr="00BE5472">
        <w:rPr>
          <w:rFonts w:ascii="Times New Roman" w:hAnsi="Times New Roman" w:cs="Times New Roman"/>
          <w:sz w:val="24"/>
          <w:szCs w:val="24"/>
          <w:lang w:val="it-IT"/>
        </w:rPr>
        <w:t>Mod i medijan iznose 5, čime se potvrđuje da je dominantna ocjena na najvišoj razini. Relativno niska standardna devijacija ukazuje na vrlo visok stupanj homogenosti stavova, čime se lokacija poduzeća mete jasno potvrđuje kao ključni čimbenik uspjeha u fazi prije ulaska u proces spajanja i preuzimanja, osobito u kontekstu hotelskog sektora.</w:t>
      </w:r>
    </w:p>
    <w:p w14:paraId="594C30A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Potencijalna upravljačka sinergija također je izrazito visoko ocijenjena (aritmetička sredina = 4,58; standardna devijacija = 0,493). Jednake vrijednosti moda i medijana (5) upućuju na snažan i stabilan konsenzus ispitanika o važnosti prijenosa upravljačkog znanja i jačanja konkurentnog položaja poduzeća mete. Niska standardna devijacija dodatno potvrđuje visok </w:t>
      </w:r>
      <w:r w:rsidRPr="00BE5472">
        <w:rPr>
          <w:rFonts w:ascii="Times New Roman" w:hAnsi="Times New Roman" w:cs="Times New Roman"/>
          <w:sz w:val="24"/>
          <w:szCs w:val="24"/>
          <w:lang w:val="it-IT"/>
        </w:rPr>
        <w:lastRenderedPageBreak/>
        <w:t>stupanj suglasnosti, čime se upravljačka sinergija svrstava među temeljne preduvjete uspješnog preuzimanja.</w:t>
      </w:r>
    </w:p>
    <w:p w14:paraId="5AF2C12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Visoko ocijenjeni čimbenici s vrlo dobrom razinom suglasnosti ispitanika</w:t>
      </w:r>
      <w:r w:rsidRPr="00BE5472">
        <w:rPr>
          <w:rFonts w:ascii="Times New Roman" w:hAnsi="Times New Roman" w:cs="Times New Roman"/>
          <w:sz w:val="24"/>
          <w:szCs w:val="24"/>
          <w:lang w:val="it-IT"/>
        </w:rPr>
        <w:br/>
        <w:t>Imidž turističke destinacije u kojoj posluje poduzeće meta percipira se kao vrlo važan čimbenik u fazi prije preuzimanja (aritmetička sredina = 4,42; standardna devijacija = 0,493). Podudaranje moda i medijana (4) upućuje na stabilan i konzistentan stav ispitanika, dok niska standardna devijacija ukazuje na visok stupanj suglasnosti. Navedeni rezultati sugeriraju da se imidž destinacije smatra relevantnim pokazateljem atraktivnosti poduzeća mete.</w:t>
      </w:r>
    </w:p>
    <w:p w14:paraId="2DE9744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Sadašnja vrijednost očekivanih sinergija veća od plaćenih premija također ostvaruje visoku prosječnu ocjenu (aritmetička sredina = 4,33; standardna devijacija = 0,471). Identične vrijednosti moda i medijana (4) upućuju na snažan konsenzus ispitanika o potrebi jasne ekonomske opravdanosti preuzimanja. Vrlo niska standardna devijacija dodatno potvrđuje da većina ispitanika dijeli sličan stav o važnosti odnosa između očekivanih sinergija i plaćene akvizicijske premije.</w:t>
      </w:r>
    </w:p>
    <w:p w14:paraId="701F741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Visoko ocijenjeni čimbenici uz veću varijabilnost stavova ispitanika</w:t>
      </w:r>
      <w:r w:rsidRPr="00BE5472">
        <w:rPr>
          <w:rFonts w:ascii="Times New Roman" w:hAnsi="Times New Roman" w:cs="Times New Roman"/>
          <w:sz w:val="24"/>
          <w:szCs w:val="24"/>
          <w:lang w:val="it-IT"/>
        </w:rPr>
        <w:br/>
        <w:t>Dubinsko snimanje poduzeća mete ocijenjeno je vrlo visoko (aritmetička sredina = 4,33; standardna devijacija = 0,850), no viša standardna devijacija ukazuje na izraženije razlike u procjeni njegove važnosti među ispitanicima. Mod (5) i medijan (4,5) upućuju na prevladavanje viših ocjena, dok varijabilnost odgovora može odražavati različita iskustva, organizacijske prakse ili pristupe analizi prije akvizicije.</w:t>
      </w:r>
    </w:p>
    <w:p w14:paraId="01B60A4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Potreba kapitalnih izdataka kod poduzeća mete također ostvaruje visoku prosječnu ocjenu (aritmetička sredina = 4,25; standardna devijacija = 0,829), što ukazuje da ispitanici ovaj čimbenik uglavnom smatraju značajnim. Međutim, umjerena standardna devijacija sugerira postojanje razlika u percepciji budućih ulaganja i financijskog opterećenja, što može biti povezano s različitim procjenama rizika i strategijama ulaganja.</w:t>
      </w:r>
    </w:p>
    <w:p w14:paraId="3FB3F60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Umjereno do visoko važni čimbenici uz umjerenu razinu slaganja ispitanika</w:t>
      </w:r>
      <w:r w:rsidRPr="00BE5472">
        <w:rPr>
          <w:rFonts w:ascii="Times New Roman" w:hAnsi="Times New Roman" w:cs="Times New Roman"/>
          <w:sz w:val="24"/>
          <w:szCs w:val="24"/>
          <w:lang w:val="it-IT"/>
        </w:rPr>
        <w:br/>
        <w:t>Iznos akvizicijske premije percipira se kao važan, ali ne i presudan čimbenik (aritmetička sredina = 4,17; standardna devijacija = 0,799). Razlika između moda (5) i medijana (4), uz umjerenu standardnu devijaciju, upućuje na određenu neujednačenost stavova ispitanika o prihvatljivoj visini premije.</w:t>
      </w:r>
    </w:p>
    <w:p w14:paraId="75F1DD3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Strateška povezanost između poduzeća preuzimatelja i poduzeća mete ostvaruje aritmetičku sredinu od 4,00 uz standardnu devijaciju od 0,577. Identične vrijednosti moda i medijana (4) upućuju na jasno prepoznatu važnost strateškog usklađivanja, dok niska standardna devijacija ukazuje na visok stupanj suglasnosti ispitanika, čime se ovaj čimbenik potvrđuje kao stabilan temelj uspješnog preuzimanja.</w:t>
      </w:r>
    </w:p>
    <w:p w14:paraId="5AC01E5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Najniže, ali i dalje relevantno ocijenjeni čimbenici uspjeha</w:t>
      </w:r>
      <w:r w:rsidRPr="00BE5472">
        <w:rPr>
          <w:rFonts w:ascii="Times New Roman" w:hAnsi="Times New Roman" w:cs="Times New Roman"/>
          <w:sz w:val="24"/>
          <w:szCs w:val="24"/>
          <w:lang w:val="it-IT"/>
        </w:rPr>
        <w:br/>
        <w:t>Dobra procjena potencijalne operativne sinergije ocijenjena je kao važna, ali s nešto nižom prosječnom vrijednošću (aritmetička sredina = 3,92; standardna devijacija = 0,640). Umjerena standardna devijacija upućuje na manje razlike u procjeni njegove važnosti, pri čemu većina ispitanika dijeli sličan stav.</w:t>
      </w:r>
    </w:p>
    <w:p w14:paraId="17597CA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Cijena ponude temeljena na konkurentnom položaju poduzeća mete ostvaruje istu prosječnu ocjenu (aritmetička sredina = 3,92), ali uz najvišu standardnu devijaciju (1,037), što ukazuje na izraženu heterogenost stavova ispitanika. Iako prosječna ocjena potvrđuje relevantnost ovog čimbenika, razlike u percepciji upućuju na različite pristupe procjeni tržišnog položaja i njegovog utjecaja na formiranje cijene akvizicije.</w:t>
      </w:r>
    </w:p>
    <w:p w14:paraId="5F10B6B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Potencijalni učinak na jačanje marke i reputacije poduzeća preuzimatelja ocijenjen je kao umjereno važan do važan čimbenik (aritmetička sredina = 3,75; standardna devijacija = 0,829). Nešto viša standardna devijacija ukazuje na veću raznolikost stavova u usporedbi s financijskim i strateškim čimbenicima, što sugerira da se reputacijski učinci percipiraju kao sekundarni u odnosu na temeljne ekonomske i operativne aspekte.</w:t>
      </w:r>
    </w:p>
    <w:p w14:paraId="1F3F4BDA" w14:textId="03E40813"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sz w:val="24"/>
          <w:szCs w:val="24"/>
          <w:lang w:val="it-IT"/>
        </w:rPr>
        <w:t>Uz čimbenike koji su kvantitativno obuhvaćeni istraživanjem</w:t>
      </w:r>
      <w:r w:rsidRPr="00BE5472">
        <w:rPr>
          <w:rFonts w:ascii="Times New Roman" w:hAnsi="Times New Roman" w:cs="Times New Roman"/>
          <w:sz w:val="24"/>
          <w:szCs w:val="24"/>
          <w:lang w:val="it-IT"/>
        </w:rPr>
        <w:t xml:space="preserve">, dio ispitanika je tijekom usmenih intervjua dodatno istaknuo i niz čimbenika koji su bili relevantni u fazi prije pokretanja procesa spajanja i preuzimanja, a nisu bili uključeni u evaluacijske tablice. Među njima se posebno ističe procjena </w:t>
      </w:r>
      <w:r w:rsidRPr="00BE5472">
        <w:rPr>
          <w:rFonts w:ascii="Times New Roman" w:hAnsi="Times New Roman" w:cs="Times New Roman"/>
          <w:i/>
          <w:iCs/>
          <w:sz w:val="24"/>
          <w:szCs w:val="24"/>
          <w:lang w:val="it-IT"/>
        </w:rPr>
        <w:t>up-side</w:t>
      </w:r>
      <w:r w:rsidRPr="00BE5472">
        <w:rPr>
          <w:rFonts w:ascii="Times New Roman" w:hAnsi="Times New Roman" w:cs="Times New Roman"/>
          <w:sz w:val="24"/>
          <w:szCs w:val="24"/>
          <w:lang w:val="it-IT"/>
        </w:rPr>
        <w:t xml:space="preserve"> potencijala nekretnine, odnosno razlike između trenut</w:t>
      </w:r>
      <w:r w:rsidR="009F3C04" w:rsidRPr="00BE5472">
        <w:rPr>
          <w:rFonts w:ascii="Times New Roman" w:hAnsi="Times New Roman" w:cs="Times New Roman"/>
          <w:sz w:val="24"/>
          <w:szCs w:val="24"/>
          <w:lang w:val="it-IT"/>
        </w:rPr>
        <w:t>ač</w:t>
      </w:r>
      <w:r w:rsidRPr="00BE5472">
        <w:rPr>
          <w:rFonts w:ascii="Times New Roman" w:hAnsi="Times New Roman" w:cs="Times New Roman"/>
          <w:sz w:val="24"/>
          <w:szCs w:val="24"/>
          <w:lang w:val="it-IT"/>
        </w:rPr>
        <w:t>nog operativnog scenarija i maksimalno ostvarive vrijednosti kroz povećanje operativne učinkovitosti i optimizaciju poslovanja. Nadalje, ispitanici su naglasili važnost sinergije znanja, potencijala rasta ciljnog poduzeća u odnosu na traženi EBITDA multiplikator, kao i pravnog okvira koji može olakšati ili ograničiti provedbu transakcije. Pojedini ispitanici ukazali su i na postojanje psihološke komponente vlasništva, koja može utjecati na inicijalni interes za analizu potencijalne akvizicije, ali se ne percipira kao presudan čimbenik ni kao pokretač konačne odluke o preuzimanju, koja se u pravilu temelji na objektivnim financijskim i strateškim pokazateljima.</w:t>
      </w:r>
    </w:p>
    <w:p w14:paraId="5A4D9FD8"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lang w:val="it-IT"/>
        </w:rPr>
        <w:lastRenderedPageBreak/>
        <w:t xml:space="preserve">Iako su čimbenici u fazi prije preuzimanja ključni za donošenje odluke o akviziciji, njihova stvarna vrijednost očituje se kroz način na koji se proces integracije provodi u praksi. </w:t>
      </w:r>
    </w:p>
    <w:p w14:paraId="6EF9FD67" w14:textId="436579E6"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Analizom prikazanih podataka identificirani su ključni čimbenici uspjeha procesa spajanja i preuzimanja u fazi integracije nakon preuzimanja poduzeća mete, sukladno mišljenju ispitanika. Rangiranje čimbenika provedeno je na temelju aritmetičke sredine kao pokazatelja percipirane važnosti te standardne devijacije kao mjere stupnja suglasnosti među ispitanicima.</w:t>
      </w:r>
    </w:p>
    <w:p w14:paraId="270252E9" w14:textId="3F134600" w:rsidR="00EB3DF0" w:rsidRDefault="00EB3DF0" w:rsidP="00120B4F">
      <w:pPr>
        <w:spacing w:line="360" w:lineRule="auto"/>
        <w:jc w:val="both"/>
        <w:rPr>
          <w:rFonts w:ascii="Times New Roman" w:hAnsi="Times New Roman" w:cs="Times New Roman"/>
          <w:sz w:val="24"/>
          <w:szCs w:val="24"/>
        </w:rPr>
      </w:pPr>
      <w:r w:rsidRPr="00EB3DF0">
        <w:rPr>
          <w:rFonts w:ascii="Times New Roman" w:hAnsi="Times New Roman" w:cs="Times New Roman"/>
          <w:sz w:val="24"/>
          <w:szCs w:val="24"/>
        </w:rPr>
        <w:t xml:space="preserve">Radi preglednijeg prikaza rezultata, u </w:t>
      </w:r>
      <w:r w:rsidR="00127A4E">
        <w:rPr>
          <w:rFonts w:ascii="Times New Roman" w:hAnsi="Times New Roman" w:cs="Times New Roman"/>
          <w:sz w:val="24"/>
          <w:szCs w:val="24"/>
        </w:rPr>
        <w:t>Tablici</w:t>
      </w:r>
      <w:r w:rsidRPr="00EB3DF0">
        <w:rPr>
          <w:rFonts w:ascii="Times New Roman" w:hAnsi="Times New Roman" w:cs="Times New Roman"/>
          <w:sz w:val="24"/>
          <w:szCs w:val="24"/>
        </w:rPr>
        <w:t xml:space="preserve"> </w:t>
      </w:r>
      <w:r w:rsidR="00127A4E">
        <w:rPr>
          <w:rFonts w:ascii="Times New Roman" w:hAnsi="Times New Roman" w:cs="Times New Roman"/>
          <w:sz w:val="24"/>
          <w:szCs w:val="24"/>
        </w:rPr>
        <w:t xml:space="preserve">39 </w:t>
      </w:r>
      <w:r w:rsidRPr="00EB3DF0">
        <w:rPr>
          <w:rFonts w:ascii="Times New Roman" w:hAnsi="Times New Roman" w:cs="Times New Roman"/>
          <w:sz w:val="24"/>
          <w:szCs w:val="24"/>
        </w:rPr>
        <w:t>prikazana je hijerarhija ključnih čimbenika uspjeha u fazi integracije prema prosječnoj ocjeni njihove važnosti od strane ispitanika iz hotelskih poduzeća.</w:t>
      </w:r>
    </w:p>
    <w:p w14:paraId="676CC02D" w14:textId="3ED907F5" w:rsidR="00EB3DF0" w:rsidRPr="00E1098E" w:rsidRDefault="00E1098E" w:rsidP="00E1098E">
      <w:pPr>
        <w:pStyle w:val="Caption"/>
        <w:rPr>
          <w:rFonts w:ascii="Times New Roman" w:hAnsi="Times New Roman" w:cs="Times New Roman"/>
          <w:sz w:val="24"/>
          <w:szCs w:val="24"/>
        </w:rPr>
      </w:pPr>
      <w:bookmarkStart w:id="193" w:name="_Toc241865233"/>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39</w:t>
      </w:r>
      <w:r w:rsidRPr="00E1098E">
        <w:rPr>
          <w:rFonts w:ascii="Times New Roman" w:hAnsi="Times New Roman" w:cs="Times New Roman"/>
          <w:sz w:val="24"/>
          <w:szCs w:val="24"/>
        </w:rPr>
        <w:fldChar w:fldCharType="end"/>
      </w:r>
      <w:r w:rsidR="00EB3DF0" w:rsidRPr="00E1098E">
        <w:rPr>
          <w:rFonts w:ascii="Times New Roman" w:hAnsi="Times New Roman" w:cs="Times New Roman"/>
          <w:sz w:val="24"/>
          <w:szCs w:val="24"/>
        </w:rPr>
        <w:t>: Hijerarhija ključnih čimbenika uspjeha u fazi integracije prema procjenama ispitanika iz hotelskih poduzeća</w:t>
      </w:r>
      <w:bookmarkEnd w:id="193"/>
    </w:p>
    <w:tbl>
      <w:tblPr>
        <w:tblStyle w:val="Reetkatablice1"/>
        <w:tblW w:w="0" w:type="auto"/>
        <w:tblLook w:val="04A0" w:firstRow="1" w:lastRow="0" w:firstColumn="1" w:lastColumn="0" w:noHBand="0" w:noVBand="1"/>
      </w:tblPr>
      <w:tblGrid>
        <w:gridCol w:w="763"/>
        <w:gridCol w:w="4421"/>
        <w:gridCol w:w="636"/>
        <w:gridCol w:w="3199"/>
      </w:tblGrid>
      <w:tr w:rsidR="00EB3DF0" w:rsidRPr="00EB3DF0" w14:paraId="38F02CD4" w14:textId="77777777" w:rsidTr="00EB3DF0">
        <w:tc>
          <w:tcPr>
            <w:tcW w:w="0" w:type="auto"/>
            <w:hideMark/>
          </w:tcPr>
          <w:p w14:paraId="51284D1C"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Rang</w:t>
            </w:r>
          </w:p>
        </w:tc>
        <w:tc>
          <w:tcPr>
            <w:tcW w:w="0" w:type="auto"/>
            <w:hideMark/>
          </w:tcPr>
          <w:p w14:paraId="122315B0"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Ključni čimbenik uspjeha</w:t>
            </w:r>
          </w:p>
        </w:tc>
        <w:tc>
          <w:tcPr>
            <w:tcW w:w="0" w:type="auto"/>
            <w:hideMark/>
          </w:tcPr>
          <w:p w14:paraId="6703A8F2"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M</w:t>
            </w:r>
          </w:p>
        </w:tc>
        <w:tc>
          <w:tcPr>
            <w:tcW w:w="0" w:type="auto"/>
            <w:hideMark/>
          </w:tcPr>
          <w:p w14:paraId="12754BF8"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Linearno ponderirani indeks suglasnosti</w:t>
            </w:r>
          </w:p>
        </w:tc>
      </w:tr>
      <w:tr w:rsidR="00EB3DF0" w:rsidRPr="00EB3DF0" w14:paraId="211C0A85" w14:textId="77777777" w:rsidTr="00EB3DF0">
        <w:tc>
          <w:tcPr>
            <w:tcW w:w="0" w:type="auto"/>
            <w:hideMark/>
          </w:tcPr>
          <w:p w14:paraId="70F4A2A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1.</w:t>
            </w:r>
          </w:p>
        </w:tc>
        <w:tc>
          <w:tcPr>
            <w:tcW w:w="0" w:type="auto"/>
            <w:hideMark/>
          </w:tcPr>
          <w:p w14:paraId="741087C7"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Uspostavljanje unutarnjih mehanizama prijenosa kompetencija</w:t>
            </w:r>
          </w:p>
        </w:tc>
        <w:tc>
          <w:tcPr>
            <w:tcW w:w="0" w:type="auto"/>
            <w:hideMark/>
          </w:tcPr>
          <w:p w14:paraId="3935D69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4,83</w:t>
            </w:r>
          </w:p>
        </w:tc>
        <w:tc>
          <w:tcPr>
            <w:tcW w:w="0" w:type="auto"/>
            <w:hideMark/>
          </w:tcPr>
          <w:p w14:paraId="6176AEC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0,92</w:t>
            </w:r>
          </w:p>
        </w:tc>
      </w:tr>
      <w:tr w:rsidR="00EB3DF0" w:rsidRPr="00EB3DF0" w14:paraId="42AB04EC" w14:textId="77777777" w:rsidTr="00EB3DF0">
        <w:tc>
          <w:tcPr>
            <w:tcW w:w="0" w:type="auto"/>
            <w:hideMark/>
          </w:tcPr>
          <w:p w14:paraId="4BCC5E51"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7A4B26A2"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Odlučan i pravedan odnos prema zaposlenicima</w:t>
            </w:r>
          </w:p>
        </w:tc>
        <w:tc>
          <w:tcPr>
            <w:tcW w:w="0" w:type="auto"/>
            <w:hideMark/>
          </w:tcPr>
          <w:p w14:paraId="3016138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4,67</w:t>
            </w:r>
          </w:p>
        </w:tc>
        <w:tc>
          <w:tcPr>
            <w:tcW w:w="0" w:type="auto"/>
            <w:hideMark/>
          </w:tcPr>
          <w:p w14:paraId="59F90E6B"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0,88</w:t>
            </w:r>
          </w:p>
        </w:tc>
      </w:tr>
      <w:tr w:rsidR="00EB3DF0" w:rsidRPr="00EB3DF0" w14:paraId="7F1A773E" w14:textId="77777777" w:rsidTr="00EB3DF0">
        <w:tc>
          <w:tcPr>
            <w:tcW w:w="0" w:type="auto"/>
            <w:hideMark/>
          </w:tcPr>
          <w:p w14:paraId="35E8BAB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3C4F9DF3"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Identificiranje prilika za poboljšanje konkurentske pozicije</w:t>
            </w:r>
          </w:p>
        </w:tc>
        <w:tc>
          <w:tcPr>
            <w:tcW w:w="0" w:type="auto"/>
            <w:hideMark/>
          </w:tcPr>
          <w:p w14:paraId="556B583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4,67</w:t>
            </w:r>
          </w:p>
        </w:tc>
        <w:tc>
          <w:tcPr>
            <w:tcW w:w="0" w:type="auto"/>
            <w:hideMark/>
          </w:tcPr>
          <w:p w14:paraId="1223B66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0,86</w:t>
            </w:r>
          </w:p>
        </w:tc>
      </w:tr>
      <w:tr w:rsidR="00EB3DF0" w:rsidRPr="00EB3DF0" w14:paraId="3A99BB7D" w14:textId="77777777" w:rsidTr="00EB3DF0">
        <w:tc>
          <w:tcPr>
            <w:tcW w:w="0" w:type="auto"/>
            <w:hideMark/>
          </w:tcPr>
          <w:p w14:paraId="355D8B3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60B1D8CD"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Postavljanje nove upravljačke strukture u poduzeću meti</w:t>
            </w:r>
          </w:p>
        </w:tc>
        <w:tc>
          <w:tcPr>
            <w:tcW w:w="0" w:type="auto"/>
            <w:hideMark/>
          </w:tcPr>
          <w:p w14:paraId="21D70FE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4,67</w:t>
            </w:r>
          </w:p>
        </w:tc>
        <w:tc>
          <w:tcPr>
            <w:tcW w:w="0" w:type="auto"/>
            <w:hideMark/>
          </w:tcPr>
          <w:p w14:paraId="528B070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0,88</w:t>
            </w:r>
          </w:p>
        </w:tc>
      </w:tr>
      <w:tr w:rsidR="00EB3DF0" w:rsidRPr="00EB3DF0" w14:paraId="725A5F33" w14:textId="77777777" w:rsidTr="00EB3DF0">
        <w:tc>
          <w:tcPr>
            <w:tcW w:w="0" w:type="auto"/>
            <w:hideMark/>
          </w:tcPr>
          <w:p w14:paraId="36BA6E5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5.</w:t>
            </w:r>
          </w:p>
        </w:tc>
        <w:tc>
          <w:tcPr>
            <w:tcW w:w="0" w:type="auto"/>
            <w:hideMark/>
          </w:tcPr>
          <w:p w14:paraId="292902B0"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Detektiranje i zadržavanje ključnih zaposlenika i menadžera</w:t>
            </w:r>
          </w:p>
        </w:tc>
        <w:tc>
          <w:tcPr>
            <w:tcW w:w="0" w:type="auto"/>
            <w:hideMark/>
          </w:tcPr>
          <w:p w14:paraId="2558DB0D"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4,42</w:t>
            </w:r>
          </w:p>
        </w:tc>
        <w:tc>
          <w:tcPr>
            <w:tcW w:w="0" w:type="auto"/>
            <w:hideMark/>
          </w:tcPr>
          <w:p w14:paraId="5CD855A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0,79</w:t>
            </w:r>
          </w:p>
        </w:tc>
      </w:tr>
      <w:tr w:rsidR="00EB3DF0" w:rsidRPr="00EB3DF0" w14:paraId="645A4D82" w14:textId="77777777" w:rsidTr="00EB3DF0">
        <w:tc>
          <w:tcPr>
            <w:tcW w:w="0" w:type="auto"/>
            <w:hideMark/>
          </w:tcPr>
          <w:p w14:paraId="1003139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6.</w:t>
            </w:r>
          </w:p>
        </w:tc>
        <w:tc>
          <w:tcPr>
            <w:tcW w:w="0" w:type="auto"/>
            <w:hideMark/>
          </w:tcPr>
          <w:p w14:paraId="6112C58B"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Osiguranje resursa potrebnih za integraciju</w:t>
            </w:r>
          </w:p>
        </w:tc>
        <w:tc>
          <w:tcPr>
            <w:tcW w:w="0" w:type="auto"/>
            <w:hideMark/>
          </w:tcPr>
          <w:p w14:paraId="283148D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4,33</w:t>
            </w:r>
          </w:p>
        </w:tc>
        <w:tc>
          <w:tcPr>
            <w:tcW w:w="0" w:type="auto"/>
            <w:hideMark/>
          </w:tcPr>
          <w:p w14:paraId="05C4A77E"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0,83</w:t>
            </w:r>
          </w:p>
        </w:tc>
      </w:tr>
      <w:tr w:rsidR="00EB3DF0" w:rsidRPr="00EB3DF0" w14:paraId="62D98679" w14:textId="77777777" w:rsidTr="00EB3DF0">
        <w:tc>
          <w:tcPr>
            <w:tcW w:w="0" w:type="auto"/>
            <w:hideMark/>
          </w:tcPr>
          <w:p w14:paraId="775C7207"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7.</w:t>
            </w:r>
          </w:p>
        </w:tc>
        <w:tc>
          <w:tcPr>
            <w:tcW w:w="0" w:type="auto"/>
            <w:hideMark/>
          </w:tcPr>
          <w:p w14:paraId="308F75C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Definiranje nove strategije</w:t>
            </w:r>
          </w:p>
        </w:tc>
        <w:tc>
          <w:tcPr>
            <w:tcW w:w="0" w:type="auto"/>
            <w:hideMark/>
          </w:tcPr>
          <w:p w14:paraId="0AA5F0E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4,17</w:t>
            </w:r>
          </w:p>
        </w:tc>
        <w:tc>
          <w:tcPr>
            <w:tcW w:w="0" w:type="auto"/>
            <w:hideMark/>
          </w:tcPr>
          <w:p w14:paraId="1B172B01"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0,80</w:t>
            </w:r>
          </w:p>
        </w:tc>
      </w:tr>
      <w:tr w:rsidR="00EB3DF0" w:rsidRPr="00EB3DF0" w14:paraId="47444905" w14:textId="77777777" w:rsidTr="00EB3DF0">
        <w:tc>
          <w:tcPr>
            <w:tcW w:w="0" w:type="auto"/>
            <w:hideMark/>
          </w:tcPr>
          <w:p w14:paraId="4E08CA3D"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7.</w:t>
            </w:r>
          </w:p>
        </w:tc>
        <w:tc>
          <w:tcPr>
            <w:tcW w:w="0" w:type="auto"/>
            <w:hideMark/>
          </w:tcPr>
          <w:p w14:paraId="424370C9" w14:textId="77777777" w:rsidR="00EB3DF0" w:rsidRPr="00EB3DF0" w:rsidRDefault="00EB3DF0" w:rsidP="00EB3DF0">
            <w:pPr>
              <w:spacing w:after="160"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Brza integracija radi ostvarivanja zacrtanog plana</w:t>
            </w:r>
          </w:p>
        </w:tc>
        <w:tc>
          <w:tcPr>
            <w:tcW w:w="0" w:type="auto"/>
            <w:hideMark/>
          </w:tcPr>
          <w:p w14:paraId="304A94B4"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4,17</w:t>
            </w:r>
          </w:p>
        </w:tc>
        <w:tc>
          <w:tcPr>
            <w:tcW w:w="0" w:type="auto"/>
            <w:hideMark/>
          </w:tcPr>
          <w:p w14:paraId="3837946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0,73</w:t>
            </w:r>
          </w:p>
        </w:tc>
      </w:tr>
    </w:tbl>
    <w:p w14:paraId="3393F6B0" w14:textId="77777777" w:rsidR="00EB3DF0" w:rsidRPr="00EB3DF0" w:rsidRDefault="00EB3DF0" w:rsidP="00EB3DF0">
      <w:pPr>
        <w:spacing w:line="360" w:lineRule="auto"/>
        <w:jc w:val="both"/>
        <w:rPr>
          <w:rFonts w:ascii="Times New Roman" w:hAnsi="Times New Roman" w:cs="Times New Roman"/>
          <w:sz w:val="24"/>
          <w:szCs w:val="24"/>
        </w:rPr>
      </w:pPr>
      <w:r w:rsidRPr="00EB3DF0">
        <w:rPr>
          <w:rFonts w:ascii="Times New Roman" w:hAnsi="Times New Roman" w:cs="Times New Roman"/>
          <w:sz w:val="24"/>
          <w:szCs w:val="24"/>
        </w:rPr>
        <w:t>Izvor: obrada autora</w:t>
      </w:r>
    </w:p>
    <w:p w14:paraId="4E6B8FD5" w14:textId="77777777" w:rsidR="00EB3DF0" w:rsidRPr="00EB3DF0" w:rsidRDefault="00EB3DF0" w:rsidP="00EB3DF0">
      <w:pPr>
        <w:spacing w:line="360" w:lineRule="auto"/>
        <w:jc w:val="both"/>
        <w:rPr>
          <w:rFonts w:ascii="Times New Roman" w:hAnsi="Times New Roman" w:cs="Times New Roman"/>
          <w:sz w:val="24"/>
          <w:szCs w:val="24"/>
        </w:rPr>
        <w:sectPr w:rsidR="00EB3DF0" w:rsidRPr="00EB3DF0" w:rsidSect="00120B4F">
          <w:pgSz w:w="11909" w:h="16834" w:code="9"/>
          <w:pgMar w:top="1440" w:right="1440" w:bottom="1440" w:left="1440" w:header="720" w:footer="720" w:gutter="0"/>
          <w:cols w:space="720"/>
          <w:docGrid w:linePitch="360"/>
        </w:sectPr>
      </w:pPr>
    </w:p>
    <w:p w14:paraId="077B53C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rPr>
        <w:lastRenderedPageBreak/>
        <w:t>Najvažniji čimbenici uspjeha integracije s vrlo visokim stupnjem suglasnosti ispitanika</w:t>
      </w:r>
      <w:r w:rsidRPr="00BE5472">
        <w:rPr>
          <w:rFonts w:ascii="Times New Roman" w:hAnsi="Times New Roman" w:cs="Times New Roman"/>
          <w:sz w:val="24"/>
          <w:szCs w:val="24"/>
        </w:rPr>
        <w:br/>
        <w:t xml:space="preserve">Uspostavljanje odgovarajućih unutarnjih mehanizama za prijenos kompetencija i sredstava između poslovnih jedinica ostvaruje najvišu prosječnu ocjenu među svim promatranim čimbenicima u fazi integracije (aritmetička sredina = 4,83; standardna devijacija = 0,553). Iznimno visoka prosječna ocjena upućuje na vrlo snažan konsenzus ispitanika o važnosti ovog čimbenika. </w:t>
      </w:r>
      <w:r w:rsidRPr="00BE5472">
        <w:rPr>
          <w:rFonts w:ascii="Times New Roman" w:hAnsi="Times New Roman" w:cs="Times New Roman"/>
          <w:sz w:val="24"/>
          <w:szCs w:val="24"/>
          <w:lang w:val="it-IT"/>
        </w:rPr>
        <w:t>Mod i medijan iznose 5, čime se potvrđuje da je dominantna ocjena na najvišoj razini. Relativno niska standardna devijacija ukazuje na visok stupanj homogenosti stavova, čime se ovaj čimbenik jasno potvrđuje kao temelj uspješne postakvizicijske integracije, osobito u kontekstu učinkovitog prijenosa znanja, resursa i kompetencija.</w:t>
      </w:r>
    </w:p>
    <w:p w14:paraId="2148C5F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Izrazito visoko ocijenjeni čimbenici s izraženim konsenzusom ispitanika</w:t>
      </w:r>
      <w:r w:rsidRPr="00BE5472">
        <w:rPr>
          <w:rFonts w:ascii="Times New Roman" w:hAnsi="Times New Roman" w:cs="Times New Roman"/>
          <w:sz w:val="24"/>
          <w:szCs w:val="24"/>
          <w:lang w:val="it-IT"/>
        </w:rPr>
        <w:br/>
        <w:t>Odlučan i pravedan odnos prema zaposlenicima koje je potrebno otpustiti također ostvaruje vrlo visoku prosječnu ocjenu (aritmetička sredina = 4,67; standardna devijacija = 0,471). Maksimalne vrijednosti moda i medijana upućuju na snažan i stabilan konsenzus o važnosti pravednog i transparentnog postupanja prema zaposlenicima tijekom integracije. Niska standardna devijacija dodatno potvrđuje homogenost stavova, čime se socijalna dimenzija integracijskog procesa prepoznaje kao ključan čimbenik stabilnosti i uspješnosti integracije.</w:t>
      </w:r>
    </w:p>
    <w:p w14:paraId="7FE0618F"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Postavljanje nove upravljačke strukture u poduzeću meti također je izrazito visoko ocijenjeno (aritmetička sredina = 4,67; standardna devijacija = 0,471). Identične vrijednosti moda i medijana na najvišoj razini potvrđuju jasan i ujednačen stav ispitanika o važnosti ovog čimbenika. Niska standardna devijacija ukazuje na visok stupanj suglasnosti, što sugerira da se jasna upravljačka struktura percipira kao ključni preduvjet stabilizacije poslovanja i učinkovitog upravljanja nakon preuzimanja.</w:t>
      </w:r>
    </w:p>
    <w:p w14:paraId="5E0BA54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Identificiranje prilika za poboljšanje konkurentske pozicije novostvorenog zajedničkog poduzeća ili uključenih poduzeća također ostvaruje visoku prosječnu ocjenu (aritmetička sredina = 4,67; standardna devijacija = 0,624). Dominantne maksimalne vrijednosti moda i medijana upućuju na snažnu orijentaciju ispitanika prema stvaranju dodatne tržišne vrijednosti kroz integraciju. Umjerena standardna devijacija sugerira da, unatoč općoj suglasnosti o važnosti ovog čimbenika, postoje razlike u procjeni načina i intenziteta ostvarivanja konkurentskih prednosti.</w:t>
      </w:r>
    </w:p>
    <w:p w14:paraId="7FD1930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Vrlo važni čimbenici uz umjerenu varijabilnost stavova ispitanika</w:t>
      </w:r>
      <w:r w:rsidRPr="00BE5472">
        <w:rPr>
          <w:rFonts w:ascii="Times New Roman" w:hAnsi="Times New Roman" w:cs="Times New Roman"/>
          <w:sz w:val="24"/>
          <w:szCs w:val="24"/>
          <w:lang w:val="it-IT"/>
        </w:rPr>
        <w:br/>
        <w:t xml:space="preserve">Detektiranje i zadržavanje ključnih zaposlenika i menadžera poduzeća mete ocijenjeno je kao iznimno važno (aritmetička sredina = 4,42; standardna devijacija = 0,759), osobito u </w:t>
      </w:r>
      <w:r w:rsidRPr="00BE5472">
        <w:rPr>
          <w:rFonts w:ascii="Times New Roman" w:hAnsi="Times New Roman" w:cs="Times New Roman"/>
          <w:sz w:val="24"/>
          <w:szCs w:val="24"/>
          <w:lang w:val="it-IT"/>
        </w:rPr>
        <w:lastRenderedPageBreak/>
        <w:t>situacijama kada poduzeća ostaju samostalne pravne osobe. Visoka prosječna ocjena, uz mod i medijan na najvišoj razini, potvrđuje snažan konsenzus o važnosti očuvanja ključnog ljudskog kapitala. Nešto viša standardna devijacija upućuje na razlike u procjeni operativnih izazova zadržavanja zaposlenika, no ne dovodi u pitanje opću suglasnost o važnosti ovog čimbenika.</w:t>
      </w:r>
    </w:p>
    <w:p w14:paraId="260155E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Osiguranje resursa potrebnih za integraciju nakon procesa akvizicije također je visoko ocijenjeno (aritmetička sredina = 4,33; standardna devijacija = 0,624). Podudaranje moda i medijana (4) upućuje na stabilan i ujednačen stav ispitanika, dok relativno niska standardna devijacija sugerira visok stupanj slaganja o potrebi osiguravanja adekvatnih financijskih, ljudskih i organizacijskih resursa u postakvizicijskoj fazi.</w:t>
      </w:r>
    </w:p>
    <w:p w14:paraId="1C49057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Važni čimbenici integracije s izraženijim razlikama u percepciji ispitanika</w:t>
      </w:r>
      <w:r w:rsidRPr="00BE5472">
        <w:rPr>
          <w:rFonts w:ascii="Times New Roman" w:hAnsi="Times New Roman" w:cs="Times New Roman"/>
          <w:sz w:val="24"/>
          <w:szCs w:val="24"/>
          <w:lang w:val="it-IT"/>
        </w:rPr>
        <w:br/>
        <w:t>Definiranje nove strategije prepoznato je kao važan čimbenik u fazi integracije (aritmetička sredina = 4,17; standardna devijacija = 0,687). Podudaranje moda i medijana upućuje na postojanje dominantnog stava među ispitanicima, dok umjerena standardna devijacija sugerira razlike u percepciji tempa i opsega strateških promjena nakon preuzimanja.</w:t>
      </w:r>
    </w:p>
    <w:p w14:paraId="38626BF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Brza integracija radi ostvarivanja zacrtanog plana također ostvaruje visoku prosječnu ocjenu (aritmetička sredina = 4,17; standardna devijacija = 0,986). Iako visoka prosječna ocjena te mod i medijan na najvišoj razini upućuju na prepoznavanje važnosti brzine integracije, povišena standardna devijacija ukazuje na izraženiju heterogenost stavova. To sugerira da dio ispitanika, uz priznavanje važnosti brzine, istodobno uočava potencijalne rizike prebrze integracije.</w:t>
      </w:r>
    </w:p>
    <w:p w14:paraId="32D480C7" w14:textId="543B5C42"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sz w:val="24"/>
          <w:szCs w:val="24"/>
          <w:lang w:val="it-IT"/>
        </w:rPr>
        <w:t>Uz kvantitativno analizirane čimbenike uspjeha integracije</w:t>
      </w:r>
      <w:r w:rsidRPr="00BE5472">
        <w:rPr>
          <w:rFonts w:ascii="Times New Roman" w:hAnsi="Times New Roman" w:cs="Times New Roman"/>
          <w:sz w:val="24"/>
          <w:szCs w:val="24"/>
          <w:lang w:val="it-IT"/>
        </w:rPr>
        <w:t xml:space="preserve">, ispitanici su tijekom usmenih intervjua dodatno istaknuli i niz kvalitativnih čimbenika koji su se pokazali važnima u postakvizicijskoj integracijskoj fazi, a nisu bili obuhvaćeni tabličnim dijelom istraživanja. Poseban naglasak stavljen je na aktivan i kontinuiran fokus najvišeg menadžmenta poduzeća preuzimatelja na poduzeće metu, kao i na sustavnu uspostavu najbolje poslovne prakse. Ispitanici su istaknuli da, čak i u slučajevima kada poduzeće meta zadrži status zasebnog pravnog subjekta, poduzeće preuzimatelj kroz ugovore o upravljanju može ostvariti značajne upravljačke i menadžerske sinergije. Nadalje, naglašena je važnost pravodobnog identificiranja i zadržavanja ključnih zaposlenika, uz posebnu pozornost posvećenu korporativnoj kulturi, kako bi se postojeće vrijednosti zadržale </w:t>
      </w:r>
      <w:r w:rsidR="00F87611" w:rsidRPr="00BE5472">
        <w:rPr>
          <w:rFonts w:ascii="Times New Roman" w:hAnsi="Times New Roman" w:cs="Times New Roman"/>
          <w:sz w:val="24"/>
          <w:szCs w:val="24"/>
          <w:lang w:val="it-IT"/>
        </w:rPr>
        <w:t>a</w:t>
      </w:r>
      <w:r w:rsidRPr="00BE5472">
        <w:rPr>
          <w:rFonts w:ascii="Times New Roman" w:hAnsi="Times New Roman" w:cs="Times New Roman"/>
          <w:sz w:val="24"/>
          <w:szCs w:val="24"/>
          <w:lang w:val="it-IT"/>
        </w:rPr>
        <w:t xml:space="preserve">ko se procijene kao zadovoljavajuće. Kao dodatni čimbenici uspješne integracije istaknuti su i jasna, transparentna komunikacija prema zaposlenicima poduzeća mete te ujednačavanje radnih i materijalnih uvjeta s matičnim </w:t>
      </w:r>
      <w:r w:rsidRPr="00BE5472">
        <w:rPr>
          <w:rFonts w:ascii="Times New Roman" w:hAnsi="Times New Roman" w:cs="Times New Roman"/>
          <w:sz w:val="24"/>
          <w:szCs w:val="24"/>
          <w:lang w:val="it-IT"/>
        </w:rPr>
        <w:lastRenderedPageBreak/>
        <w:t>društvom, uključujući primanja, sustave nagrađivanja i ostale benefite, što se percipira kao važan element stabilizacije organizacije i jačanja motivacije zaposlenika.</w:t>
      </w:r>
    </w:p>
    <w:p w14:paraId="1D5D25E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Nakon završetka integracijskih aktivnosti, fokus procjene uspješnosti procesa spajanja i preuzimanja premješta se na postakvizicijsku fazu, u kojoj se vrednuju ostvareni rezultati i dugoročni učinci akvizicije. </w:t>
      </w:r>
    </w:p>
    <w:p w14:paraId="198450C3" w14:textId="776712E9" w:rsidR="00120B4F"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Analizom prikazanih podataka identificirani su ključni čimbenici uspjeha procesa spajanja i preuzimanja u fazi nakon završetka integracije, odnosno u postakvizicijskoj fazi, sukladno mišljenju ispitanika. Rangiranje čimbenika provedeno je na temelju aritmetičke sredine kao pokazatelja percipirane važnosti te standardne devijacije kao mjere stupnja suglasnosti među ispitanicima.</w:t>
      </w:r>
    </w:p>
    <w:p w14:paraId="13BA27BB" w14:textId="4FD86C0E" w:rsidR="00EB3DF0" w:rsidRPr="00EB3DF0" w:rsidRDefault="00EB3DF0" w:rsidP="00EB3DF0">
      <w:pPr>
        <w:spacing w:line="360" w:lineRule="auto"/>
        <w:jc w:val="both"/>
        <w:rPr>
          <w:rFonts w:ascii="Times New Roman" w:hAnsi="Times New Roman" w:cs="Times New Roman"/>
          <w:sz w:val="24"/>
          <w:szCs w:val="24"/>
          <w:lang w:val="it-IT"/>
        </w:rPr>
      </w:pPr>
      <w:r w:rsidRPr="00EB3DF0">
        <w:rPr>
          <w:rFonts w:ascii="Times New Roman" w:hAnsi="Times New Roman" w:cs="Times New Roman"/>
          <w:sz w:val="24"/>
          <w:szCs w:val="24"/>
          <w:lang w:val="it-IT"/>
        </w:rPr>
        <w:t xml:space="preserve">Radi preglednijeg prikaza rezultata, u </w:t>
      </w:r>
      <w:r w:rsidR="00127A4E">
        <w:rPr>
          <w:rFonts w:ascii="Times New Roman" w:hAnsi="Times New Roman" w:cs="Times New Roman"/>
          <w:sz w:val="24"/>
          <w:szCs w:val="24"/>
          <w:lang w:val="it-IT"/>
        </w:rPr>
        <w:t>Tablici</w:t>
      </w:r>
      <w:r w:rsidRPr="00EB3DF0">
        <w:rPr>
          <w:rFonts w:ascii="Times New Roman" w:hAnsi="Times New Roman" w:cs="Times New Roman"/>
          <w:sz w:val="24"/>
          <w:szCs w:val="24"/>
          <w:lang w:val="it-IT"/>
        </w:rPr>
        <w:t xml:space="preserve"> </w:t>
      </w:r>
      <w:r w:rsidR="00127A4E">
        <w:rPr>
          <w:rFonts w:ascii="Times New Roman" w:hAnsi="Times New Roman" w:cs="Times New Roman"/>
          <w:sz w:val="24"/>
          <w:szCs w:val="24"/>
          <w:lang w:val="it-IT"/>
        </w:rPr>
        <w:t xml:space="preserve">40 </w:t>
      </w:r>
      <w:r w:rsidRPr="00EB3DF0">
        <w:rPr>
          <w:rFonts w:ascii="Times New Roman" w:hAnsi="Times New Roman" w:cs="Times New Roman"/>
          <w:sz w:val="24"/>
          <w:szCs w:val="24"/>
          <w:lang w:val="it-IT"/>
        </w:rPr>
        <w:t>prikazana je hijerarhija ključnih čimbenika uspjeha nakon integracije (u postakvizicijskoj fazi) prema prosječnoj ocjeni njihove važnosti od strane ispitanika iz hotelskih poduzeća.</w:t>
      </w:r>
    </w:p>
    <w:p w14:paraId="484D687C" w14:textId="574A0B9C" w:rsidR="00EB3DF0" w:rsidRPr="00E1098E" w:rsidRDefault="00E1098E" w:rsidP="00E1098E">
      <w:pPr>
        <w:pStyle w:val="Caption"/>
        <w:rPr>
          <w:rFonts w:ascii="Times New Roman" w:hAnsi="Times New Roman" w:cs="Times New Roman"/>
          <w:sz w:val="24"/>
          <w:szCs w:val="24"/>
          <w:lang w:val="it-IT"/>
        </w:rPr>
      </w:pPr>
      <w:bookmarkStart w:id="194" w:name="_Toc241865234"/>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40</w:t>
      </w:r>
      <w:r w:rsidRPr="00E1098E">
        <w:rPr>
          <w:rFonts w:ascii="Times New Roman" w:hAnsi="Times New Roman" w:cs="Times New Roman"/>
          <w:sz w:val="24"/>
          <w:szCs w:val="24"/>
        </w:rPr>
        <w:fldChar w:fldCharType="end"/>
      </w:r>
      <w:r w:rsidR="00EB3DF0" w:rsidRPr="00E1098E">
        <w:rPr>
          <w:rFonts w:ascii="Times New Roman" w:hAnsi="Times New Roman" w:cs="Times New Roman"/>
          <w:sz w:val="24"/>
          <w:szCs w:val="24"/>
          <w:lang w:val="it-IT"/>
        </w:rPr>
        <w:t>: Hijerarhija ključnih čimbenika uspjeha nakon integracije (u postakvizicijskoj fazi) prema procjenama ispitanika iz hotelskih poduzeća</w:t>
      </w:r>
      <w:bookmarkEnd w:id="194"/>
    </w:p>
    <w:tbl>
      <w:tblPr>
        <w:tblStyle w:val="Reetkatablice1"/>
        <w:tblW w:w="0" w:type="auto"/>
        <w:tblLook w:val="04A0" w:firstRow="1" w:lastRow="0" w:firstColumn="1" w:lastColumn="0" w:noHBand="0" w:noVBand="1"/>
      </w:tblPr>
      <w:tblGrid>
        <w:gridCol w:w="763"/>
        <w:gridCol w:w="3813"/>
        <w:gridCol w:w="636"/>
        <w:gridCol w:w="3807"/>
      </w:tblGrid>
      <w:tr w:rsidR="00EB3DF0" w:rsidRPr="00EB3DF0" w14:paraId="74DA9560" w14:textId="77777777" w:rsidTr="00EB3DF0">
        <w:tc>
          <w:tcPr>
            <w:tcW w:w="0" w:type="auto"/>
            <w:hideMark/>
          </w:tcPr>
          <w:p w14:paraId="7C37A3AC"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Rang</w:t>
            </w:r>
          </w:p>
        </w:tc>
        <w:tc>
          <w:tcPr>
            <w:tcW w:w="0" w:type="auto"/>
            <w:hideMark/>
          </w:tcPr>
          <w:p w14:paraId="7D8EF032"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Ključni čimbenik uspjeha</w:t>
            </w:r>
          </w:p>
        </w:tc>
        <w:tc>
          <w:tcPr>
            <w:tcW w:w="0" w:type="auto"/>
            <w:hideMark/>
          </w:tcPr>
          <w:p w14:paraId="6FA1B1F6"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M</w:t>
            </w:r>
          </w:p>
        </w:tc>
        <w:tc>
          <w:tcPr>
            <w:tcW w:w="0" w:type="auto"/>
            <w:hideMark/>
          </w:tcPr>
          <w:p w14:paraId="293517B0" w14:textId="77777777" w:rsidR="00EB3DF0" w:rsidRPr="00EB3DF0" w:rsidRDefault="00EB3DF0" w:rsidP="00EB3DF0">
            <w:pPr>
              <w:spacing w:after="160" w:line="360" w:lineRule="auto"/>
              <w:jc w:val="both"/>
              <w:rPr>
                <w:rFonts w:ascii="Times New Roman" w:hAnsi="Times New Roman" w:cs="Times New Roman"/>
                <w:b/>
                <w:bCs/>
                <w:sz w:val="24"/>
                <w:szCs w:val="24"/>
                <w:lang w:val="en-US"/>
              </w:rPr>
            </w:pPr>
            <w:r w:rsidRPr="00EB3DF0">
              <w:rPr>
                <w:rFonts w:ascii="Times New Roman" w:hAnsi="Times New Roman" w:cs="Times New Roman"/>
                <w:b/>
                <w:bCs/>
                <w:sz w:val="24"/>
                <w:szCs w:val="24"/>
                <w:lang w:val="en-US"/>
              </w:rPr>
              <w:t>Linearno ponderirani indeks suglasnosti</w:t>
            </w:r>
          </w:p>
        </w:tc>
      </w:tr>
      <w:tr w:rsidR="00EB3DF0" w:rsidRPr="00EB3DF0" w14:paraId="02BE5942" w14:textId="77777777" w:rsidTr="00EB3DF0">
        <w:tc>
          <w:tcPr>
            <w:tcW w:w="0" w:type="auto"/>
            <w:hideMark/>
          </w:tcPr>
          <w:p w14:paraId="00A166EF"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1.</w:t>
            </w:r>
          </w:p>
        </w:tc>
        <w:tc>
          <w:tcPr>
            <w:tcW w:w="0" w:type="auto"/>
            <w:hideMark/>
          </w:tcPr>
          <w:p w14:paraId="4AF6976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Prihvaćanje nove organizacijske strukture</w:t>
            </w:r>
          </w:p>
        </w:tc>
        <w:tc>
          <w:tcPr>
            <w:tcW w:w="0" w:type="auto"/>
            <w:hideMark/>
          </w:tcPr>
          <w:p w14:paraId="711ADCD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4,58</w:t>
            </w:r>
          </w:p>
        </w:tc>
        <w:tc>
          <w:tcPr>
            <w:tcW w:w="0" w:type="auto"/>
            <w:hideMark/>
          </w:tcPr>
          <w:p w14:paraId="2E97705D"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0,87</w:t>
            </w:r>
          </w:p>
        </w:tc>
      </w:tr>
      <w:tr w:rsidR="00EB3DF0" w:rsidRPr="00EB3DF0" w14:paraId="25A422FC" w14:textId="77777777" w:rsidTr="00EB3DF0">
        <w:tc>
          <w:tcPr>
            <w:tcW w:w="0" w:type="auto"/>
            <w:hideMark/>
          </w:tcPr>
          <w:p w14:paraId="5B72F8A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2.</w:t>
            </w:r>
          </w:p>
        </w:tc>
        <w:tc>
          <w:tcPr>
            <w:tcW w:w="0" w:type="auto"/>
            <w:hideMark/>
          </w:tcPr>
          <w:p w14:paraId="64BA7ABC"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Novčani tijek iz operacija</w:t>
            </w:r>
          </w:p>
        </w:tc>
        <w:tc>
          <w:tcPr>
            <w:tcW w:w="0" w:type="auto"/>
            <w:hideMark/>
          </w:tcPr>
          <w:p w14:paraId="61035B22"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4,25</w:t>
            </w:r>
          </w:p>
        </w:tc>
        <w:tc>
          <w:tcPr>
            <w:tcW w:w="0" w:type="auto"/>
            <w:hideMark/>
          </w:tcPr>
          <w:p w14:paraId="58CC033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0,74</w:t>
            </w:r>
          </w:p>
        </w:tc>
      </w:tr>
      <w:tr w:rsidR="00EB3DF0" w:rsidRPr="00EB3DF0" w14:paraId="3E5C3A34" w14:textId="77777777" w:rsidTr="00EB3DF0">
        <w:tc>
          <w:tcPr>
            <w:tcW w:w="0" w:type="auto"/>
            <w:hideMark/>
          </w:tcPr>
          <w:p w14:paraId="24DED465"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w:t>
            </w:r>
          </w:p>
        </w:tc>
        <w:tc>
          <w:tcPr>
            <w:tcW w:w="0" w:type="auto"/>
            <w:hideMark/>
          </w:tcPr>
          <w:p w14:paraId="1386FF0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Uobičajeni hotelski pokazatelji uspješnosti</w:t>
            </w:r>
          </w:p>
        </w:tc>
        <w:tc>
          <w:tcPr>
            <w:tcW w:w="0" w:type="auto"/>
            <w:hideMark/>
          </w:tcPr>
          <w:p w14:paraId="3CF2B5AA"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4,17</w:t>
            </w:r>
          </w:p>
        </w:tc>
        <w:tc>
          <w:tcPr>
            <w:tcW w:w="0" w:type="auto"/>
            <w:hideMark/>
          </w:tcPr>
          <w:p w14:paraId="463019D7"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0,75</w:t>
            </w:r>
          </w:p>
        </w:tc>
      </w:tr>
      <w:tr w:rsidR="00EB3DF0" w:rsidRPr="00EB3DF0" w14:paraId="3AF7B9C8" w14:textId="77777777" w:rsidTr="00EB3DF0">
        <w:tc>
          <w:tcPr>
            <w:tcW w:w="0" w:type="auto"/>
            <w:hideMark/>
          </w:tcPr>
          <w:p w14:paraId="7331A259"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4.</w:t>
            </w:r>
          </w:p>
        </w:tc>
        <w:tc>
          <w:tcPr>
            <w:tcW w:w="0" w:type="auto"/>
            <w:hideMark/>
          </w:tcPr>
          <w:p w14:paraId="522E18C8"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Promjena kretanja cijene dionica</w:t>
            </w:r>
          </w:p>
        </w:tc>
        <w:tc>
          <w:tcPr>
            <w:tcW w:w="0" w:type="auto"/>
            <w:hideMark/>
          </w:tcPr>
          <w:p w14:paraId="4D799296"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3,67</w:t>
            </w:r>
          </w:p>
        </w:tc>
        <w:tc>
          <w:tcPr>
            <w:tcW w:w="0" w:type="auto"/>
            <w:hideMark/>
          </w:tcPr>
          <w:p w14:paraId="4BF96DD7" w14:textId="77777777" w:rsidR="00EB3DF0" w:rsidRPr="00EB3DF0" w:rsidRDefault="00EB3DF0" w:rsidP="00EB3DF0">
            <w:pPr>
              <w:spacing w:after="160" w:line="360" w:lineRule="auto"/>
              <w:jc w:val="both"/>
              <w:rPr>
                <w:rFonts w:ascii="Times New Roman" w:hAnsi="Times New Roman" w:cs="Times New Roman"/>
                <w:sz w:val="24"/>
                <w:szCs w:val="24"/>
                <w:lang w:val="en-US"/>
              </w:rPr>
            </w:pPr>
            <w:r w:rsidRPr="00EB3DF0">
              <w:rPr>
                <w:rFonts w:ascii="Times New Roman" w:hAnsi="Times New Roman" w:cs="Times New Roman"/>
                <w:sz w:val="24"/>
                <w:szCs w:val="24"/>
                <w:lang w:val="en-US"/>
              </w:rPr>
              <w:t>0,72</w:t>
            </w:r>
          </w:p>
        </w:tc>
      </w:tr>
    </w:tbl>
    <w:p w14:paraId="25B1D318" w14:textId="77777777" w:rsidR="00EB3DF0" w:rsidRPr="00EB3DF0" w:rsidRDefault="00EB3DF0" w:rsidP="00EB3DF0">
      <w:pPr>
        <w:rPr>
          <w:rFonts w:ascii="Times New Roman" w:hAnsi="Times New Roman" w:cs="Times New Roman"/>
          <w:sz w:val="24"/>
          <w:szCs w:val="24"/>
          <w:lang w:val="it-IT"/>
        </w:rPr>
      </w:pPr>
      <w:r w:rsidRPr="00EB3DF0">
        <w:rPr>
          <w:rFonts w:ascii="Times New Roman" w:hAnsi="Times New Roman" w:cs="Times New Roman"/>
          <w:sz w:val="24"/>
          <w:szCs w:val="24"/>
          <w:lang w:val="it-IT"/>
        </w:rPr>
        <w:t>Izvor: obrada autora</w:t>
      </w:r>
    </w:p>
    <w:p w14:paraId="041AF8A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Najvažniji čimbenik postakvizicijske uspješnosti s vrlo visokim stupnjem suglasnosti ispitanika</w:t>
      </w:r>
      <w:r w:rsidRPr="00BE5472">
        <w:rPr>
          <w:rFonts w:ascii="Times New Roman" w:hAnsi="Times New Roman" w:cs="Times New Roman"/>
          <w:sz w:val="24"/>
          <w:szCs w:val="24"/>
          <w:lang w:val="it-IT"/>
        </w:rPr>
        <w:br/>
        <w:t xml:space="preserve">Prihvaćanje nove organizacijske strukture ostvaruje najvišu prosječnu ocjenu među promatranim pokazateljima postakvizicijske faze (aritmetička sredina = 4,58; standardna devijacija = 0,493), što upućuje na vrlo visoku razinu slaganja ispitanika o njegovoj važnosti. Mod i medijan iznose 5, čime se potvrđuje da je dominantna ocjena na najvišoj razini. Niska </w:t>
      </w:r>
      <w:r w:rsidRPr="00BE5472">
        <w:rPr>
          <w:rFonts w:ascii="Times New Roman" w:hAnsi="Times New Roman" w:cs="Times New Roman"/>
          <w:sz w:val="24"/>
          <w:szCs w:val="24"/>
          <w:lang w:val="it-IT"/>
        </w:rPr>
        <w:lastRenderedPageBreak/>
        <w:t>standardna devijacija dodatno potvrđuje ujednačenost stavova, čime se prihvaćanje nove organizacijske strukture jasno ističe kao ključni pokazatelj stabilnosti i uspješnosti nakon završetka integracije.</w:t>
      </w:r>
    </w:p>
    <w:p w14:paraId="19C1A77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Vrlo važan čimbenik uz izraženiju varijabilnost stavova ispitanika</w:t>
      </w:r>
      <w:r w:rsidRPr="00BE5472">
        <w:rPr>
          <w:rFonts w:ascii="Times New Roman" w:hAnsi="Times New Roman" w:cs="Times New Roman"/>
          <w:sz w:val="24"/>
          <w:szCs w:val="24"/>
          <w:lang w:val="it-IT"/>
        </w:rPr>
        <w:br/>
        <w:t>Novčani tijek iz operacija percipira se kao vrlo važan kriterij postakvizicijske uspješnosti (aritmetička sredina = 4,25; standardna devijacija = 1,090). Visoka prosječna ocjena, uz viši medijan (4,5) i mod na najvišoj razini (5), upućuje na to da većina ispitanika novčani tijek smatra ključnim mjerilom uspješnosti nakon spajanja i preuzimanja. Međutim, relativno visoka standardna devijacija ukazuje na izraženije razlike u stavovima, što može odražavati različite vremenske horizonte u kojima ispitanici očekuju stabilizaciju i poboljšanje operativnog novčanog toka.</w:t>
      </w:r>
    </w:p>
    <w:p w14:paraId="354130D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Važan i stabilan operativni pokazatelj uspješnosti</w:t>
      </w:r>
      <w:r w:rsidRPr="00BE5472">
        <w:rPr>
          <w:rFonts w:ascii="Times New Roman" w:hAnsi="Times New Roman" w:cs="Times New Roman"/>
          <w:sz w:val="24"/>
          <w:szCs w:val="24"/>
          <w:lang w:val="it-IT"/>
        </w:rPr>
        <w:br/>
        <w:t>Uobičajeni hotelski pokazatelji uspješnosti (ADR, stopa popunjenosti, RevPAR, TRevPAR) prepoznati su kao važan instrument praćenja rezultata nakon integracije (aritmetička sredina = 4,17; standardna devijacija = 0,898). Prosječna ocjena te podudaranje moda i medijana (4) upućuju na stabilan i konzistentan stav ispitanika o njihovoj relevantnosti. Umjerena standardna devijacija sugerira postojanje određenih razlika u procjeni relativne težine pojedinih pokazatelja, no to ne dovodi u pitanje njihovu opću važnost u evaluaciji uspješnosti preuzimanja.</w:t>
      </w:r>
    </w:p>
    <w:p w14:paraId="20FB174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Umjereno važan pokazatelj s visokom heterogenošću stavova ispitanika</w:t>
      </w:r>
      <w:r w:rsidRPr="00BE5472">
        <w:rPr>
          <w:rFonts w:ascii="Times New Roman" w:hAnsi="Times New Roman" w:cs="Times New Roman"/>
          <w:sz w:val="24"/>
          <w:szCs w:val="24"/>
          <w:lang w:val="it-IT"/>
        </w:rPr>
        <w:br/>
        <w:t>Promjena kretanja cijene dionica ostvaruje najnižu prosječnu ocjenu među analiziranim čimbenicima postakvizicijske faze (aritmetička sredina = 3,67; standardna devijacija = 1,027), što upućuje na umjeren stupanj percipirane važnosti. Mod i medijan iznose 4, čime se potvrđuje dominantna percepcija srednje razine značaja. Visoka standardna devijacija ukazuje na znatnu heterogenost stavova ispitanika, što može upućivati na razlike u pristupu tržišnim pokazateljima, njihovu vremensku osjetljivost te relativno manju važnost u odnosu na operativne i organizacijske kriterije uspješnosti.</w:t>
      </w:r>
    </w:p>
    <w:p w14:paraId="5BB7AABF" w14:textId="1261FA89"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
          <w:sz w:val="24"/>
          <w:szCs w:val="24"/>
          <w:lang w:val="it-IT"/>
        </w:rPr>
        <w:t>Uz kvantitativno identificirane pokazatelje uspješnosti u postakvizicijskoj fazi,</w:t>
      </w:r>
      <w:r w:rsidRPr="00BE5472">
        <w:rPr>
          <w:rFonts w:ascii="Times New Roman" w:hAnsi="Times New Roman" w:cs="Times New Roman"/>
          <w:sz w:val="24"/>
          <w:szCs w:val="24"/>
          <w:lang w:val="it-IT"/>
        </w:rPr>
        <w:t xml:space="preserve"> ispitanici su tijekom usmenih intervjua dodatno istaknuli i niz čimbenika koji se odnose na razdoblje nakon završetka integracije, a koji nisu bili obuhvaćeni tabličnim dijelom istraživanja. Kao posebno važan element istaknuto je ostvarenje poslovnih planova, uključujući provedbu razvojnih ulaganja i realizaciju identificiranog </w:t>
      </w:r>
      <w:r w:rsidRPr="00BE5472">
        <w:rPr>
          <w:rFonts w:ascii="Times New Roman" w:hAnsi="Times New Roman" w:cs="Times New Roman"/>
          <w:i/>
          <w:iCs/>
          <w:sz w:val="24"/>
          <w:szCs w:val="24"/>
          <w:lang w:val="it-IT"/>
        </w:rPr>
        <w:t>up-side</w:t>
      </w:r>
      <w:r w:rsidRPr="00BE5472">
        <w:rPr>
          <w:rFonts w:ascii="Times New Roman" w:hAnsi="Times New Roman" w:cs="Times New Roman"/>
          <w:sz w:val="24"/>
          <w:szCs w:val="24"/>
          <w:lang w:val="it-IT"/>
        </w:rPr>
        <w:t xml:space="preserve"> potencijala akvizicije. Nadalje, </w:t>
      </w:r>
      <w:r w:rsidRPr="00BE5472">
        <w:rPr>
          <w:rFonts w:ascii="Times New Roman" w:hAnsi="Times New Roman" w:cs="Times New Roman"/>
          <w:sz w:val="24"/>
          <w:szCs w:val="24"/>
          <w:lang w:val="it-IT"/>
        </w:rPr>
        <w:lastRenderedPageBreak/>
        <w:t xml:space="preserve">ispitanici su naglasili važnost kontinuirane uspostave i primjene najbolje poslovne prakse, kao i mogućnost korištenja menadžerskih sinergija poduzeća preuzimatelja putem ugovora o upravljanju, čak i u situacijama kada poduzeće meta ostaje zaseban pravni subjekt. Posebna pažnja posvećena je detektiranju i zadržavanju ključnih zaposlenika te očuvanju korporativne kulture poduzeća mete, </w:t>
      </w:r>
      <w:r w:rsidR="00F87611" w:rsidRPr="00BE5472">
        <w:rPr>
          <w:rFonts w:ascii="Times New Roman" w:hAnsi="Times New Roman" w:cs="Times New Roman"/>
          <w:sz w:val="24"/>
          <w:szCs w:val="24"/>
          <w:lang w:val="it-IT"/>
        </w:rPr>
        <w:t>a</w:t>
      </w:r>
      <w:r w:rsidRPr="00BE5472">
        <w:rPr>
          <w:rFonts w:ascii="Times New Roman" w:hAnsi="Times New Roman" w:cs="Times New Roman"/>
          <w:sz w:val="24"/>
          <w:szCs w:val="24"/>
          <w:lang w:val="it-IT"/>
        </w:rPr>
        <w:t>ko se ona procijeni kao odgovarajuća. Kao dodatni čimbenici dugoročne stabilnosti i uspješnosti nakon integracije istaknuti su i važnost jasne i kontinuirane komunikacije prema zaposlenicima poduzeća mete te ujednačavanje radnih i materijalnih uvjeta s matičnim društvom, uključujući primanja, sustave nagrađivanja i ostale benefite, što se percipira kao važan preduvjet motivacije zaposlenika i održivog poslovnog razvoja.</w:t>
      </w:r>
    </w:p>
    <w:p w14:paraId="301E3994" w14:textId="7939EAE0"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nastavku se grafički prikazuju ključni čimbenici u svakoj fazi procesa spajanja i preuzimanja, a </w:t>
      </w:r>
      <w:r w:rsidR="005259EB" w:rsidRPr="00BE5472">
        <w:rPr>
          <w:rFonts w:ascii="Times New Roman" w:hAnsi="Times New Roman" w:cs="Times New Roman"/>
          <w:sz w:val="24"/>
          <w:szCs w:val="24"/>
          <w:lang w:val="it-IT"/>
        </w:rPr>
        <w:t xml:space="preserve">na </w:t>
      </w:r>
      <w:r w:rsidRPr="00BE5472">
        <w:rPr>
          <w:rFonts w:ascii="Times New Roman" w:hAnsi="Times New Roman" w:cs="Times New Roman"/>
          <w:sz w:val="24"/>
          <w:szCs w:val="24"/>
          <w:lang w:val="it-IT"/>
        </w:rPr>
        <w:t>temelj</w:t>
      </w:r>
      <w:r w:rsidR="005259EB" w:rsidRPr="00BE5472">
        <w:rPr>
          <w:rFonts w:ascii="Times New Roman" w:hAnsi="Times New Roman" w:cs="Times New Roman"/>
          <w:sz w:val="24"/>
          <w:szCs w:val="24"/>
          <w:lang w:val="it-IT"/>
        </w:rPr>
        <w:t>u</w:t>
      </w:r>
      <w:r w:rsidRPr="00BE5472">
        <w:rPr>
          <w:rFonts w:ascii="Times New Roman" w:hAnsi="Times New Roman" w:cs="Times New Roman"/>
          <w:sz w:val="24"/>
          <w:szCs w:val="24"/>
          <w:lang w:val="it-IT"/>
        </w:rPr>
        <w:t xml:space="preserve"> sljedećih kriterija:</w:t>
      </w:r>
    </w:p>
    <w:p w14:paraId="1293B497" w14:textId="77777777" w:rsidR="00120B4F" w:rsidRPr="00BE5472" w:rsidRDefault="00120B4F" w:rsidP="00120B4F">
      <w:pPr>
        <w:numPr>
          <w:ilvl w:val="0"/>
          <w:numId w:val="102"/>
        </w:numPr>
        <w:spacing w:line="360" w:lineRule="auto"/>
        <w:jc w:val="both"/>
        <w:rPr>
          <w:rFonts w:ascii="Times New Roman" w:hAnsi="Times New Roman" w:cs="Times New Roman"/>
          <w:sz w:val="24"/>
          <w:szCs w:val="24"/>
          <w:lang w:val="it-IT"/>
        </w:rPr>
      </w:pPr>
      <w:r w:rsidRPr="00BE5472">
        <w:rPr>
          <w:rFonts w:ascii="Times New Roman" w:hAnsi="Times New Roman" w:cs="Times New Roman"/>
          <w:bCs/>
          <w:i/>
          <w:sz w:val="24"/>
          <w:szCs w:val="24"/>
          <w:lang w:val="it-IT"/>
        </w:rPr>
        <w:t>visoka aritmetička sredina</w:t>
      </w:r>
      <w:r w:rsidRPr="00BE5472">
        <w:rPr>
          <w:rFonts w:ascii="Times New Roman" w:hAnsi="Times New Roman" w:cs="Times New Roman"/>
          <w:sz w:val="24"/>
          <w:szCs w:val="24"/>
          <w:lang w:val="it-IT"/>
        </w:rPr>
        <w:t xml:space="preserve"> – čimbenici s </w:t>
      </w:r>
      <w:r w:rsidRPr="00BE5472">
        <w:rPr>
          <w:rFonts w:ascii="Times New Roman" w:hAnsi="Times New Roman" w:cs="Times New Roman"/>
          <w:bCs/>
          <w:sz w:val="24"/>
          <w:szCs w:val="24"/>
          <w:lang w:val="it-IT"/>
        </w:rPr>
        <w:t>najvišim ocjenama</w:t>
      </w:r>
      <w:r w:rsidRPr="00BE5472">
        <w:rPr>
          <w:rFonts w:ascii="Times New Roman" w:hAnsi="Times New Roman" w:cs="Times New Roman"/>
          <w:sz w:val="24"/>
          <w:szCs w:val="24"/>
          <w:lang w:val="it-IT"/>
        </w:rPr>
        <w:t xml:space="preserve"> od ispitanika (iznad 4.3).</w:t>
      </w:r>
    </w:p>
    <w:p w14:paraId="4783C5D1" w14:textId="77777777" w:rsidR="00120B4F" w:rsidRPr="00BE5472" w:rsidRDefault="00120B4F" w:rsidP="00120B4F">
      <w:pPr>
        <w:numPr>
          <w:ilvl w:val="0"/>
          <w:numId w:val="102"/>
        </w:numPr>
        <w:spacing w:line="360" w:lineRule="auto"/>
        <w:jc w:val="both"/>
        <w:rPr>
          <w:rFonts w:ascii="Times New Roman" w:hAnsi="Times New Roman" w:cs="Times New Roman"/>
          <w:sz w:val="24"/>
          <w:szCs w:val="24"/>
          <w:lang w:val="it-IT"/>
        </w:rPr>
      </w:pPr>
      <w:r w:rsidRPr="00BE5472">
        <w:rPr>
          <w:rFonts w:ascii="Times New Roman" w:hAnsi="Times New Roman" w:cs="Times New Roman"/>
          <w:bCs/>
          <w:i/>
          <w:sz w:val="24"/>
          <w:szCs w:val="24"/>
          <w:lang w:val="it-IT"/>
        </w:rPr>
        <w:t>niska standardna devijacija</w:t>
      </w:r>
      <w:r w:rsidRPr="00BE5472">
        <w:rPr>
          <w:rFonts w:ascii="Times New Roman" w:hAnsi="Times New Roman" w:cs="Times New Roman"/>
          <w:sz w:val="24"/>
          <w:szCs w:val="24"/>
          <w:lang w:val="it-IT"/>
        </w:rPr>
        <w:t xml:space="preserve"> – čimbenici kod kojih postoji </w:t>
      </w:r>
      <w:r w:rsidRPr="00BE5472">
        <w:rPr>
          <w:rFonts w:ascii="Times New Roman" w:hAnsi="Times New Roman" w:cs="Times New Roman"/>
          <w:bCs/>
          <w:sz w:val="24"/>
          <w:szCs w:val="24"/>
          <w:lang w:val="it-IT"/>
        </w:rPr>
        <w:t>visoka razina suglasnosti među ispitanicima</w:t>
      </w:r>
      <w:r w:rsidRPr="00BE5472">
        <w:rPr>
          <w:rFonts w:ascii="Times New Roman" w:hAnsi="Times New Roman" w:cs="Times New Roman"/>
          <w:sz w:val="24"/>
          <w:szCs w:val="24"/>
          <w:lang w:val="it-IT"/>
        </w:rPr>
        <w:t xml:space="preserve"> (najčešće </w:t>
      </w:r>
      <w:r w:rsidRPr="00BE5472">
        <w:rPr>
          <w:rFonts w:ascii="Times New Roman" w:hAnsi="Times New Roman" w:cs="Times New Roman"/>
          <w:bCs/>
          <w:sz w:val="24"/>
          <w:szCs w:val="24"/>
          <w:lang w:val="it-IT"/>
        </w:rPr>
        <w:t>ispod 0.6</w:t>
      </w:r>
      <w:r w:rsidRPr="00BE5472">
        <w:rPr>
          <w:rFonts w:ascii="Times New Roman" w:hAnsi="Times New Roman" w:cs="Times New Roman"/>
          <w:sz w:val="24"/>
          <w:szCs w:val="24"/>
          <w:lang w:val="it-IT"/>
        </w:rPr>
        <w:t>).</w:t>
      </w:r>
    </w:p>
    <w:p w14:paraId="70D74499" w14:textId="77777777" w:rsidR="0093748D" w:rsidRDefault="0093748D" w:rsidP="00120B4F">
      <w:pPr>
        <w:spacing w:line="360" w:lineRule="auto"/>
        <w:jc w:val="both"/>
        <w:rPr>
          <w:rFonts w:ascii="Times New Roman" w:hAnsi="Times New Roman" w:cs="Times New Roman"/>
          <w:sz w:val="24"/>
          <w:szCs w:val="24"/>
          <w:lang w:val="it-IT"/>
        </w:rPr>
      </w:pPr>
    </w:p>
    <w:p w14:paraId="57F528E0" w14:textId="77777777" w:rsidR="003F6E8E" w:rsidRDefault="003F6E8E" w:rsidP="00120B4F">
      <w:pPr>
        <w:spacing w:line="360" w:lineRule="auto"/>
        <w:jc w:val="both"/>
        <w:rPr>
          <w:rFonts w:ascii="Times New Roman" w:hAnsi="Times New Roman" w:cs="Times New Roman"/>
          <w:sz w:val="24"/>
          <w:szCs w:val="24"/>
          <w:lang w:val="it-IT"/>
        </w:rPr>
        <w:sectPr w:rsidR="003F6E8E" w:rsidSect="00120B4F">
          <w:pgSz w:w="11909" w:h="16834" w:code="9"/>
          <w:pgMar w:top="1440" w:right="1440" w:bottom="1440" w:left="1440" w:header="720" w:footer="720" w:gutter="0"/>
          <w:cols w:space="720"/>
          <w:docGrid w:linePitch="360"/>
        </w:sectPr>
      </w:pPr>
    </w:p>
    <w:p w14:paraId="75447CEE" w14:textId="50137927" w:rsidR="00120B4F" w:rsidRPr="00E1098E" w:rsidRDefault="00E1098E" w:rsidP="00E1098E">
      <w:pPr>
        <w:pStyle w:val="Caption"/>
        <w:rPr>
          <w:rFonts w:ascii="Times New Roman" w:hAnsi="Times New Roman" w:cs="Times New Roman"/>
          <w:sz w:val="24"/>
          <w:szCs w:val="24"/>
        </w:rPr>
      </w:pPr>
      <w:bookmarkStart w:id="195" w:name="_Toc241865293"/>
      <w:r w:rsidRPr="00E1098E">
        <w:rPr>
          <w:rFonts w:ascii="Times New Roman" w:hAnsi="Times New Roman" w:cs="Times New Roman"/>
          <w:sz w:val="24"/>
          <w:szCs w:val="24"/>
        </w:rPr>
        <w:lastRenderedPageBreak/>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25</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lang w:val="it-IT"/>
        </w:rPr>
        <w:t xml:space="preserve">: </w:t>
      </w:r>
      <w:r w:rsidR="00120B4F" w:rsidRPr="00E1098E">
        <w:rPr>
          <w:rFonts w:ascii="Times New Roman" w:hAnsi="Times New Roman" w:cs="Times New Roman"/>
          <w:sz w:val="24"/>
          <w:szCs w:val="24"/>
        </w:rPr>
        <w:t>Najvažniji čimbenici procesa spajanja i preuzimanja prije pokretanja procesa spajanja i preuzimanja iz perspektive ispitanika iz poduzeća akvizitora</w:t>
      </w:r>
      <w:bookmarkEnd w:id="195"/>
      <w:r w:rsidR="00120B4F" w:rsidRPr="00E1098E">
        <w:rPr>
          <w:rFonts w:ascii="Times New Roman" w:hAnsi="Times New Roman" w:cs="Times New Roman"/>
          <w:sz w:val="24"/>
          <w:szCs w:val="24"/>
        </w:rPr>
        <w:t xml:space="preserve"> </w:t>
      </w:r>
    </w:p>
    <w:p w14:paraId="78AA3707" w14:textId="77777777" w:rsidR="003F6E8E" w:rsidRDefault="00120B4F" w:rsidP="00120B4F">
      <w:pPr>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6B194A2D" wp14:editId="54402F28">
            <wp:extent cx="5624623" cy="2786719"/>
            <wp:effectExtent l="0" t="0" r="0" b="0"/>
            <wp:docPr id="17354038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645891" cy="2797256"/>
                    </a:xfrm>
                    <a:prstGeom prst="rect">
                      <a:avLst/>
                    </a:prstGeom>
                    <a:noFill/>
                  </pic:spPr>
                </pic:pic>
              </a:graphicData>
            </a:graphic>
          </wp:inline>
        </w:drawing>
      </w:r>
      <w:r w:rsidR="00F57A7B" w:rsidRPr="00BE5472">
        <w:rPr>
          <w:rFonts w:ascii="Times New Roman" w:hAnsi="Times New Roman" w:cs="Times New Roman"/>
          <w:sz w:val="24"/>
          <w:szCs w:val="24"/>
        </w:rPr>
        <w:t>Izvor: obrada autora</w:t>
      </w:r>
    </w:p>
    <w:p w14:paraId="21832E3C" w14:textId="77777777" w:rsidR="00E97FEA" w:rsidRDefault="00E97FEA" w:rsidP="00120B4F">
      <w:pPr>
        <w:jc w:val="both"/>
        <w:rPr>
          <w:rFonts w:ascii="Times New Roman" w:hAnsi="Times New Roman" w:cs="Times New Roman"/>
          <w:sz w:val="24"/>
          <w:szCs w:val="24"/>
        </w:rPr>
      </w:pPr>
    </w:p>
    <w:p w14:paraId="583F6D83" w14:textId="0B4D9D3E" w:rsidR="00120B4F" w:rsidRPr="00E1098E" w:rsidRDefault="00E1098E" w:rsidP="00E1098E">
      <w:pPr>
        <w:pStyle w:val="Caption"/>
        <w:rPr>
          <w:rFonts w:ascii="Times New Roman" w:hAnsi="Times New Roman" w:cs="Times New Roman"/>
          <w:sz w:val="24"/>
          <w:szCs w:val="24"/>
        </w:rPr>
      </w:pPr>
      <w:bookmarkStart w:id="196" w:name="_Toc241865294"/>
      <w:r w:rsidRPr="00E1098E">
        <w:rPr>
          <w:rFonts w:ascii="Times New Roman" w:hAnsi="Times New Roman" w:cs="Times New Roman"/>
          <w:sz w:val="24"/>
          <w:szCs w:val="24"/>
        </w:rPr>
        <w:t xml:space="preserve">Prikaz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Prikaz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26</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Najvažniji čimbenici procesa spajanja i preuzimanja u fazi integracije iz perspektive ispitanika iz poduzeća akvizitora</w:t>
      </w:r>
      <w:bookmarkEnd w:id="196"/>
    </w:p>
    <w:p w14:paraId="145912DC" w14:textId="77777777" w:rsidR="00120B4F" w:rsidRPr="00BE5472" w:rsidRDefault="00120B4F" w:rsidP="00120B4F">
      <w:pPr>
        <w:jc w:val="both"/>
        <w:rPr>
          <w:rFonts w:ascii="Times New Roman" w:hAnsi="Times New Roman" w:cs="Times New Roman"/>
          <w:sz w:val="24"/>
          <w:szCs w:val="24"/>
        </w:rPr>
      </w:pPr>
      <w:r w:rsidRPr="00BE5472">
        <w:rPr>
          <w:rFonts w:ascii="Times New Roman" w:hAnsi="Times New Roman" w:cs="Times New Roman"/>
          <w:noProof/>
          <w:sz w:val="24"/>
          <w:szCs w:val="24"/>
          <w:lang w:eastAsia="hr-HR"/>
        </w:rPr>
        <w:drawing>
          <wp:inline distT="0" distB="0" distL="0" distR="0" wp14:anchorId="547B5B86" wp14:editId="114D9234">
            <wp:extent cx="5729929" cy="2838893"/>
            <wp:effectExtent l="0" t="0" r="4445" b="0"/>
            <wp:docPr id="1261923411"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52885" cy="2850267"/>
                    </a:xfrm>
                    <a:prstGeom prst="rect">
                      <a:avLst/>
                    </a:prstGeom>
                    <a:noFill/>
                  </pic:spPr>
                </pic:pic>
              </a:graphicData>
            </a:graphic>
          </wp:inline>
        </w:drawing>
      </w:r>
    </w:p>
    <w:p w14:paraId="38353459" w14:textId="4C086504" w:rsidR="00120B4F" w:rsidRPr="00BE5472" w:rsidRDefault="00F57A7B" w:rsidP="00120B4F">
      <w:pPr>
        <w:jc w:val="both"/>
        <w:rPr>
          <w:rFonts w:ascii="Times New Roman" w:hAnsi="Times New Roman" w:cs="Times New Roman"/>
          <w:sz w:val="24"/>
          <w:szCs w:val="24"/>
        </w:rPr>
      </w:pPr>
      <w:r w:rsidRPr="00BE5472">
        <w:rPr>
          <w:rFonts w:ascii="Times New Roman" w:hAnsi="Times New Roman" w:cs="Times New Roman"/>
          <w:sz w:val="24"/>
          <w:szCs w:val="24"/>
        </w:rPr>
        <w:t>Izvor: obrada autora</w:t>
      </w:r>
    </w:p>
    <w:p w14:paraId="6C261D89"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 postakvizicijskoj fazi, nakon završetka procesa integracije, jedini čimbenik koji je zadovoljio kriterije visoke percipirane važnosti i visoke razine suglasnosti među ispitanicima jest prihvaćanje nove organizacijske strukture, što upućuje na to da se dugoročna uspješnost procesa spajanja i preuzimanja u najvećoj mjeri procjenjuje kroz stabilizaciju i internalizaciju organizacijskih promjena.</w:t>
      </w:r>
    </w:p>
    <w:p w14:paraId="0D47FD7E" w14:textId="384A37B5"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Kako bi se omogućila objedinjena usporedba rezultata empirijskog istraživanja te sagledala relativna važnost svih evaluiranih motiva i čimbenika po pojedinim fazama procesa spajanja i preuzimanja, u nastavku je prikazana sumarna tablica </w:t>
      </w:r>
      <w:r w:rsidR="00127A4E">
        <w:rPr>
          <w:rFonts w:ascii="Times New Roman" w:hAnsi="Times New Roman" w:cs="Times New Roman"/>
          <w:sz w:val="24"/>
          <w:szCs w:val="24"/>
        </w:rPr>
        <w:t xml:space="preserve">41 </w:t>
      </w:r>
      <w:r w:rsidRPr="00BE5472">
        <w:rPr>
          <w:rFonts w:ascii="Times New Roman" w:hAnsi="Times New Roman" w:cs="Times New Roman"/>
          <w:sz w:val="24"/>
          <w:szCs w:val="24"/>
        </w:rPr>
        <w:t>koja objedinjeno prikazuje aritmetičku sredinu i linearno ponderirani indeks suglasnosti za svaki ocijenjeni motiv i čimbenik.</w:t>
      </w:r>
    </w:p>
    <w:p w14:paraId="1DD493D5" w14:textId="3610364D"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127A4E">
        <w:rPr>
          <w:rFonts w:ascii="Times New Roman" w:hAnsi="Times New Roman" w:cs="Times New Roman"/>
          <w:sz w:val="24"/>
          <w:szCs w:val="24"/>
        </w:rPr>
        <w:t>41</w:t>
      </w:r>
      <w:r w:rsidRPr="00BE5472">
        <w:rPr>
          <w:rFonts w:ascii="Times New Roman" w:hAnsi="Times New Roman" w:cs="Times New Roman"/>
          <w:sz w:val="24"/>
          <w:szCs w:val="24"/>
        </w:rPr>
        <w:t xml:space="preserve"> prikazuje se linearno ponderiran indeks suglasnosti i aritmetička sredina za svaki čimbenik kojeg su evaluirali ispitanici poduzeća akvizitora u svim fazama procesa spajanja i preuzimanja u hrvatskom hotelijerstvu. </w:t>
      </w:r>
    </w:p>
    <w:p w14:paraId="7AE0C898" w14:textId="77777777" w:rsidR="0056710A" w:rsidRDefault="0056710A" w:rsidP="00120B4F">
      <w:pPr>
        <w:spacing w:line="360" w:lineRule="auto"/>
        <w:jc w:val="both"/>
        <w:rPr>
          <w:rFonts w:ascii="Times New Roman" w:hAnsi="Times New Roman" w:cs="Times New Roman"/>
          <w:sz w:val="24"/>
          <w:szCs w:val="24"/>
        </w:rPr>
        <w:sectPr w:rsidR="0056710A" w:rsidSect="00120B4F">
          <w:pgSz w:w="11909" w:h="16834" w:code="9"/>
          <w:pgMar w:top="1440" w:right="1440" w:bottom="1440" w:left="1440" w:header="720" w:footer="720" w:gutter="0"/>
          <w:cols w:space="720"/>
          <w:docGrid w:linePitch="360"/>
        </w:sectPr>
      </w:pPr>
    </w:p>
    <w:p w14:paraId="7F3809AC" w14:textId="5A37E094" w:rsidR="00120B4F" w:rsidRPr="00E1098E" w:rsidRDefault="00E1098E" w:rsidP="00E1098E">
      <w:pPr>
        <w:pStyle w:val="Caption"/>
        <w:rPr>
          <w:rFonts w:ascii="Times New Roman" w:hAnsi="Times New Roman" w:cs="Times New Roman"/>
          <w:sz w:val="24"/>
          <w:szCs w:val="24"/>
        </w:rPr>
      </w:pPr>
      <w:bookmarkStart w:id="197" w:name="_Toc241865235"/>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41</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Sumarni prikaz procjena ispitanika iz hotelskih poduzeća – aritmetička sredina i linearno ponderirani indeks suglasnosti po fazama procesa spajanja i preuzimanja</w:t>
      </w:r>
      <w:bookmarkEnd w:id="197"/>
    </w:p>
    <w:tbl>
      <w:tblPr>
        <w:tblStyle w:val="TableGrid"/>
        <w:tblW w:w="0" w:type="auto"/>
        <w:tblLook w:val="04A0" w:firstRow="1" w:lastRow="0" w:firstColumn="1" w:lastColumn="0" w:noHBand="0" w:noVBand="1"/>
      </w:tblPr>
      <w:tblGrid>
        <w:gridCol w:w="5348"/>
        <w:gridCol w:w="3035"/>
        <w:gridCol w:w="636"/>
      </w:tblGrid>
      <w:tr w:rsidR="00120B4F" w:rsidRPr="00BE5472" w14:paraId="789D8532" w14:textId="77777777" w:rsidTr="00A97F79">
        <w:tc>
          <w:tcPr>
            <w:tcW w:w="0" w:type="auto"/>
            <w:vAlign w:val="center"/>
            <w:hideMark/>
          </w:tcPr>
          <w:p w14:paraId="23D80DA3" w14:textId="77777777" w:rsidR="00120B4F" w:rsidRPr="00BE5472" w:rsidRDefault="00120B4F" w:rsidP="00A97F79">
            <w:pPr>
              <w:spacing w:line="360" w:lineRule="auto"/>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Motivi i čimbenici</w:t>
            </w:r>
          </w:p>
        </w:tc>
        <w:tc>
          <w:tcPr>
            <w:tcW w:w="0" w:type="auto"/>
            <w:vAlign w:val="center"/>
            <w:hideMark/>
          </w:tcPr>
          <w:p w14:paraId="328FED53" w14:textId="77777777" w:rsidR="00120B4F" w:rsidRPr="00BE5472" w:rsidRDefault="00120B4F" w:rsidP="00A97F79">
            <w:pPr>
              <w:spacing w:line="360" w:lineRule="auto"/>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Linearno ponderirani indeks suglasnosti</w:t>
            </w:r>
          </w:p>
        </w:tc>
        <w:tc>
          <w:tcPr>
            <w:tcW w:w="0" w:type="auto"/>
            <w:vAlign w:val="center"/>
            <w:hideMark/>
          </w:tcPr>
          <w:p w14:paraId="56904B17" w14:textId="77777777" w:rsidR="00120B4F" w:rsidRPr="00BE5472" w:rsidRDefault="00120B4F" w:rsidP="00A97F79">
            <w:pPr>
              <w:spacing w:line="360" w:lineRule="auto"/>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M</w:t>
            </w:r>
          </w:p>
        </w:tc>
      </w:tr>
      <w:tr w:rsidR="00120B4F" w:rsidRPr="00BE5472" w14:paraId="757D96C7" w14:textId="77777777" w:rsidTr="003C2F5B">
        <w:tc>
          <w:tcPr>
            <w:tcW w:w="0" w:type="auto"/>
            <w:hideMark/>
          </w:tcPr>
          <w:p w14:paraId="4E0BD92E"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b/>
                <w:bCs/>
                <w:sz w:val="24"/>
                <w:szCs w:val="24"/>
                <w:lang w:val="en-US"/>
              </w:rPr>
              <w:t>MOTIVI SPAJANJA I PREUZIMANJA</w:t>
            </w:r>
          </w:p>
        </w:tc>
        <w:tc>
          <w:tcPr>
            <w:tcW w:w="0" w:type="auto"/>
            <w:hideMark/>
          </w:tcPr>
          <w:p w14:paraId="3797AA07" w14:textId="77777777" w:rsidR="00120B4F" w:rsidRPr="00BE5472" w:rsidRDefault="00120B4F" w:rsidP="003C2F5B">
            <w:pPr>
              <w:spacing w:line="360" w:lineRule="auto"/>
              <w:jc w:val="both"/>
              <w:rPr>
                <w:rFonts w:ascii="Times New Roman" w:hAnsi="Times New Roman" w:cs="Times New Roman"/>
                <w:sz w:val="24"/>
                <w:szCs w:val="24"/>
                <w:lang w:val="en-US"/>
              </w:rPr>
            </w:pPr>
          </w:p>
        </w:tc>
        <w:tc>
          <w:tcPr>
            <w:tcW w:w="0" w:type="auto"/>
            <w:hideMark/>
          </w:tcPr>
          <w:p w14:paraId="5062B319" w14:textId="77777777" w:rsidR="00120B4F" w:rsidRPr="00BE5472" w:rsidRDefault="00120B4F" w:rsidP="003C2F5B">
            <w:pPr>
              <w:spacing w:line="360" w:lineRule="auto"/>
              <w:jc w:val="both"/>
              <w:rPr>
                <w:rFonts w:ascii="Times New Roman" w:hAnsi="Times New Roman" w:cs="Times New Roman"/>
                <w:sz w:val="24"/>
                <w:szCs w:val="24"/>
                <w:lang w:val="en-US"/>
              </w:rPr>
            </w:pPr>
          </w:p>
        </w:tc>
      </w:tr>
      <w:tr w:rsidR="00120B4F" w:rsidRPr="00BE5472" w14:paraId="02180F3A" w14:textId="77777777" w:rsidTr="00A97F79">
        <w:tc>
          <w:tcPr>
            <w:tcW w:w="0" w:type="auto"/>
            <w:hideMark/>
          </w:tcPr>
          <w:p w14:paraId="6E0E422E"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Povećanje tržišnog udjela poduzeća preuzimatelja</w:t>
            </w:r>
          </w:p>
        </w:tc>
        <w:tc>
          <w:tcPr>
            <w:tcW w:w="0" w:type="auto"/>
            <w:vAlign w:val="center"/>
            <w:hideMark/>
          </w:tcPr>
          <w:p w14:paraId="340DE28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0,80</w:t>
            </w:r>
          </w:p>
        </w:tc>
        <w:tc>
          <w:tcPr>
            <w:tcW w:w="0" w:type="auto"/>
            <w:vAlign w:val="center"/>
            <w:hideMark/>
          </w:tcPr>
          <w:p w14:paraId="13B7828D"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2D9D8F96" w14:textId="77777777" w:rsidTr="00A97F79">
        <w:tc>
          <w:tcPr>
            <w:tcW w:w="0" w:type="auto"/>
            <w:hideMark/>
          </w:tcPr>
          <w:p w14:paraId="700CD9CB"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Proširivanje tržišnih segmenata (baze kupaca) poduzeća preuzimatelja</w:t>
            </w:r>
          </w:p>
        </w:tc>
        <w:tc>
          <w:tcPr>
            <w:tcW w:w="0" w:type="auto"/>
            <w:vAlign w:val="center"/>
            <w:hideMark/>
          </w:tcPr>
          <w:p w14:paraId="380C23A8"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0" w:type="auto"/>
            <w:vAlign w:val="center"/>
            <w:hideMark/>
          </w:tcPr>
          <w:p w14:paraId="44C0A598"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3,50</w:t>
            </w:r>
          </w:p>
        </w:tc>
      </w:tr>
      <w:tr w:rsidR="00120B4F" w:rsidRPr="00BE5472" w14:paraId="1A60D2C5" w14:textId="77777777" w:rsidTr="00A97F79">
        <w:tc>
          <w:tcPr>
            <w:tcW w:w="0" w:type="auto"/>
            <w:hideMark/>
          </w:tcPr>
          <w:p w14:paraId="109A3F64"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Povećanje kapaciteta poduzeća preuzimatelja</w:t>
            </w:r>
          </w:p>
        </w:tc>
        <w:tc>
          <w:tcPr>
            <w:tcW w:w="0" w:type="auto"/>
            <w:vAlign w:val="center"/>
            <w:hideMark/>
          </w:tcPr>
          <w:p w14:paraId="087EA74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0" w:type="auto"/>
            <w:vAlign w:val="center"/>
            <w:hideMark/>
          </w:tcPr>
          <w:p w14:paraId="7DE3773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0C3648F0" w14:textId="77777777" w:rsidTr="00A97F79">
        <w:tc>
          <w:tcPr>
            <w:tcW w:w="0" w:type="auto"/>
            <w:hideMark/>
          </w:tcPr>
          <w:p w14:paraId="0F829122"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b/>
                <w:bCs/>
                <w:sz w:val="24"/>
                <w:szCs w:val="24"/>
                <w:lang w:val="en-US"/>
              </w:rPr>
              <w:t>ČIMBENICI PRIJE INTEGRACIJE</w:t>
            </w:r>
          </w:p>
        </w:tc>
        <w:tc>
          <w:tcPr>
            <w:tcW w:w="0" w:type="auto"/>
            <w:vAlign w:val="center"/>
            <w:hideMark/>
          </w:tcPr>
          <w:p w14:paraId="1F06765B" w14:textId="77777777" w:rsidR="00120B4F" w:rsidRPr="00BE5472" w:rsidRDefault="00120B4F" w:rsidP="00A97F79">
            <w:pPr>
              <w:spacing w:line="360" w:lineRule="auto"/>
              <w:jc w:val="center"/>
              <w:rPr>
                <w:rFonts w:ascii="Times New Roman" w:hAnsi="Times New Roman" w:cs="Times New Roman"/>
                <w:sz w:val="24"/>
                <w:szCs w:val="24"/>
                <w:lang w:val="en-US"/>
              </w:rPr>
            </w:pPr>
          </w:p>
        </w:tc>
        <w:tc>
          <w:tcPr>
            <w:tcW w:w="0" w:type="auto"/>
            <w:vAlign w:val="center"/>
            <w:hideMark/>
          </w:tcPr>
          <w:p w14:paraId="55F752F4" w14:textId="77777777" w:rsidR="00120B4F" w:rsidRPr="00BE5472" w:rsidRDefault="00120B4F" w:rsidP="00A97F79">
            <w:pPr>
              <w:spacing w:line="360" w:lineRule="auto"/>
              <w:jc w:val="center"/>
              <w:rPr>
                <w:rFonts w:ascii="Times New Roman" w:hAnsi="Times New Roman" w:cs="Times New Roman"/>
                <w:sz w:val="24"/>
                <w:szCs w:val="24"/>
                <w:lang w:val="en-US"/>
              </w:rPr>
            </w:pPr>
          </w:p>
        </w:tc>
      </w:tr>
      <w:tr w:rsidR="00120B4F" w:rsidRPr="00BE5472" w14:paraId="4E184FDA" w14:textId="77777777" w:rsidTr="00A97F79">
        <w:tc>
          <w:tcPr>
            <w:tcW w:w="0" w:type="auto"/>
            <w:hideMark/>
          </w:tcPr>
          <w:p w14:paraId="1998E10D"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Dobra procjena potencijalne operativne sinergije poduzeća mete</w:t>
            </w:r>
          </w:p>
        </w:tc>
        <w:tc>
          <w:tcPr>
            <w:tcW w:w="0" w:type="auto"/>
            <w:vAlign w:val="center"/>
            <w:hideMark/>
          </w:tcPr>
          <w:p w14:paraId="18FE7C9A"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0,82</w:t>
            </w:r>
          </w:p>
        </w:tc>
        <w:tc>
          <w:tcPr>
            <w:tcW w:w="0" w:type="auto"/>
            <w:vAlign w:val="center"/>
            <w:hideMark/>
          </w:tcPr>
          <w:p w14:paraId="75FEE15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3,92</w:t>
            </w:r>
          </w:p>
        </w:tc>
      </w:tr>
      <w:tr w:rsidR="00120B4F" w:rsidRPr="00BE5472" w14:paraId="773D9CA9" w14:textId="77777777" w:rsidTr="00A97F79">
        <w:tc>
          <w:tcPr>
            <w:tcW w:w="0" w:type="auto"/>
            <w:hideMark/>
          </w:tcPr>
          <w:p w14:paraId="15BC3856"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Imidž turističke destinacije u kojoj posluje poduzeće meta</w:t>
            </w:r>
          </w:p>
        </w:tc>
        <w:tc>
          <w:tcPr>
            <w:tcW w:w="0" w:type="auto"/>
            <w:vAlign w:val="center"/>
            <w:hideMark/>
          </w:tcPr>
          <w:p w14:paraId="70CA026C"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0,87</w:t>
            </w:r>
          </w:p>
        </w:tc>
        <w:tc>
          <w:tcPr>
            <w:tcW w:w="0" w:type="auto"/>
            <w:vAlign w:val="center"/>
            <w:hideMark/>
          </w:tcPr>
          <w:p w14:paraId="10CBD882"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4,42</w:t>
            </w:r>
          </w:p>
        </w:tc>
      </w:tr>
      <w:tr w:rsidR="00120B4F" w:rsidRPr="00BE5472" w14:paraId="600B1834" w14:textId="77777777" w:rsidTr="00A97F79">
        <w:tc>
          <w:tcPr>
            <w:tcW w:w="0" w:type="auto"/>
            <w:hideMark/>
          </w:tcPr>
          <w:p w14:paraId="11AFEA65"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Lokacija poduzeća mete</w:t>
            </w:r>
          </w:p>
        </w:tc>
        <w:tc>
          <w:tcPr>
            <w:tcW w:w="0" w:type="auto"/>
            <w:vAlign w:val="center"/>
            <w:hideMark/>
          </w:tcPr>
          <w:p w14:paraId="24BFE6D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0,88</w:t>
            </w:r>
          </w:p>
        </w:tc>
        <w:tc>
          <w:tcPr>
            <w:tcW w:w="0" w:type="auto"/>
            <w:vAlign w:val="center"/>
            <w:hideMark/>
          </w:tcPr>
          <w:p w14:paraId="710821F1"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4,75</w:t>
            </w:r>
          </w:p>
        </w:tc>
      </w:tr>
      <w:tr w:rsidR="00120B4F" w:rsidRPr="00BE5472" w14:paraId="73B882EB" w14:textId="77777777" w:rsidTr="00A97F79">
        <w:tc>
          <w:tcPr>
            <w:tcW w:w="0" w:type="auto"/>
            <w:hideMark/>
          </w:tcPr>
          <w:p w14:paraId="24AC7442"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Dubinsko snimanje poduzeća mete</w:t>
            </w:r>
          </w:p>
        </w:tc>
        <w:tc>
          <w:tcPr>
            <w:tcW w:w="0" w:type="auto"/>
            <w:vAlign w:val="center"/>
            <w:hideMark/>
          </w:tcPr>
          <w:p w14:paraId="06F4DB00"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0,78</w:t>
            </w:r>
          </w:p>
        </w:tc>
        <w:tc>
          <w:tcPr>
            <w:tcW w:w="0" w:type="auto"/>
            <w:vAlign w:val="center"/>
            <w:hideMark/>
          </w:tcPr>
          <w:p w14:paraId="7A824C5D"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634AA1E5" w14:textId="77777777" w:rsidTr="00A97F79">
        <w:tc>
          <w:tcPr>
            <w:tcW w:w="0" w:type="auto"/>
            <w:hideMark/>
          </w:tcPr>
          <w:p w14:paraId="08836A62"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Potreba kapitalnih izdataka kod poduzeća mete</w:t>
            </w:r>
          </w:p>
        </w:tc>
        <w:tc>
          <w:tcPr>
            <w:tcW w:w="0" w:type="auto"/>
            <w:vAlign w:val="center"/>
            <w:hideMark/>
          </w:tcPr>
          <w:p w14:paraId="3494F291"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0,76</w:t>
            </w:r>
          </w:p>
        </w:tc>
        <w:tc>
          <w:tcPr>
            <w:tcW w:w="0" w:type="auto"/>
            <w:vAlign w:val="center"/>
            <w:hideMark/>
          </w:tcPr>
          <w:p w14:paraId="512A6AA8"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4,25</w:t>
            </w:r>
          </w:p>
        </w:tc>
      </w:tr>
      <w:tr w:rsidR="00120B4F" w:rsidRPr="00BE5472" w14:paraId="4678C300" w14:textId="77777777" w:rsidTr="00A97F79">
        <w:tc>
          <w:tcPr>
            <w:tcW w:w="0" w:type="auto"/>
            <w:hideMark/>
          </w:tcPr>
          <w:p w14:paraId="4131B97D"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Jačanje marke i reputacije poduzeća preuzimatelja</w:t>
            </w:r>
          </w:p>
        </w:tc>
        <w:tc>
          <w:tcPr>
            <w:tcW w:w="0" w:type="auto"/>
            <w:vAlign w:val="center"/>
            <w:hideMark/>
          </w:tcPr>
          <w:p w14:paraId="2BA5CE72"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0,76</w:t>
            </w:r>
          </w:p>
        </w:tc>
        <w:tc>
          <w:tcPr>
            <w:tcW w:w="0" w:type="auto"/>
            <w:vAlign w:val="center"/>
            <w:hideMark/>
          </w:tcPr>
          <w:p w14:paraId="12EDC3AF"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3,75</w:t>
            </w:r>
          </w:p>
        </w:tc>
      </w:tr>
      <w:tr w:rsidR="00120B4F" w:rsidRPr="00BE5472" w14:paraId="2321D126" w14:textId="77777777" w:rsidTr="00A97F79">
        <w:tc>
          <w:tcPr>
            <w:tcW w:w="0" w:type="auto"/>
            <w:hideMark/>
          </w:tcPr>
          <w:p w14:paraId="21DDBA35"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Strateška povezanost između poduzeća preuzimatelja i poduzeća mete</w:t>
            </w:r>
          </w:p>
        </w:tc>
        <w:tc>
          <w:tcPr>
            <w:tcW w:w="0" w:type="auto"/>
            <w:vAlign w:val="center"/>
            <w:hideMark/>
          </w:tcPr>
          <w:p w14:paraId="523D499C"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0,85</w:t>
            </w:r>
          </w:p>
        </w:tc>
        <w:tc>
          <w:tcPr>
            <w:tcW w:w="0" w:type="auto"/>
            <w:vAlign w:val="center"/>
            <w:hideMark/>
          </w:tcPr>
          <w:p w14:paraId="143DD505"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4,00</w:t>
            </w:r>
          </w:p>
        </w:tc>
      </w:tr>
      <w:tr w:rsidR="00120B4F" w:rsidRPr="00BE5472" w14:paraId="0BD9776F" w14:textId="77777777" w:rsidTr="00A97F79">
        <w:tc>
          <w:tcPr>
            <w:tcW w:w="0" w:type="auto"/>
            <w:hideMark/>
          </w:tcPr>
          <w:p w14:paraId="63615859"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Sadašnja vrijednost očekivanih sinergija veća od plaćenih premija</w:t>
            </w:r>
          </w:p>
        </w:tc>
        <w:tc>
          <w:tcPr>
            <w:tcW w:w="0" w:type="auto"/>
            <w:vAlign w:val="center"/>
            <w:hideMark/>
          </w:tcPr>
          <w:p w14:paraId="28873B5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0,88</w:t>
            </w:r>
          </w:p>
        </w:tc>
        <w:tc>
          <w:tcPr>
            <w:tcW w:w="0" w:type="auto"/>
            <w:vAlign w:val="center"/>
            <w:hideMark/>
          </w:tcPr>
          <w:p w14:paraId="66FCD08C"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7545DC3B" w14:textId="77777777" w:rsidTr="00A97F79">
        <w:tc>
          <w:tcPr>
            <w:tcW w:w="0" w:type="auto"/>
            <w:hideMark/>
          </w:tcPr>
          <w:p w14:paraId="30C7985E"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Iznos akvizicijske premije</w:t>
            </w:r>
          </w:p>
        </w:tc>
        <w:tc>
          <w:tcPr>
            <w:tcW w:w="0" w:type="auto"/>
            <w:vAlign w:val="center"/>
            <w:hideMark/>
          </w:tcPr>
          <w:p w14:paraId="742D2D14"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0,77</w:t>
            </w:r>
          </w:p>
        </w:tc>
        <w:tc>
          <w:tcPr>
            <w:tcW w:w="0" w:type="auto"/>
            <w:vAlign w:val="center"/>
            <w:hideMark/>
          </w:tcPr>
          <w:p w14:paraId="04275DC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327C0D20" w14:textId="77777777" w:rsidTr="00A97F79">
        <w:tc>
          <w:tcPr>
            <w:tcW w:w="0" w:type="auto"/>
            <w:hideMark/>
          </w:tcPr>
          <w:p w14:paraId="141EB913"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Potencijalna upravljačka sinergija (prijenos upravljačkog znanja)</w:t>
            </w:r>
          </w:p>
        </w:tc>
        <w:tc>
          <w:tcPr>
            <w:tcW w:w="0" w:type="auto"/>
            <w:vAlign w:val="center"/>
            <w:hideMark/>
          </w:tcPr>
          <w:p w14:paraId="79AEC845"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0,87</w:t>
            </w:r>
          </w:p>
        </w:tc>
        <w:tc>
          <w:tcPr>
            <w:tcW w:w="0" w:type="auto"/>
            <w:vAlign w:val="center"/>
            <w:hideMark/>
          </w:tcPr>
          <w:p w14:paraId="4145EC0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4,58</w:t>
            </w:r>
          </w:p>
        </w:tc>
      </w:tr>
      <w:tr w:rsidR="00120B4F" w:rsidRPr="00BE5472" w14:paraId="171E77AB" w14:textId="77777777" w:rsidTr="00A97F79">
        <w:tc>
          <w:tcPr>
            <w:tcW w:w="0" w:type="auto"/>
            <w:hideMark/>
          </w:tcPr>
          <w:p w14:paraId="5C105CE4"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Cijena ponude temeljena na konkurentnom položaju poduzeća mete</w:t>
            </w:r>
          </w:p>
        </w:tc>
        <w:tc>
          <w:tcPr>
            <w:tcW w:w="0" w:type="auto"/>
            <w:vAlign w:val="center"/>
            <w:hideMark/>
          </w:tcPr>
          <w:p w14:paraId="7AC86F9D"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0,69</w:t>
            </w:r>
          </w:p>
        </w:tc>
        <w:tc>
          <w:tcPr>
            <w:tcW w:w="0" w:type="auto"/>
            <w:vAlign w:val="center"/>
            <w:hideMark/>
          </w:tcPr>
          <w:p w14:paraId="766EE39A"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3,92</w:t>
            </w:r>
          </w:p>
        </w:tc>
      </w:tr>
      <w:tr w:rsidR="00120B4F" w:rsidRPr="00BE5472" w14:paraId="19F1C6FD" w14:textId="77777777" w:rsidTr="00A97F79">
        <w:tc>
          <w:tcPr>
            <w:tcW w:w="0" w:type="auto"/>
            <w:hideMark/>
          </w:tcPr>
          <w:p w14:paraId="06E1A42E"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b/>
                <w:bCs/>
                <w:sz w:val="24"/>
                <w:szCs w:val="24"/>
                <w:lang w:val="en-US"/>
              </w:rPr>
              <w:t>ČIMBENICI U FAZI INTEGRACIJE</w:t>
            </w:r>
          </w:p>
        </w:tc>
        <w:tc>
          <w:tcPr>
            <w:tcW w:w="0" w:type="auto"/>
            <w:vAlign w:val="center"/>
            <w:hideMark/>
          </w:tcPr>
          <w:p w14:paraId="19643003" w14:textId="77777777" w:rsidR="00120B4F" w:rsidRPr="00BE5472" w:rsidRDefault="00120B4F" w:rsidP="00A97F79">
            <w:pPr>
              <w:spacing w:line="360" w:lineRule="auto"/>
              <w:jc w:val="center"/>
              <w:rPr>
                <w:rFonts w:ascii="Times New Roman" w:hAnsi="Times New Roman" w:cs="Times New Roman"/>
                <w:sz w:val="24"/>
                <w:szCs w:val="24"/>
                <w:lang w:val="en-US"/>
              </w:rPr>
            </w:pPr>
          </w:p>
        </w:tc>
        <w:tc>
          <w:tcPr>
            <w:tcW w:w="0" w:type="auto"/>
            <w:vAlign w:val="center"/>
            <w:hideMark/>
          </w:tcPr>
          <w:p w14:paraId="33929884" w14:textId="77777777" w:rsidR="00120B4F" w:rsidRPr="00BE5472" w:rsidRDefault="00120B4F" w:rsidP="00A97F79">
            <w:pPr>
              <w:spacing w:line="360" w:lineRule="auto"/>
              <w:jc w:val="center"/>
              <w:rPr>
                <w:rFonts w:ascii="Times New Roman" w:hAnsi="Times New Roman" w:cs="Times New Roman"/>
                <w:sz w:val="24"/>
                <w:szCs w:val="24"/>
                <w:lang w:val="en-US"/>
              </w:rPr>
            </w:pPr>
          </w:p>
        </w:tc>
      </w:tr>
      <w:tr w:rsidR="00120B4F" w:rsidRPr="00BE5472" w14:paraId="449A608D" w14:textId="77777777" w:rsidTr="00A97F79">
        <w:tc>
          <w:tcPr>
            <w:tcW w:w="0" w:type="auto"/>
            <w:hideMark/>
          </w:tcPr>
          <w:p w14:paraId="6B6B92E0"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Definiranje nove strategije</w:t>
            </w:r>
          </w:p>
        </w:tc>
        <w:tc>
          <w:tcPr>
            <w:tcW w:w="0" w:type="auto"/>
            <w:vAlign w:val="center"/>
            <w:hideMark/>
          </w:tcPr>
          <w:p w14:paraId="18EE99B5"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0,80</w:t>
            </w:r>
          </w:p>
        </w:tc>
        <w:tc>
          <w:tcPr>
            <w:tcW w:w="0" w:type="auto"/>
            <w:vAlign w:val="center"/>
            <w:hideMark/>
          </w:tcPr>
          <w:p w14:paraId="148B71D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49323BBA" w14:textId="77777777" w:rsidTr="00A97F79">
        <w:tc>
          <w:tcPr>
            <w:tcW w:w="0" w:type="auto"/>
            <w:hideMark/>
          </w:tcPr>
          <w:p w14:paraId="7176E433"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Detektiranje i zadržavanje ključnih zaposlenika i menadžera</w:t>
            </w:r>
          </w:p>
        </w:tc>
        <w:tc>
          <w:tcPr>
            <w:tcW w:w="0" w:type="auto"/>
            <w:vAlign w:val="center"/>
            <w:hideMark/>
          </w:tcPr>
          <w:p w14:paraId="791D76B4"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0,79</w:t>
            </w:r>
          </w:p>
        </w:tc>
        <w:tc>
          <w:tcPr>
            <w:tcW w:w="0" w:type="auto"/>
            <w:vAlign w:val="center"/>
            <w:hideMark/>
          </w:tcPr>
          <w:p w14:paraId="7A5FD318"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4,42</w:t>
            </w:r>
          </w:p>
        </w:tc>
      </w:tr>
      <w:tr w:rsidR="00120B4F" w:rsidRPr="00BE5472" w14:paraId="3DAFA5E9" w14:textId="77777777" w:rsidTr="00A97F79">
        <w:tc>
          <w:tcPr>
            <w:tcW w:w="0" w:type="auto"/>
            <w:hideMark/>
          </w:tcPr>
          <w:p w14:paraId="272A19BA"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Osiguranje resursa potrebnih za integraciju</w:t>
            </w:r>
          </w:p>
        </w:tc>
        <w:tc>
          <w:tcPr>
            <w:tcW w:w="0" w:type="auto"/>
            <w:vAlign w:val="center"/>
            <w:hideMark/>
          </w:tcPr>
          <w:p w14:paraId="1529AF2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0,83</w:t>
            </w:r>
          </w:p>
        </w:tc>
        <w:tc>
          <w:tcPr>
            <w:tcW w:w="0" w:type="auto"/>
            <w:vAlign w:val="center"/>
            <w:hideMark/>
          </w:tcPr>
          <w:p w14:paraId="7B31B9BE"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4,33</w:t>
            </w:r>
          </w:p>
        </w:tc>
      </w:tr>
      <w:tr w:rsidR="00120B4F" w:rsidRPr="00BE5472" w14:paraId="205D8018" w14:textId="77777777" w:rsidTr="00A97F79">
        <w:tc>
          <w:tcPr>
            <w:tcW w:w="0" w:type="auto"/>
            <w:hideMark/>
          </w:tcPr>
          <w:p w14:paraId="167CA71A"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Brza integracija radi ostvarivanja zacrtanog plana</w:t>
            </w:r>
          </w:p>
        </w:tc>
        <w:tc>
          <w:tcPr>
            <w:tcW w:w="0" w:type="auto"/>
            <w:vAlign w:val="center"/>
            <w:hideMark/>
          </w:tcPr>
          <w:p w14:paraId="4723408D"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0,73</w:t>
            </w:r>
          </w:p>
        </w:tc>
        <w:tc>
          <w:tcPr>
            <w:tcW w:w="0" w:type="auto"/>
            <w:vAlign w:val="center"/>
            <w:hideMark/>
          </w:tcPr>
          <w:p w14:paraId="2E702C3A"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7C6AA357" w14:textId="77777777" w:rsidTr="00A97F79">
        <w:tc>
          <w:tcPr>
            <w:tcW w:w="0" w:type="auto"/>
            <w:hideMark/>
          </w:tcPr>
          <w:p w14:paraId="3E07D616"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Odlučan i pravedan odnos prema zaposlenicima</w:t>
            </w:r>
          </w:p>
        </w:tc>
        <w:tc>
          <w:tcPr>
            <w:tcW w:w="0" w:type="auto"/>
            <w:vAlign w:val="center"/>
            <w:hideMark/>
          </w:tcPr>
          <w:p w14:paraId="4DACDAC4"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0,88</w:t>
            </w:r>
          </w:p>
        </w:tc>
        <w:tc>
          <w:tcPr>
            <w:tcW w:w="0" w:type="auto"/>
            <w:vAlign w:val="center"/>
            <w:hideMark/>
          </w:tcPr>
          <w:p w14:paraId="7B5163B2"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15F2EF40" w14:textId="77777777" w:rsidTr="00A97F79">
        <w:tc>
          <w:tcPr>
            <w:tcW w:w="0" w:type="auto"/>
            <w:hideMark/>
          </w:tcPr>
          <w:p w14:paraId="22092E3A"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Uspostavljanje unutarnjih mehanizama prijenosa kompetencija</w:t>
            </w:r>
          </w:p>
        </w:tc>
        <w:tc>
          <w:tcPr>
            <w:tcW w:w="0" w:type="auto"/>
            <w:vAlign w:val="center"/>
            <w:hideMark/>
          </w:tcPr>
          <w:p w14:paraId="553F3705"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0,92</w:t>
            </w:r>
          </w:p>
        </w:tc>
        <w:tc>
          <w:tcPr>
            <w:tcW w:w="0" w:type="auto"/>
            <w:vAlign w:val="center"/>
            <w:hideMark/>
          </w:tcPr>
          <w:p w14:paraId="752E8D62"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4,83</w:t>
            </w:r>
          </w:p>
        </w:tc>
      </w:tr>
      <w:tr w:rsidR="00120B4F" w:rsidRPr="00BE5472" w14:paraId="5563EAD0" w14:textId="77777777" w:rsidTr="00A97F79">
        <w:tc>
          <w:tcPr>
            <w:tcW w:w="0" w:type="auto"/>
            <w:hideMark/>
          </w:tcPr>
          <w:p w14:paraId="23D12D76"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Identificiranje prilika za poboljšanje konkurentske pozicije</w:t>
            </w:r>
          </w:p>
        </w:tc>
        <w:tc>
          <w:tcPr>
            <w:tcW w:w="0" w:type="auto"/>
            <w:vAlign w:val="center"/>
            <w:hideMark/>
          </w:tcPr>
          <w:p w14:paraId="2AC9DF16"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0,86</w:t>
            </w:r>
          </w:p>
        </w:tc>
        <w:tc>
          <w:tcPr>
            <w:tcW w:w="0" w:type="auto"/>
            <w:vAlign w:val="center"/>
            <w:hideMark/>
          </w:tcPr>
          <w:p w14:paraId="1D8012F4"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0C1FDD85" w14:textId="77777777" w:rsidTr="00A97F79">
        <w:tc>
          <w:tcPr>
            <w:tcW w:w="0" w:type="auto"/>
            <w:hideMark/>
          </w:tcPr>
          <w:p w14:paraId="75341509" w14:textId="77777777" w:rsidR="00120B4F" w:rsidRPr="00BE5472" w:rsidRDefault="00120B4F" w:rsidP="003C2F5B">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Postavljanje nove upravljačke strukture u poduzeću meti</w:t>
            </w:r>
          </w:p>
        </w:tc>
        <w:tc>
          <w:tcPr>
            <w:tcW w:w="0" w:type="auto"/>
            <w:vAlign w:val="center"/>
            <w:hideMark/>
          </w:tcPr>
          <w:p w14:paraId="6A17F48D"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0,88</w:t>
            </w:r>
          </w:p>
        </w:tc>
        <w:tc>
          <w:tcPr>
            <w:tcW w:w="0" w:type="auto"/>
            <w:vAlign w:val="center"/>
            <w:hideMark/>
          </w:tcPr>
          <w:p w14:paraId="340DAFD9"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4,67</w:t>
            </w:r>
          </w:p>
        </w:tc>
      </w:tr>
      <w:tr w:rsidR="00120B4F" w:rsidRPr="00BE5472" w14:paraId="152281DD" w14:textId="77777777" w:rsidTr="00A97F79">
        <w:tc>
          <w:tcPr>
            <w:tcW w:w="0" w:type="auto"/>
            <w:hideMark/>
          </w:tcPr>
          <w:p w14:paraId="3D81E7F2" w14:textId="77777777" w:rsidR="00120B4F" w:rsidRPr="00BE5472" w:rsidRDefault="00120B4F" w:rsidP="003C2F5B">
            <w:pPr>
              <w:spacing w:line="360" w:lineRule="auto"/>
              <w:jc w:val="both"/>
              <w:rPr>
                <w:rFonts w:ascii="Times New Roman" w:hAnsi="Times New Roman" w:cs="Times New Roman"/>
                <w:sz w:val="24"/>
                <w:szCs w:val="24"/>
                <w:lang w:val="it-IT"/>
              </w:rPr>
            </w:pPr>
            <w:r w:rsidRPr="00BE5472">
              <w:rPr>
                <w:rFonts w:ascii="Times New Roman" w:hAnsi="Times New Roman" w:cs="Times New Roman"/>
                <w:b/>
                <w:bCs/>
                <w:sz w:val="24"/>
                <w:szCs w:val="24"/>
                <w:lang w:val="it-IT"/>
              </w:rPr>
              <w:t>ČIMBENICI NAKON INTEGRACIJE (POSTAKVIZICIJSKA FAZA)</w:t>
            </w:r>
          </w:p>
        </w:tc>
        <w:tc>
          <w:tcPr>
            <w:tcW w:w="0" w:type="auto"/>
            <w:vAlign w:val="center"/>
            <w:hideMark/>
          </w:tcPr>
          <w:p w14:paraId="3BAC0455" w14:textId="77777777" w:rsidR="00120B4F" w:rsidRPr="00BE5472" w:rsidRDefault="00120B4F" w:rsidP="00A97F79">
            <w:pPr>
              <w:spacing w:line="360" w:lineRule="auto"/>
              <w:jc w:val="center"/>
              <w:rPr>
                <w:rFonts w:ascii="Times New Roman" w:hAnsi="Times New Roman" w:cs="Times New Roman"/>
                <w:sz w:val="24"/>
                <w:szCs w:val="24"/>
                <w:lang w:val="it-IT"/>
              </w:rPr>
            </w:pPr>
          </w:p>
        </w:tc>
        <w:tc>
          <w:tcPr>
            <w:tcW w:w="0" w:type="auto"/>
            <w:vAlign w:val="center"/>
            <w:hideMark/>
          </w:tcPr>
          <w:p w14:paraId="512F0D6A" w14:textId="77777777" w:rsidR="00120B4F" w:rsidRPr="00BE5472" w:rsidRDefault="00120B4F" w:rsidP="00A97F79">
            <w:pPr>
              <w:spacing w:line="360" w:lineRule="auto"/>
              <w:jc w:val="center"/>
              <w:rPr>
                <w:rFonts w:ascii="Times New Roman" w:hAnsi="Times New Roman" w:cs="Times New Roman"/>
                <w:sz w:val="24"/>
                <w:szCs w:val="24"/>
                <w:lang w:val="it-IT"/>
              </w:rPr>
            </w:pPr>
          </w:p>
        </w:tc>
      </w:tr>
      <w:tr w:rsidR="00120B4F" w:rsidRPr="00BE5472" w14:paraId="413969FB" w14:textId="77777777" w:rsidTr="00A97F79">
        <w:tc>
          <w:tcPr>
            <w:tcW w:w="0" w:type="auto"/>
            <w:hideMark/>
          </w:tcPr>
          <w:p w14:paraId="67DCB368"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Novčani tijek iz operacija</w:t>
            </w:r>
          </w:p>
        </w:tc>
        <w:tc>
          <w:tcPr>
            <w:tcW w:w="0" w:type="auto"/>
            <w:vAlign w:val="center"/>
            <w:hideMark/>
          </w:tcPr>
          <w:p w14:paraId="18DB787F"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0,74</w:t>
            </w:r>
          </w:p>
        </w:tc>
        <w:tc>
          <w:tcPr>
            <w:tcW w:w="0" w:type="auto"/>
            <w:vAlign w:val="center"/>
            <w:hideMark/>
          </w:tcPr>
          <w:p w14:paraId="36AA6034"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4,25</w:t>
            </w:r>
          </w:p>
        </w:tc>
      </w:tr>
      <w:tr w:rsidR="00120B4F" w:rsidRPr="00BE5472" w14:paraId="434491A2" w14:textId="77777777" w:rsidTr="00A97F79">
        <w:tc>
          <w:tcPr>
            <w:tcW w:w="0" w:type="auto"/>
            <w:hideMark/>
          </w:tcPr>
          <w:p w14:paraId="52A399C6"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Uobičajeni hotelski pokazatelji uspješnosti</w:t>
            </w:r>
          </w:p>
        </w:tc>
        <w:tc>
          <w:tcPr>
            <w:tcW w:w="0" w:type="auto"/>
            <w:vAlign w:val="center"/>
            <w:hideMark/>
          </w:tcPr>
          <w:p w14:paraId="694F27BB"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0,75</w:t>
            </w:r>
          </w:p>
        </w:tc>
        <w:tc>
          <w:tcPr>
            <w:tcW w:w="0" w:type="auto"/>
            <w:vAlign w:val="center"/>
            <w:hideMark/>
          </w:tcPr>
          <w:p w14:paraId="1CB412DE"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4,17</w:t>
            </w:r>
          </w:p>
        </w:tc>
      </w:tr>
      <w:tr w:rsidR="00120B4F" w:rsidRPr="00BE5472" w14:paraId="4BAB9034" w14:textId="77777777" w:rsidTr="00A97F79">
        <w:tc>
          <w:tcPr>
            <w:tcW w:w="0" w:type="auto"/>
            <w:hideMark/>
          </w:tcPr>
          <w:p w14:paraId="3893DC87"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Promjena kretanja cijene dionica</w:t>
            </w:r>
          </w:p>
        </w:tc>
        <w:tc>
          <w:tcPr>
            <w:tcW w:w="0" w:type="auto"/>
            <w:vAlign w:val="center"/>
            <w:hideMark/>
          </w:tcPr>
          <w:p w14:paraId="1B7FF75E"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0,72</w:t>
            </w:r>
          </w:p>
        </w:tc>
        <w:tc>
          <w:tcPr>
            <w:tcW w:w="0" w:type="auto"/>
            <w:vAlign w:val="center"/>
            <w:hideMark/>
          </w:tcPr>
          <w:p w14:paraId="1741A033"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3,67</w:t>
            </w:r>
          </w:p>
        </w:tc>
      </w:tr>
      <w:tr w:rsidR="00120B4F" w:rsidRPr="00BE5472" w14:paraId="5A296AB3" w14:textId="77777777" w:rsidTr="00A97F79">
        <w:tc>
          <w:tcPr>
            <w:tcW w:w="0" w:type="auto"/>
            <w:hideMark/>
          </w:tcPr>
          <w:p w14:paraId="0FC80644"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Prihvaćanje nove organizacijske strukture</w:t>
            </w:r>
          </w:p>
        </w:tc>
        <w:tc>
          <w:tcPr>
            <w:tcW w:w="0" w:type="auto"/>
            <w:vAlign w:val="center"/>
            <w:hideMark/>
          </w:tcPr>
          <w:p w14:paraId="07A51D59"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0,87</w:t>
            </w:r>
          </w:p>
        </w:tc>
        <w:tc>
          <w:tcPr>
            <w:tcW w:w="0" w:type="auto"/>
            <w:vAlign w:val="center"/>
            <w:hideMark/>
          </w:tcPr>
          <w:p w14:paraId="64638D1C" w14:textId="77777777" w:rsidR="00120B4F" w:rsidRPr="00BE5472" w:rsidRDefault="00120B4F" w:rsidP="00A97F79">
            <w:pPr>
              <w:spacing w:line="360" w:lineRule="auto"/>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4,58</w:t>
            </w:r>
          </w:p>
        </w:tc>
      </w:tr>
      <w:tr w:rsidR="00120B4F" w:rsidRPr="00BE5472" w14:paraId="46B11CC1" w14:textId="77777777" w:rsidTr="003C2F5B">
        <w:tc>
          <w:tcPr>
            <w:tcW w:w="0" w:type="auto"/>
          </w:tcPr>
          <w:p w14:paraId="01EF34B7" w14:textId="77777777" w:rsidR="00120B4F" w:rsidRPr="00BE5472" w:rsidRDefault="00120B4F" w:rsidP="003C2F5B">
            <w:pPr>
              <w:spacing w:line="360" w:lineRule="auto"/>
              <w:jc w:val="both"/>
              <w:rPr>
                <w:rFonts w:ascii="Times New Roman" w:hAnsi="Times New Roman" w:cs="Times New Roman"/>
                <w:sz w:val="24"/>
                <w:szCs w:val="24"/>
                <w:lang w:val="en-US"/>
              </w:rPr>
            </w:pPr>
          </w:p>
        </w:tc>
        <w:tc>
          <w:tcPr>
            <w:tcW w:w="0" w:type="auto"/>
            <w:shd w:val="clear" w:color="auto" w:fill="70AD47" w:themeFill="accent6"/>
          </w:tcPr>
          <w:p w14:paraId="50C6023B" w14:textId="77777777" w:rsidR="00120B4F" w:rsidRPr="00BE5472" w:rsidRDefault="00120B4F" w:rsidP="003C2F5B">
            <w:pPr>
              <w:spacing w:line="360" w:lineRule="auto"/>
              <w:jc w:val="both"/>
              <w:rPr>
                <w:rFonts w:ascii="Times New Roman" w:hAnsi="Times New Roman" w:cs="Times New Roman"/>
                <w:sz w:val="24"/>
                <w:szCs w:val="24"/>
                <w:lang w:val="en-US"/>
              </w:rPr>
            </w:pPr>
            <w:r w:rsidRPr="00BE5472">
              <w:rPr>
                <w:rFonts w:ascii="Times New Roman" w:hAnsi="Times New Roman" w:cs="Times New Roman"/>
                <w:sz w:val="24"/>
                <w:szCs w:val="24"/>
                <w:lang w:val="en-US"/>
              </w:rPr>
              <w:t>0,81</w:t>
            </w:r>
          </w:p>
        </w:tc>
        <w:tc>
          <w:tcPr>
            <w:tcW w:w="0" w:type="auto"/>
          </w:tcPr>
          <w:p w14:paraId="575082A7" w14:textId="77777777" w:rsidR="00120B4F" w:rsidRPr="00BE5472" w:rsidRDefault="00120B4F" w:rsidP="003C2F5B">
            <w:pPr>
              <w:spacing w:line="360" w:lineRule="auto"/>
              <w:jc w:val="both"/>
              <w:rPr>
                <w:rFonts w:ascii="Times New Roman" w:hAnsi="Times New Roman" w:cs="Times New Roman"/>
                <w:sz w:val="24"/>
                <w:szCs w:val="24"/>
                <w:lang w:val="en-US"/>
              </w:rPr>
            </w:pPr>
          </w:p>
        </w:tc>
      </w:tr>
    </w:tbl>
    <w:p w14:paraId="13A8FB06" w14:textId="391A45D6" w:rsidR="00120B4F" w:rsidRPr="00BE5472" w:rsidRDefault="0056710A" w:rsidP="00120B4F">
      <w:pPr>
        <w:spacing w:line="360" w:lineRule="auto"/>
        <w:jc w:val="both"/>
        <w:rPr>
          <w:rFonts w:ascii="Times New Roman" w:hAnsi="Times New Roman" w:cs="Times New Roman"/>
          <w:sz w:val="24"/>
          <w:szCs w:val="24"/>
        </w:rPr>
      </w:pPr>
      <w:r>
        <w:rPr>
          <w:rFonts w:ascii="Times New Roman" w:hAnsi="Times New Roman" w:cs="Times New Roman"/>
          <w:sz w:val="24"/>
          <w:szCs w:val="24"/>
        </w:rPr>
        <w:t>Izvor: obrada autora</w:t>
      </w:r>
    </w:p>
    <w:p w14:paraId="54B2BFAA" w14:textId="752E75E1"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b/>
          <w:bCs/>
          <w:sz w:val="24"/>
          <w:szCs w:val="24"/>
        </w:rPr>
        <w:t>Zajednički linearno ponderirani indeks suglasnosti iznosi 0,81</w:t>
      </w:r>
      <w:r w:rsidRPr="00BE5472">
        <w:rPr>
          <w:rFonts w:ascii="Times New Roman" w:hAnsi="Times New Roman" w:cs="Times New Roman"/>
          <w:sz w:val="24"/>
          <w:szCs w:val="24"/>
        </w:rPr>
        <w:t xml:space="preserve">, što upućuje na općenito </w:t>
      </w:r>
      <w:r w:rsidRPr="00BE5472">
        <w:rPr>
          <w:rFonts w:ascii="Times New Roman" w:hAnsi="Times New Roman" w:cs="Times New Roman"/>
          <w:b/>
          <w:bCs/>
          <w:sz w:val="24"/>
          <w:szCs w:val="24"/>
        </w:rPr>
        <w:t>visoku razinu suglasnosti</w:t>
      </w:r>
      <w:r w:rsidRPr="00BE5472">
        <w:rPr>
          <w:rFonts w:ascii="Times New Roman" w:hAnsi="Times New Roman" w:cs="Times New Roman"/>
          <w:sz w:val="24"/>
          <w:szCs w:val="24"/>
        </w:rPr>
        <w:t xml:space="preserve"> među ispitanicima u procjeni motiva i čimbenika kroz sve faze procesa spajanja i preuzimanja.</w:t>
      </w:r>
    </w:p>
    <w:p w14:paraId="126D3187" w14:textId="47384FE3" w:rsidR="008B68E2" w:rsidRDefault="008B68E2" w:rsidP="00120B4F">
      <w:pPr>
        <w:spacing w:line="360" w:lineRule="auto"/>
        <w:jc w:val="both"/>
        <w:rPr>
          <w:rFonts w:ascii="Times New Roman" w:hAnsi="Times New Roman" w:cs="Times New Roman"/>
          <w:sz w:val="24"/>
          <w:szCs w:val="24"/>
        </w:rPr>
      </w:pPr>
      <w:r w:rsidRPr="008B68E2">
        <w:rPr>
          <w:rFonts w:ascii="Times New Roman" w:hAnsi="Times New Roman" w:cs="Times New Roman"/>
          <w:sz w:val="24"/>
          <w:szCs w:val="24"/>
        </w:rPr>
        <w:t xml:space="preserve">Radi preglednijeg prikaza rezultata, u </w:t>
      </w:r>
      <w:r w:rsidR="00127A4E">
        <w:rPr>
          <w:rFonts w:ascii="Times New Roman" w:hAnsi="Times New Roman" w:cs="Times New Roman"/>
          <w:sz w:val="24"/>
          <w:szCs w:val="24"/>
        </w:rPr>
        <w:t>Tablici</w:t>
      </w:r>
      <w:r w:rsidRPr="008B68E2">
        <w:rPr>
          <w:rFonts w:ascii="Times New Roman" w:hAnsi="Times New Roman" w:cs="Times New Roman"/>
          <w:sz w:val="24"/>
          <w:szCs w:val="24"/>
        </w:rPr>
        <w:t xml:space="preserve"> 38 prikazana je hijerarhija motiva spajanja i preuzimanja prema prosječnoj ocjeni njihove važnosti od strane ispitanika iz hotelskih poduzeća.</w:t>
      </w:r>
    </w:p>
    <w:p w14:paraId="75A3E96E" w14:textId="77777777" w:rsidR="008B68E2" w:rsidRPr="00BE5472" w:rsidRDefault="008B68E2" w:rsidP="00120B4F">
      <w:pPr>
        <w:spacing w:line="360" w:lineRule="auto"/>
        <w:jc w:val="both"/>
        <w:rPr>
          <w:rFonts w:ascii="Times New Roman" w:hAnsi="Times New Roman" w:cs="Times New Roman"/>
          <w:sz w:val="24"/>
          <w:szCs w:val="24"/>
        </w:rPr>
      </w:pPr>
    </w:p>
    <w:p w14:paraId="686FB638"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Nakon prikaza rezultata ekspertne procjene provedene u okviru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te empirijske evaluacije motiva i čimbenika od strane ispitanika iz hotelskih poduzeća, u nastavku se daje usporedni prikaz ovih dvaju skupova rezultata. Cilj ove usporedbe jest sagledati u kojoj mjeri se percepcije stručnjaka i menadžera uključenih u stvarne procese spajanja i preuzimanja podudaraju, odnosno u kojim segmentima dolazi do razlika u procjeni važnosti pojedinih motiva i čimbenika uspjeha.</w:t>
      </w:r>
    </w:p>
    <w:p w14:paraId="20AE7DE7" w14:textId="77777777" w:rsidR="00120B4F" w:rsidRPr="00BE5472" w:rsidRDefault="00120B4F" w:rsidP="00120B4F">
      <w:pPr>
        <w:jc w:val="both"/>
        <w:rPr>
          <w:rFonts w:ascii="Times New Roman" w:hAnsi="Times New Roman" w:cs="Times New Roman"/>
          <w:sz w:val="24"/>
          <w:szCs w:val="24"/>
        </w:rPr>
      </w:pPr>
    </w:p>
    <w:p w14:paraId="6120CE8C" w14:textId="77777777" w:rsidR="00120B4F" w:rsidRDefault="00120B4F" w:rsidP="00A97F79">
      <w:pPr>
        <w:pStyle w:val="Heading3"/>
        <w:rPr>
          <w:rFonts w:ascii="Times New Roman" w:hAnsi="Times New Roman" w:cs="Times New Roman"/>
        </w:rPr>
      </w:pPr>
      <w:bookmarkStart w:id="198" w:name="_Toc241865173"/>
      <w:r w:rsidRPr="00BE5472">
        <w:rPr>
          <w:rFonts w:ascii="Times New Roman" w:hAnsi="Times New Roman" w:cs="Times New Roman"/>
        </w:rPr>
        <w:t>5.2.3. Usporedba ekspertne i menadžerske procjene ključnih motiva i čimbenika uspjeha procesa spajanja i preuzimanja</w:t>
      </w:r>
      <w:bookmarkEnd w:id="198"/>
    </w:p>
    <w:p w14:paraId="4032D41F" w14:textId="77777777" w:rsidR="00755ED3" w:rsidRPr="00755ED3" w:rsidRDefault="00755ED3" w:rsidP="00755ED3"/>
    <w:p w14:paraId="2C7BBBC4" w14:textId="60E0D4E2"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Nakon prikaza rezultata ekspertne procjene provedene u okviru dru</w:t>
      </w:r>
      <w:r w:rsidR="007D0E77" w:rsidRPr="00BE5472">
        <w:rPr>
          <w:rFonts w:ascii="Times New Roman" w:hAnsi="Times New Roman" w:cs="Times New Roman"/>
          <w:sz w:val="24"/>
          <w:szCs w:val="24"/>
        </w:rPr>
        <w:t>gog ciklusa</w:t>
      </w:r>
      <w:r w:rsidRPr="00BE5472">
        <w:rPr>
          <w:rFonts w:ascii="Times New Roman" w:hAnsi="Times New Roman" w:cs="Times New Roman"/>
          <w:sz w:val="24"/>
          <w:szCs w:val="24"/>
        </w:rPr>
        <w:t xml:space="preserve"> </w:t>
      </w:r>
      <w:r w:rsidRPr="00BE5472">
        <w:rPr>
          <w:rFonts w:ascii="Times New Roman" w:hAnsi="Times New Roman" w:cs="Times New Roman"/>
          <w:i/>
          <w:iCs/>
          <w:sz w:val="24"/>
          <w:szCs w:val="24"/>
        </w:rPr>
        <w:t>Delphi</w:t>
      </w:r>
      <w:r w:rsidRPr="00BE5472">
        <w:rPr>
          <w:rFonts w:ascii="Times New Roman" w:hAnsi="Times New Roman" w:cs="Times New Roman"/>
          <w:sz w:val="24"/>
          <w:szCs w:val="24"/>
        </w:rPr>
        <w:t xml:space="preserve"> postupka te empirijske evaluacije motiva i čimbenika od strane ispitanika iz hotelskih poduzeća, u nastavku se daje usporedni prikaz ovih dvaju skupova rezultata. Cilj usporedbe jest sagledati u kojoj se mjeri percepcije stručnjaka i menadžera uključenih u stvarne procese spajanja i preuzimanja podudaraju, odnosno u kojim segmentima dolazi do razlika u procjeni važnosti pojedinih motiva i čimbenika uspjeha.</w:t>
      </w:r>
      <w:r w:rsidR="0040017A">
        <w:rPr>
          <w:rFonts w:ascii="Times New Roman" w:hAnsi="Times New Roman" w:cs="Times New Roman"/>
          <w:sz w:val="24"/>
          <w:szCs w:val="24"/>
        </w:rPr>
        <w:t xml:space="preserve"> </w:t>
      </w:r>
      <w:r w:rsidRPr="00BE5472">
        <w:rPr>
          <w:rFonts w:ascii="Times New Roman" w:hAnsi="Times New Roman" w:cs="Times New Roman"/>
          <w:sz w:val="24"/>
          <w:szCs w:val="24"/>
        </w:rPr>
        <w:t xml:space="preserve">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127A4E">
        <w:rPr>
          <w:rFonts w:ascii="Times New Roman" w:hAnsi="Times New Roman" w:cs="Times New Roman"/>
          <w:sz w:val="24"/>
          <w:szCs w:val="24"/>
        </w:rPr>
        <w:t>42</w:t>
      </w:r>
      <w:r w:rsidRPr="00BE5472">
        <w:rPr>
          <w:rFonts w:ascii="Times New Roman" w:hAnsi="Times New Roman" w:cs="Times New Roman"/>
          <w:sz w:val="24"/>
          <w:szCs w:val="24"/>
        </w:rPr>
        <w:t xml:space="preserve"> prikazan je usporedni prikaz ekspertne i menadžerske procjene ključnih motiva i čimbenika uspjeha procesa spajanja i preuzimanja.</w:t>
      </w:r>
    </w:p>
    <w:p w14:paraId="21DF0E1E" w14:textId="5E07A0ED" w:rsidR="00120B4F" w:rsidRPr="00E1098E" w:rsidRDefault="00E1098E" w:rsidP="00E1098E">
      <w:pPr>
        <w:pStyle w:val="Caption"/>
        <w:rPr>
          <w:rFonts w:ascii="Times New Roman" w:hAnsi="Times New Roman" w:cs="Times New Roman"/>
          <w:sz w:val="24"/>
          <w:szCs w:val="24"/>
        </w:rPr>
      </w:pPr>
      <w:bookmarkStart w:id="199" w:name="_Toc241865236"/>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42</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w:t>
      </w:r>
      <w:r w:rsidR="00F823EE" w:rsidRPr="00E1098E">
        <w:rPr>
          <w:rFonts w:ascii="Times New Roman" w:hAnsi="Times New Roman" w:cs="Times New Roman"/>
          <w:sz w:val="24"/>
          <w:szCs w:val="24"/>
        </w:rPr>
        <w:t xml:space="preserve"> Usporedni prikaz ekspertne i menadžerske procjene ključnih motiva i čimbenika uspjeha procesa spajanja i preuzimanja</w:t>
      </w:r>
      <w:bookmarkEnd w:id="199"/>
    </w:p>
    <w:tbl>
      <w:tblPr>
        <w:tblStyle w:val="TableGrid"/>
        <w:tblW w:w="0" w:type="auto"/>
        <w:tblLook w:val="04A0" w:firstRow="1" w:lastRow="0" w:firstColumn="1" w:lastColumn="0" w:noHBand="0" w:noVBand="1"/>
      </w:tblPr>
      <w:tblGrid>
        <w:gridCol w:w="3124"/>
        <w:gridCol w:w="773"/>
        <w:gridCol w:w="2083"/>
        <w:gridCol w:w="815"/>
        <w:gridCol w:w="2224"/>
      </w:tblGrid>
      <w:tr w:rsidR="00120B4F" w:rsidRPr="00BE5472" w14:paraId="2A1D5702" w14:textId="77777777" w:rsidTr="00F71B98">
        <w:tc>
          <w:tcPr>
            <w:tcW w:w="0" w:type="auto"/>
            <w:vAlign w:val="center"/>
            <w:hideMark/>
          </w:tcPr>
          <w:p w14:paraId="052D6C6B" w14:textId="77777777" w:rsidR="00120B4F" w:rsidRPr="00BE5472" w:rsidRDefault="00120B4F" w:rsidP="00F71B98">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Motivi i čimbenici</w:t>
            </w:r>
          </w:p>
        </w:tc>
        <w:tc>
          <w:tcPr>
            <w:tcW w:w="0" w:type="auto"/>
            <w:gridSpan w:val="2"/>
            <w:vAlign w:val="center"/>
            <w:hideMark/>
          </w:tcPr>
          <w:p w14:paraId="3AA4FE57" w14:textId="6B6429B7" w:rsidR="00120B4F" w:rsidRPr="00BE5472" w:rsidRDefault="00120B4F" w:rsidP="00F71B98">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 xml:space="preserve">Ekspertna procjena – </w:t>
            </w:r>
            <w:r w:rsidRPr="00BE5472">
              <w:rPr>
                <w:rFonts w:ascii="Times New Roman" w:eastAsia="Times New Roman" w:hAnsi="Times New Roman" w:cs="Times New Roman"/>
                <w:b/>
                <w:bCs/>
                <w:i/>
                <w:iCs/>
                <w:sz w:val="24"/>
                <w:szCs w:val="24"/>
                <w:lang w:val="en-US"/>
              </w:rPr>
              <w:t>Delphi</w:t>
            </w:r>
            <w:r w:rsidRPr="00BE5472">
              <w:rPr>
                <w:rFonts w:ascii="Times New Roman" w:eastAsia="Times New Roman" w:hAnsi="Times New Roman" w:cs="Times New Roman"/>
                <w:b/>
                <w:bCs/>
                <w:sz w:val="24"/>
                <w:szCs w:val="24"/>
                <w:lang w:val="en-US"/>
              </w:rPr>
              <w:t xml:space="preserve"> (2. </w:t>
            </w:r>
            <w:r w:rsidR="007D0E77" w:rsidRPr="00BE5472">
              <w:rPr>
                <w:rFonts w:ascii="Times New Roman" w:eastAsia="Times New Roman" w:hAnsi="Times New Roman" w:cs="Times New Roman"/>
                <w:b/>
                <w:bCs/>
                <w:sz w:val="24"/>
                <w:szCs w:val="24"/>
                <w:lang w:val="en-US"/>
              </w:rPr>
              <w:t>ciklus</w:t>
            </w:r>
            <w:r w:rsidRPr="00BE5472">
              <w:rPr>
                <w:rFonts w:ascii="Times New Roman" w:eastAsia="Times New Roman" w:hAnsi="Times New Roman" w:cs="Times New Roman"/>
                <w:b/>
                <w:bCs/>
                <w:sz w:val="24"/>
                <w:szCs w:val="24"/>
                <w:lang w:val="en-US"/>
              </w:rPr>
              <w:t>)</w:t>
            </w:r>
          </w:p>
        </w:tc>
        <w:tc>
          <w:tcPr>
            <w:tcW w:w="0" w:type="auto"/>
            <w:gridSpan w:val="2"/>
            <w:vAlign w:val="center"/>
            <w:hideMark/>
          </w:tcPr>
          <w:p w14:paraId="66BE35A8" w14:textId="77777777" w:rsidR="00120B4F" w:rsidRPr="00BE5472" w:rsidRDefault="00120B4F" w:rsidP="00F71B98">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Menadžerska procjena – hotelska poduzeća</w:t>
            </w:r>
          </w:p>
        </w:tc>
      </w:tr>
      <w:tr w:rsidR="00120B4F" w:rsidRPr="00BE5472" w14:paraId="3FC15485" w14:textId="77777777" w:rsidTr="00F71B98">
        <w:tc>
          <w:tcPr>
            <w:tcW w:w="0" w:type="auto"/>
            <w:hideMark/>
          </w:tcPr>
          <w:p w14:paraId="429FAD8F" w14:textId="77777777" w:rsidR="00120B4F" w:rsidRPr="00BE5472" w:rsidRDefault="00120B4F" w:rsidP="003C2F5B">
            <w:pPr>
              <w:jc w:val="center"/>
              <w:rPr>
                <w:rFonts w:ascii="Times New Roman" w:eastAsia="Times New Roman" w:hAnsi="Times New Roman" w:cs="Times New Roman"/>
                <w:sz w:val="20"/>
                <w:szCs w:val="20"/>
                <w:lang w:val="en-US"/>
              </w:rPr>
            </w:pPr>
          </w:p>
        </w:tc>
        <w:tc>
          <w:tcPr>
            <w:tcW w:w="0" w:type="auto"/>
            <w:vAlign w:val="center"/>
            <w:hideMark/>
          </w:tcPr>
          <w:p w14:paraId="02D22BE2" w14:textId="77777777" w:rsidR="00120B4F" w:rsidRPr="00BE5472" w:rsidRDefault="00120B4F" w:rsidP="00F71B98">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b/>
                <w:bCs/>
                <w:sz w:val="24"/>
                <w:szCs w:val="24"/>
                <w:lang w:val="en-US"/>
              </w:rPr>
              <w:t>M</w:t>
            </w:r>
          </w:p>
        </w:tc>
        <w:tc>
          <w:tcPr>
            <w:tcW w:w="0" w:type="auto"/>
            <w:vAlign w:val="center"/>
            <w:hideMark/>
          </w:tcPr>
          <w:p w14:paraId="53EA23EA" w14:textId="77777777" w:rsidR="00120B4F" w:rsidRPr="00BE5472" w:rsidRDefault="00120B4F" w:rsidP="00F71B98">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b/>
                <w:bCs/>
                <w:sz w:val="24"/>
                <w:szCs w:val="24"/>
                <w:lang w:val="en-US"/>
              </w:rPr>
              <w:t>Indeks suglasnosti</w:t>
            </w:r>
          </w:p>
        </w:tc>
        <w:tc>
          <w:tcPr>
            <w:tcW w:w="0" w:type="auto"/>
            <w:vAlign w:val="center"/>
            <w:hideMark/>
          </w:tcPr>
          <w:p w14:paraId="5870A54B" w14:textId="77777777" w:rsidR="00120B4F" w:rsidRPr="00BE5472" w:rsidRDefault="00120B4F" w:rsidP="00F71B98">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b/>
                <w:bCs/>
                <w:sz w:val="24"/>
                <w:szCs w:val="24"/>
                <w:lang w:val="en-US"/>
              </w:rPr>
              <w:t>M</w:t>
            </w:r>
          </w:p>
        </w:tc>
        <w:tc>
          <w:tcPr>
            <w:tcW w:w="0" w:type="auto"/>
            <w:vAlign w:val="center"/>
            <w:hideMark/>
          </w:tcPr>
          <w:p w14:paraId="7482248E" w14:textId="77777777" w:rsidR="00120B4F" w:rsidRPr="00BE5472" w:rsidRDefault="00120B4F" w:rsidP="00F71B98">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b/>
                <w:bCs/>
                <w:sz w:val="24"/>
                <w:szCs w:val="24"/>
                <w:lang w:val="en-US"/>
              </w:rPr>
              <w:t>Indeks suglasnosti</w:t>
            </w:r>
          </w:p>
        </w:tc>
      </w:tr>
      <w:tr w:rsidR="00120B4F" w:rsidRPr="00BE5472" w14:paraId="4A7760D2" w14:textId="77777777" w:rsidTr="003C2F5B">
        <w:tc>
          <w:tcPr>
            <w:tcW w:w="0" w:type="auto"/>
            <w:gridSpan w:val="5"/>
            <w:hideMark/>
          </w:tcPr>
          <w:p w14:paraId="76D452BF" w14:textId="77777777" w:rsidR="00120B4F" w:rsidRPr="00BE5472" w:rsidRDefault="00120B4F" w:rsidP="003C2F5B">
            <w:pPr>
              <w:jc w:val="center"/>
              <w:rPr>
                <w:rFonts w:ascii="Times New Roman" w:eastAsia="Times New Roman" w:hAnsi="Times New Roman" w:cs="Times New Roman"/>
                <w:sz w:val="20"/>
                <w:szCs w:val="20"/>
                <w:lang w:val="en-US"/>
              </w:rPr>
            </w:pPr>
            <w:r w:rsidRPr="00BE5472">
              <w:rPr>
                <w:rFonts w:ascii="Times New Roman" w:eastAsia="Times New Roman" w:hAnsi="Times New Roman" w:cs="Times New Roman"/>
                <w:b/>
                <w:bCs/>
                <w:sz w:val="24"/>
                <w:szCs w:val="24"/>
                <w:lang w:val="en-US"/>
              </w:rPr>
              <w:t>MOTIVI SPAJANJA I PREUZIMANJA</w:t>
            </w:r>
          </w:p>
        </w:tc>
      </w:tr>
      <w:tr w:rsidR="00120B4F" w:rsidRPr="00BE5472" w14:paraId="770ABBBB" w14:textId="77777777" w:rsidTr="00A97F79">
        <w:tc>
          <w:tcPr>
            <w:tcW w:w="0" w:type="auto"/>
            <w:hideMark/>
          </w:tcPr>
          <w:p w14:paraId="60CA46CE"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Povećanje tržišnog udjela poduzeća preuzimatelja</w:t>
            </w:r>
          </w:p>
        </w:tc>
        <w:tc>
          <w:tcPr>
            <w:tcW w:w="0" w:type="auto"/>
            <w:vAlign w:val="center"/>
            <w:hideMark/>
          </w:tcPr>
          <w:p w14:paraId="4B0B49F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0B216F9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1CC3763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119AB47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0,80</w:t>
            </w:r>
          </w:p>
        </w:tc>
      </w:tr>
      <w:tr w:rsidR="00120B4F" w:rsidRPr="00BE5472" w14:paraId="7350B225" w14:textId="77777777" w:rsidTr="00A97F79">
        <w:tc>
          <w:tcPr>
            <w:tcW w:w="0" w:type="auto"/>
            <w:hideMark/>
          </w:tcPr>
          <w:p w14:paraId="71D0E818"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Proširivanje tržišnih segmenata (baze kupaca)</w:t>
            </w:r>
          </w:p>
        </w:tc>
        <w:tc>
          <w:tcPr>
            <w:tcW w:w="0" w:type="auto"/>
            <w:vAlign w:val="center"/>
            <w:hideMark/>
          </w:tcPr>
          <w:p w14:paraId="7664E7F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1823C35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0,90</w:t>
            </w:r>
          </w:p>
        </w:tc>
        <w:tc>
          <w:tcPr>
            <w:tcW w:w="0" w:type="auto"/>
            <w:vAlign w:val="center"/>
            <w:hideMark/>
          </w:tcPr>
          <w:p w14:paraId="2F0923D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3,50</w:t>
            </w:r>
          </w:p>
        </w:tc>
        <w:tc>
          <w:tcPr>
            <w:tcW w:w="0" w:type="auto"/>
            <w:vAlign w:val="center"/>
            <w:hideMark/>
          </w:tcPr>
          <w:p w14:paraId="0CB0BD0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r>
      <w:tr w:rsidR="00120B4F" w:rsidRPr="00BE5472" w14:paraId="1F44EF6D" w14:textId="77777777" w:rsidTr="00A97F79">
        <w:tc>
          <w:tcPr>
            <w:tcW w:w="0" w:type="auto"/>
            <w:hideMark/>
          </w:tcPr>
          <w:p w14:paraId="79CF3843"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Povećanje kapaciteta poduzeća preuzimatelja</w:t>
            </w:r>
          </w:p>
        </w:tc>
        <w:tc>
          <w:tcPr>
            <w:tcW w:w="0" w:type="auto"/>
            <w:vAlign w:val="center"/>
            <w:hideMark/>
          </w:tcPr>
          <w:p w14:paraId="1DAE683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46E1B66A"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5C1FDA9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4D10F99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r>
      <w:tr w:rsidR="00120B4F" w:rsidRPr="00BE5472" w14:paraId="0AB1E678" w14:textId="77777777" w:rsidTr="003C2F5B">
        <w:tc>
          <w:tcPr>
            <w:tcW w:w="0" w:type="auto"/>
            <w:gridSpan w:val="5"/>
            <w:hideMark/>
          </w:tcPr>
          <w:p w14:paraId="32A1F7F3" w14:textId="77777777" w:rsidR="00120B4F" w:rsidRPr="00BE5472" w:rsidRDefault="00120B4F" w:rsidP="003C2F5B">
            <w:pPr>
              <w:jc w:val="center"/>
              <w:rPr>
                <w:rFonts w:ascii="Times New Roman" w:eastAsia="Times New Roman" w:hAnsi="Times New Roman" w:cs="Times New Roman"/>
                <w:sz w:val="20"/>
                <w:szCs w:val="20"/>
                <w:lang w:val="en-US"/>
              </w:rPr>
            </w:pPr>
            <w:r w:rsidRPr="00BE5472">
              <w:rPr>
                <w:rFonts w:ascii="Times New Roman" w:eastAsia="Times New Roman" w:hAnsi="Times New Roman" w:cs="Times New Roman"/>
                <w:b/>
                <w:bCs/>
                <w:sz w:val="24"/>
                <w:szCs w:val="24"/>
                <w:lang w:val="en-US"/>
              </w:rPr>
              <w:t>ČIMBENICI PRIJE PREUZIMANJA</w:t>
            </w:r>
          </w:p>
        </w:tc>
      </w:tr>
      <w:tr w:rsidR="00120B4F" w:rsidRPr="00BE5472" w14:paraId="1B685F5D" w14:textId="77777777" w:rsidTr="00A97F79">
        <w:tc>
          <w:tcPr>
            <w:tcW w:w="0" w:type="auto"/>
            <w:hideMark/>
          </w:tcPr>
          <w:p w14:paraId="65E33E1E"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Dobra procjena potencijalne operativne sinergije</w:t>
            </w:r>
          </w:p>
        </w:tc>
        <w:tc>
          <w:tcPr>
            <w:tcW w:w="0" w:type="auto"/>
            <w:vAlign w:val="center"/>
            <w:hideMark/>
          </w:tcPr>
          <w:p w14:paraId="59D2EB6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0B9D947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3755DFC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3,92</w:t>
            </w:r>
          </w:p>
        </w:tc>
        <w:tc>
          <w:tcPr>
            <w:tcW w:w="0" w:type="auto"/>
            <w:vAlign w:val="center"/>
            <w:hideMark/>
          </w:tcPr>
          <w:p w14:paraId="74772F8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0,82</w:t>
            </w:r>
          </w:p>
        </w:tc>
      </w:tr>
      <w:tr w:rsidR="00120B4F" w:rsidRPr="00BE5472" w14:paraId="19ABCF66" w14:textId="77777777" w:rsidTr="00A97F79">
        <w:tc>
          <w:tcPr>
            <w:tcW w:w="0" w:type="auto"/>
            <w:hideMark/>
          </w:tcPr>
          <w:p w14:paraId="0E1F212B"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Imidž turističke destinacije</w:t>
            </w:r>
          </w:p>
        </w:tc>
        <w:tc>
          <w:tcPr>
            <w:tcW w:w="0" w:type="auto"/>
            <w:vAlign w:val="center"/>
            <w:hideMark/>
          </w:tcPr>
          <w:p w14:paraId="5B4832C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7BD1EDE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3FA1051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4,42</w:t>
            </w:r>
          </w:p>
        </w:tc>
        <w:tc>
          <w:tcPr>
            <w:tcW w:w="0" w:type="auto"/>
            <w:vAlign w:val="center"/>
            <w:hideMark/>
          </w:tcPr>
          <w:p w14:paraId="1F4E4B4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0,87</w:t>
            </w:r>
          </w:p>
        </w:tc>
      </w:tr>
      <w:tr w:rsidR="00120B4F" w:rsidRPr="00BE5472" w14:paraId="09298A77" w14:textId="77777777" w:rsidTr="00A97F79">
        <w:tc>
          <w:tcPr>
            <w:tcW w:w="0" w:type="auto"/>
            <w:hideMark/>
          </w:tcPr>
          <w:p w14:paraId="6F402A48"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Lokacija poduzeća mete</w:t>
            </w:r>
          </w:p>
        </w:tc>
        <w:tc>
          <w:tcPr>
            <w:tcW w:w="0" w:type="auto"/>
            <w:vAlign w:val="center"/>
            <w:hideMark/>
          </w:tcPr>
          <w:p w14:paraId="0BA30F2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0988525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4DCA7B1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4,75</w:t>
            </w:r>
          </w:p>
        </w:tc>
        <w:tc>
          <w:tcPr>
            <w:tcW w:w="0" w:type="auto"/>
            <w:vAlign w:val="center"/>
            <w:hideMark/>
          </w:tcPr>
          <w:p w14:paraId="6BDFF0E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0,88</w:t>
            </w:r>
          </w:p>
        </w:tc>
      </w:tr>
      <w:tr w:rsidR="00120B4F" w:rsidRPr="00BE5472" w14:paraId="2C4A8DCD" w14:textId="77777777" w:rsidTr="00A97F79">
        <w:tc>
          <w:tcPr>
            <w:tcW w:w="0" w:type="auto"/>
            <w:hideMark/>
          </w:tcPr>
          <w:p w14:paraId="19B1A1B8"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Dubinsko snimanje poduzeća mete</w:t>
            </w:r>
          </w:p>
        </w:tc>
        <w:tc>
          <w:tcPr>
            <w:tcW w:w="0" w:type="auto"/>
            <w:vAlign w:val="center"/>
            <w:hideMark/>
          </w:tcPr>
          <w:p w14:paraId="4E95C2F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6264931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476C60C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23CA8B3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0,78</w:t>
            </w:r>
          </w:p>
        </w:tc>
      </w:tr>
      <w:tr w:rsidR="00120B4F" w:rsidRPr="00BE5472" w14:paraId="016CEA55" w14:textId="77777777" w:rsidTr="00A97F79">
        <w:tc>
          <w:tcPr>
            <w:tcW w:w="0" w:type="auto"/>
            <w:hideMark/>
          </w:tcPr>
          <w:p w14:paraId="432EB163"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Potreba kapitalnih izdataka kod poduzeća mete</w:t>
            </w:r>
          </w:p>
        </w:tc>
        <w:tc>
          <w:tcPr>
            <w:tcW w:w="0" w:type="auto"/>
            <w:vAlign w:val="center"/>
            <w:hideMark/>
          </w:tcPr>
          <w:p w14:paraId="7157FA7A"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5731208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12B94E1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4,25</w:t>
            </w:r>
          </w:p>
        </w:tc>
        <w:tc>
          <w:tcPr>
            <w:tcW w:w="0" w:type="auto"/>
            <w:vAlign w:val="center"/>
            <w:hideMark/>
          </w:tcPr>
          <w:p w14:paraId="69F5453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0,76</w:t>
            </w:r>
          </w:p>
        </w:tc>
      </w:tr>
      <w:tr w:rsidR="00120B4F" w:rsidRPr="00BE5472" w14:paraId="0CC292F6" w14:textId="77777777" w:rsidTr="00A97F79">
        <w:tc>
          <w:tcPr>
            <w:tcW w:w="0" w:type="auto"/>
            <w:hideMark/>
          </w:tcPr>
          <w:p w14:paraId="4A667DD2"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Jačanje marke i reputacije poduzeća preuzimatelja</w:t>
            </w:r>
          </w:p>
        </w:tc>
        <w:tc>
          <w:tcPr>
            <w:tcW w:w="0" w:type="auto"/>
            <w:vAlign w:val="center"/>
            <w:hideMark/>
          </w:tcPr>
          <w:p w14:paraId="58F5AAF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63ABDA0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52D94A9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3,75</w:t>
            </w:r>
          </w:p>
        </w:tc>
        <w:tc>
          <w:tcPr>
            <w:tcW w:w="0" w:type="auto"/>
            <w:vAlign w:val="center"/>
            <w:hideMark/>
          </w:tcPr>
          <w:p w14:paraId="751048B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0,76</w:t>
            </w:r>
          </w:p>
        </w:tc>
      </w:tr>
      <w:tr w:rsidR="00120B4F" w:rsidRPr="00BE5472" w14:paraId="15F5E3AD" w14:textId="77777777" w:rsidTr="00A97F79">
        <w:tc>
          <w:tcPr>
            <w:tcW w:w="0" w:type="auto"/>
            <w:hideMark/>
          </w:tcPr>
          <w:p w14:paraId="1F8CB239"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Strateška povezanost preuzimatelja i mete</w:t>
            </w:r>
          </w:p>
        </w:tc>
        <w:tc>
          <w:tcPr>
            <w:tcW w:w="0" w:type="auto"/>
            <w:vAlign w:val="center"/>
            <w:hideMark/>
          </w:tcPr>
          <w:p w14:paraId="739DF9CA"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0E84A65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11EEC12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0F74FC0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0,85</w:t>
            </w:r>
          </w:p>
        </w:tc>
      </w:tr>
      <w:tr w:rsidR="00120B4F" w:rsidRPr="00BE5472" w14:paraId="3533BD5B" w14:textId="77777777" w:rsidTr="00A97F79">
        <w:tc>
          <w:tcPr>
            <w:tcW w:w="0" w:type="auto"/>
            <w:hideMark/>
          </w:tcPr>
          <w:p w14:paraId="152C27BC"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Sadašnja vrijednost sinergija veća od plaćene premije</w:t>
            </w:r>
          </w:p>
        </w:tc>
        <w:tc>
          <w:tcPr>
            <w:tcW w:w="0" w:type="auto"/>
            <w:vAlign w:val="center"/>
            <w:hideMark/>
          </w:tcPr>
          <w:p w14:paraId="59FD208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5ED4BA1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21F424A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2E2DFC4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0,88</w:t>
            </w:r>
          </w:p>
        </w:tc>
      </w:tr>
      <w:tr w:rsidR="00120B4F" w:rsidRPr="00BE5472" w14:paraId="4E645BB3" w14:textId="77777777" w:rsidTr="00A97F79">
        <w:tc>
          <w:tcPr>
            <w:tcW w:w="0" w:type="auto"/>
            <w:hideMark/>
          </w:tcPr>
          <w:p w14:paraId="1CF4212E"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Iznos akvizicijske premije</w:t>
            </w:r>
          </w:p>
        </w:tc>
        <w:tc>
          <w:tcPr>
            <w:tcW w:w="0" w:type="auto"/>
            <w:vAlign w:val="center"/>
            <w:hideMark/>
          </w:tcPr>
          <w:p w14:paraId="5CA9A25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3,67</w:t>
            </w:r>
          </w:p>
        </w:tc>
        <w:tc>
          <w:tcPr>
            <w:tcW w:w="0" w:type="auto"/>
            <w:vAlign w:val="center"/>
            <w:hideMark/>
          </w:tcPr>
          <w:p w14:paraId="72C70D5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5957EC5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1D11C94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0,77</w:t>
            </w:r>
          </w:p>
        </w:tc>
      </w:tr>
      <w:tr w:rsidR="00120B4F" w:rsidRPr="00BE5472" w14:paraId="004389F0" w14:textId="77777777" w:rsidTr="00A97F79">
        <w:tc>
          <w:tcPr>
            <w:tcW w:w="0" w:type="auto"/>
            <w:hideMark/>
          </w:tcPr>
          <w:p w14:paraId="7B1EBBDD"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Potencijalna upravljačka sinergija</w:t>
            </w:r>
          </w:p>
        </w:tc>
        <w:tc>
          <w:tcPr>
            <w:tcW w:w="0" w:type="auto"/>
            <w:vAlign w:val="center"/>
            <w:hideMark/>
          </w:tcPr>
          <w:p w14:paraId="651A055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324AF45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008C16A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4,58</w:t>
            </w:r>
          </w:p>
        </w:tc>
        <w:tc>
          <w:tcPr>
            <w:tcW w:w="0" w:type="auto"/>
            <w:vAlign w:val="center"/>
            <w:hideMark/>
          </w:tcPr>
          <w:p w14:paraId="194ED4B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0,87</w:t>
            </w:r>
          </w:p>
        </w:tc>
      </w:tr>
      <w:tr w:rsidR="00120B4F" w:rsidRPr="00BE5472" w14:paraId="00A71E24" w14:textId="77777777" w:rsidTr="00A97F79">
        <w:tc>
          <w:tcPr>
            <w:tcW w:w="0" w:type="auto"/>
            <w:hideMark/>
          </w:tcPr>
          <w:p w14:paraId="3A0F7B2A"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Cijena ponude temeljena na konkurentnom položaju</w:t>
            </w:r>
          </w:p>
        </w:tc>
        <w:tc>
          <w:tcPr>
            <w:tcW w:w="0" w:type="auto"/>
            <w:vAlign w:val="center"/>
            <w:hideMark/>
          </w:tcPr>
          <w:p w14:paraId="7EF4DA93"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127247E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453DC86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3,92</w:t>
            </w:r>
          </w:p>
        </w:tc>
        <w:tc>
          <w:tcPr>
            <w:tcW w:w="0" w:type="auto"/>
            <w:vAlign w:val="center"/>
            <w:hideMark/>
          </w:tcPr>
          <w:p w14:paraId="6E3EF76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0,69</w:t>
            </w:r>
          </w:p>
        </w:tc>
      </w:tr>
      <w:tr w:rsidR="00120B4F" w:rsidRPr="00BE5472" w14:paraId="6753973D" w14:textId="77777777" w:rsidTr="003C2F5B">
        <w:tc>
          <w:tcPr>
            <w:tcW w:w="0" w:type="auto"/>
            <w:gridSpan w:val="5"/>
            <w:hideMark/>
          </w:tcPr>
          <w:p w14:paraId="263C0334" w14:textId="77777777" w:rsidR="00120B4F" w:rsidRPr="00BE5472" w:rsidRDefault="00120B4F" w:rsidP="003C2F5B">
            <w:pPr>
              <w:jc w:val="center"/>
              <w:rPr>
                <w:rFonts w:ascii="Times New Roman" w:eastAsia="Times New Roman" w:hAnsi="Times New Roman" w:cs="Times New Roman"/>
                <w:sz w:val="20"/>
                <w:szCs w:val="20"/>
                <w:lang w:val="en-US"/>
              </w:rPr>
            </w:pPr>
            <w:r w:rsidRPr="00BE5472">
              <w:rPr>
                <w:rFonts w:ascii="Times New Roman" w:eastAsia="Times New Roman" w:hAnsi="Times New Roman" w:cs="Times New Roman"/>
                <w:b/>
                <w:bCs/>
                <w:sz w:val="24"/>
                <w:szCs w:val="24"/>
                <w:lang w:val="en-US"/>
              </w:rPr>
              <w:t>ČIMBENICI U FAZI INTEGRACIJE</w:t>
            </w:r>
          </w:p>
        </w:tc>
      </w:tr>
      <w:tr w:rsidR="00120B4F" w:rsidRPr="00BE5472" w14:paraId="1FD74C1D" w14:textId="77777777" w:rsidTr="00A97F79">
        <w:tc>
          <w:tcPr>
            <w:tcW w:w="0" w:type="auto"/>
            <w:hideMark/>
          </w:tcPr>
          <w:p w14:paraId="0CDDF118"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Definiranje nove strategije</w:t>
            </w:r>
          </w:p>
        </w:tc>
        <w:tc>
          <w:tcPr>
            <w:tcW w:w="0" w:type="auto"/>
            <w:vAlign w:val="center"/>
            <w:hideMark/>
          </w:tcPr>
          <w:p w14:paraId="3976CD2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1DA859A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5E8466B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186618E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0,80</w:t>
            </w:r>
          </w:p>
        </w:tc>
      </w:tr>
      <w:tr w:rsidR="00120B4F" w:rsidRPr="00BE5472" w14:paraId="4AF1DC5B" w14:textId="77777777" w:rsidTr="00A97F79">
        <w:tc>
          <w:tcPr>
            <w:tcW w:w="0" w:type="auto"/>
            <w:hideMark/>
          </w:tcPr>
          <w:p w14:paraId="218FAC5C"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lastRenderedPageBreak/>
              <w:t>Detektiranje i zadržavanje ključnih zaposlenika</w:t>
            </w:r>
          </w:p>
        </w:tc>
        <w:tc>
          <w:tcPr>
            <w:tcW w:w="0" w:type="auto"/>
            <w:vAlign w:val="center"/>
            <w:hideMark/>
          </w:tcPr>
          <w:p w14:paraId="1FD40543"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23DAABE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1701076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4,42</w:t>
            </w:r>
          </w:p>
        </w:tc>
        <w:tc>
          <w:tcPr>
            <w:tcW w:w="0" w:type="auto"/>
            <w:vAlign w:val="center"/>
            <w:hideMark/>
          </w:tcPr>
          <w:p w14:paraId="1D86798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0,79</w:t>
            </w:r>
          </w:p>
        </w:tc>
      </w:tr>
      <w:tr w:rsidR="00120B4F" w:rsidRPr="00BE5472" w14:paraId="04C57B15" w14:textId="77777777" w:rsidTr="00A97F79">
        <w:tc>
          <w:tcPr>
            <w:tcW w:w="0" w:type="auto"/>
            <w:hideMark/>
          </w:tcPr>
          <w:p w14:paraId="3B9F697F"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Osiguranje resursa potrebnih za integraciju</w:t>
            </w:r>
          </w:p>
        </w:tc>
        <w:tc>
          <w:tcPr>
            <w:tcW w:w="0" w:type="auto"/>
            <w:vAlign w:val="center"/>
            <w:hideMark/>
          </w:tcPr>
          <w:p w14:paraId="6D9F103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0A3D069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623279CA"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4577174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r>
      <w:tr w:rsidR="00120B4F" w:rsidRPr="00BE5472" w14:paraId="0EF51F15" w14:textId="77777777" w:rsidTr="00A97F79">
        <w:tc>
          <w:tcPr>
            <w:tcW w:w="0" w:type="auto"/>
            <w:hideMark/>
          </w:tcPr>
          <w:p w14:paraId="270F7826"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Brza integracija radi ostvarivanja plana</w:t>
            </w:r>
          </w:p>
        </w:tc>
        <w:tc>
          <w:tcPr>
            <w:tcW w:w="0" w:type="auto"/>
            <w:vAlign w:val="center"/>
            <w:hideMark/>
          </w:tcPr>
          <w:p w14:paraId="1781010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4B113E5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6F9240F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58D2182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0,73</w:t>
            </w:r>
          </w:p>
        </w:tc>
      </w:tr>
      <w:tr w:rsidR="00120B4F" w:rsidRPr="00BE5472" w14:paraId="6D33B82F" w14:textId="77777777" w:rsidTr="00A97F79">
        <w:tc>
          <w:tcPr>
            <w:tcW w:w="0" w:type="auto"/>
            <w:hideMark/>
          </w:tcPr>
          <w:p w14:paraId="6CB621B9"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Odlučan i pravedan odnos prema zaposlenicima</w:t>
            </w:r>
          </w:p>
        </w:tc>
        <w:tc>
          <w:tcPr>
            <w:tcW w:w="0" w:type="auto"/>
            <w:vAlign w:val="center"/>
            <w:hideMark/>
          </w:tcPr>
          <w:p w14:paraId="22389FC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715692F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21503F3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1E95A04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0,88</w:t>
            </w:r>
          </w:p>
        </w:tc>
      </w:tr>
      <w:tr w:rsidR="00120B4F" w:rsidRPr="00BE5472" w14:paraId="0799BB2D" w14:textId="77777777" w:rsidTr="00A97F79">
        <w:tc>
          <w:tcPr>
            <w:tcW w:w="0" w:type="auto"/>
            <w:hideMark/>
          </w:tcPr>
          <w:p w14:paraId="742DD9D5"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Prijenos kompetencija i resursa između jedinica</w:t>
            </w:r>
          </w:p>
        </w:tc>
        <w:tc>
          <w:tcPr>
            <w:tcW w:w="0" w:type="auto"/>
            <w:vAlign w:val="center"/>
            <w:hideMark/>
          </w:tcPr>
          <w:p w14:paraId="1E0ABCD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1CFB2C5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6AE0F433"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4,83</w:t>
            </w:r>
          </w:p>
        </w:tc>
        <w:tc>
          <w:tcPr>
            <w:tcW w:w="0" w:type="auto"/>
            <w:vAlign w:val="center"/>
            <w:hideMark/>
          </w:tcPr>
          <w:p w14:paraId="53052643"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0,92</w:t>
            </w:r>
          </w:p>
        </w:tc>
      </w:tr>
      <w:tr w:rsidR="00120B4F" w:rsidRPr="00BE5472" w14:paraId="363AE16C" w14:textId="77777777" w:rsidTr="00A97F79">
        <w:tc>
          <w:tcPr>
            <w:tcW w:w="0" w:type="auto"/>
            <w:hideMark/>
          </w:tcPr>
          <w:p w14:paraId="2FAE50DD"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Identificiranje prilika za jačanje konkurentske pozicije</w:t>
            </w:r>
          </w:p>
        </w:tc>
        <w:tc>
          <w:tcPr>
            <w:tcW w:w="0" w:type="auto"/>
            <w:vAlign w:val="center"/>
            <w:hideMark/>
          </w:tcPr>
          <w:p w14:paraId="4D610BD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1F113ED5"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73A43C8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7EB30E5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0,86</w:t>
            </w:r>
          </w:p>
        </w:tc>
      </w:tr>
      <w:tr w:rsidR="00120B4F" w:rsidRPr="00BE5472" w14:paraId="4DBD258F" w14:textId="77777777" w:rsidTr="00A97F79">
        <w:tc>
          <w:tcPr>
            <w:tcW w:w="0" w:type="auto"/>
            <w:hideMark/>
          </w:tcPr>
          <w:p w14:paraId="0BE6CBC5"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Postavljanje nove upravljačke strukture</w:t>
            </w:r>
          </w:p>
        </w:tc>
        <w:tc>
          <w:tcPr>
            <w:tcW w:w="0" w:type="auto"/>
            <w:vAlign w:val="center"/>
            <w:hideMark/>
          </w:tcPr>
          <w:p w14:paraId="30240EB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7256887B"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7CBEC16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3D0D9941"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0,88</w:t>
            </w:r>
          </w:p>
        </w:tc>
      </w:tr>
      <w:tr w:rsidR="00120B4F" w:rsidRPr="00BE5472" w14:paraId="566C0A03" w14:textId="77777777" w:rsidTr="003C2F5B">
        <w:tc>
          <w:tcPr>
            <w:tcW w:w="0" w:type="auto"/>
            <w:gridSpan w:val="5"/>
            <w:hideMark/>
          </w:tcPr>
          <w:p w14:paraId="6C56BBB5" w14:textId="77777777" w:rsidR="00120B4F" w:rsidRPr="00BE5472" w:rsidRDefault="00120B4F" w:rsidP="003C2F5B">
            <w:pPr>
              <w:jc w:val="center"/>
              <w:rPr>
                <w:rFonts w:ascii="Times New Roman" w:eastAsia="Times New Roman" w:hAnsi="Times New Roman" w:cs="Times New Roman"/>
                <w:sz w:val="20"/>
                <w:szCs w:val="20"/>
                <w:lang w:val="en-US"/>
              </w:rPr>
            </w:pPr>
            <w:r w:rsidRPr="00BE5472">
              <w:rPr>
                <w:rFonts w:ascii="Times New Roman" w:eastAsia="Times New Roman" w:hAnsi="Times New Roman" w:cs="Times New Roman"/>
                <w:b/>
                <w:bCs/>
                <w:sz w:val="24"/>
                <w:szCs w:val="24"/>
                <w:lang w:val="en-US"/>
              </w:rPr>
              <w:t>POSTAKVIZICIJSKA FAZA</w:t>
            </w:r>
          </w:p>
        </w:tc>
      </w:tr>
      <w:tr w:rsidR="00120B4F" w:rsidRPr="00BE5472" w14:paraId="6523B0C6" w14:textId="77777777" w:rsidTr="00A97F79">
        <w:tc>
          <w:tcPr>
            <w:tcW w:w="0" w:type="auto"/>
            <w:hideMark/>
          </w:tcPr>
          <w:p w14:paraId="09C8E74A"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Novčani tijek iz operacija</w:t>
            </w:r>
          </w:p>
        </w:tc>
        <w:tc>
          <w:tcPr>
            <w:tcW w:w="0" w:type="auto"/>
            <w:vAlign w:val="center"/>
            <w:hideMark/>
          </w:tcPr>
          <w:p w14:paraId="7B5DBF52"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5681AAE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4785E1A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4,25</w:t>
            </w:r>
          </w:p>
        </w:tc>
        <w:tc>
          <w:tcPr>
            <w:tcW w:w="0" w:type="auto"/>
            <w:vAlign w:val="center"/>
            <w:hideMark/>
          </w:tcPr>
          <w:p w14:paraId="762E313C"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0,74</w:t>
            </w:r>
          </w:p>
        </w:tc>
      </w:tr>
      <w:tr w:rsidR="00120B4F" w:rsidRPr="00BE5472" w14:paraId="1A49682B" w14:textId="77777777" w:rsidTr="00A97F79">
        <w:tc>
          <w:tcPr>
            <w:tcW w:w="0" w:type="auto"/>
            <w:hideMark/>
          </w:tcPr>
          <w:p w14:paraId="25417E03"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Hotelski pokazatelji uspješnosti (ADR, RevPAR…)</w:t>
            </w:r>
          </w:p>
        </w:tc>
        <w:tc>
          <w:tcPr>
            <w:tcW w:w="0" w:type="auto"/>
            <w:vAlign w:val="center"/>
            <w:hideMark/>
          </w:tcPr>
          <w:p w14:paraId="5C8C0A03"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0368F58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c>
          <w:tcPr>
            <w:tcW w:w="0" w:type="auto"/>
            <w:vAlign w:val="center"/>
            <w:hideMark/>
          </w:tcPr>
          <w:p w14:paraId="6C9FE6C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4,17</w:t>
            </w:r>
          </w:p>
        </w:tc>
        <w:tc>
          <w:tcPr>
            <w:tcW w:w="0" w:type="auto"/>
            <w:vAlign w:val="center"/>
            <w:hideMark/>
          </w:tcPr>
          <w:p w14:paraId="4D64421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r>
      <w:tr w:rsidR="00120B4F" w:rsidRPr="00BE5472" w14:paraId="699558E0" w14:textId="77777777" w:rsidTr="00A97F79">
        <w:tc>
          <w:tcPr>
            <w:tcW w:w="0" w:type="auto"/>
            <w:hideMark/>
          </w:tcPr>
          <w:p w14:paraId="0D2E0959"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Promjena kretanja cijene dionica</w:t>
            </w:r>
          </w:p>
        </w:tc>
        <w:tc>
          <w:tcPr>
            <w:tcW w:w="0" w:type="auto"/>
            <w:vAlign w:val="center"/>
            <w:hideMark/>
          </w:tcPr>
          <w:p w14:paraId="3A295900"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5F481B4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c>
          <w:tcPr>
            <w:tcW w:w="0" w:type="auto"/>
            <w:vAlign w:val="center"/>
            <w:hideMark/>
          </w:tcPr>
          <w:p w14:paraId="6C4B818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3,67</w:t>
            </w:r>
          </w:p>
        </w:tc>
        <w:tc>
          <w:tcPr>
            <w:tcW w:w="0" w:type="auto"/>
            <w:vAlign w:val="center"/>
            <w:hideMark/>
          </w:tcPr>
          <w:p w14:paraId="27B5193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0,72</w:t>
            </w:r>
          </w:p>
        </w:tc>
      </w:tr>
      <w:tr w:rsidR="00120B4F" w:rsidRPr="00BE5472" w14:paraId="04926394" w14:textId="77777777" w:rsidTr="00A97F79">
        <w:tc>
          <w:tcPr>
            <w:tcW w:w="0" w:type="auto"/>
            <w:hideMark/>
          </w:tcPr>
          <w:p w14:paraId="217F79EB"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Prihvaćanje nove organizacijske strukture</w:t>
            </w:r>
          </w:p>
        </w:tc>
        <w:tc>
          <w:tcPr>
            <w:tcW w:w="0" w:type="auto"/>
            <w:vAlign w:val="center"/>
            <w:hideMark/>
          </w:tcPr>
          <w:p w14:paraId="3274FF7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c>
          <w:tcPr>
            <w:tcW w:w="0" w:type="auto"/>
            <w:vAlign w:val="center"/>
            <w:hideMark/>
          </w:tcPr>
          <w:p w14:paraId="4D7962EE"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0,83</w:t>
            </w:r>
          </w:p>
        </w:tc>
        <w:tc>
          <w:tcPr>
            <w:tcW w:w="0" w:type="auto"/>
            <w:vAlign w:val="center"/>
            <w:hideMark/>
          </w:tcPr>
          <w:p w14:paraId="44D5111D"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4,58</w:t>
            </w:r>
          </w:p>
        </w:tc>
        <w:tc>
          <w:tcPr>
            <w:tcW w:w="0" w:type="auto"/>
            <w:vAlign w:val="center"/>
            <w:hideMark/>
          </w:tcPr>
          <w:p w14:paraId="3CFE586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0,87</w:t>
            </w:r>
          </w:p>
        </w:tc>
      </w:tr>
    </w:tbl>
    <w:p w14:paraId="7F02D76A" w14:textId="5F5369F7" w:rsidR="00120B4F" w:rsidRPr="00BE5472" w:rsidRDefault="00A97B22" w:rsidP="00120B4F">
      <w:pPr>
        <w:jc w:val="both"/>
        <w:rPr>
          <w:rFonts w:ascii="Times New Roman" w:hAnsi="Times New Roman" w:cs="Times New Roman"/>
          <w:sz w:val="24"/>
          <w:szCs w:val="24"/>
        </w:rPr>
      </w:pPr>
      <w:r>
        <w:rPr>
          <w:rFonts w:ascii="Times New Roman" w:hAnsi="Times New Roman" w:cs="Times New Roman"/>
          <w:sz w:val="24"/>
          <w:szCs w:val="24"/>
        </w:rPr>
        <w:t>Izvor: obrada autora</w:t>
      </w:r>
    </w:p>
    <w:p w14:paraId="77F18ED4" w14:textId="370F8E2D"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Tablica </w:t>
      </w:r>
      <w:r w:rsidR="00AF4E0A">
        <w:rPr>
          <w:rFonts w:ascii="Times New Roman" w:hAnsi="Times New Roman" w:cs="Times New Roman"/>
          <w:sz w:val="24"/>
          <w:szCs w:val="24"/>
        </w:rPr>
        <w:t>42</w:t>
      </w:r>
      <w:r w:rsidRPr="00BE5472">
        <w:rPr>
          <w:rFonts w:ascii="Times New Roman" w:hAnsi="Times New Roman" w:cs="Times New Roman"/>
          <w:sz w:val="24"/>
          <w:szCs w:val="24"/>
        </w:rPr>
        <w:t xml:space="preserve"> omogućuje usporedbu procjena važnosti pojedinih motiva i čimbenika, pri čemu su prikazane aritmetičke sredine i linearno ponderirani indeksi suglasnosti za obje skupine ispitanika. Usporedni prikaz ekspertne i menadžerske procjene ključnih motiva i čimbenika uspjeha procesa spajanja i preuzimanja pokazuje visoku razinu podudarnosti u većini analiziranih varijabli. </w:t>
      </w:r>
    </w:p>
    <w:p w14:paraId="09015274"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Kod motiva pokretanja procesa u obje skupine visoko su ocijenjeni povećanje tržišnog udjela i povećanje kapaciteta poduzeća preuzimatelja, dok je proširivanje tržišnih segmenata u menadžerskoj procjeni ocijenjeno nešto nižom prosječnom vrijednošću. </w:t>
      </w:r>
    </w:p>
    <w:p w14:paraId="12C4F44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fazi prije preuzimanja, visoke prosječne ocjene u obje skupine ostvaruju lokacija poduzeća mete, imidž turističke destinacije, sadašnja vrijednost očekivanih sinergija u odnosu na plaćene premije te strateška povezanost između poduzeća preuzimatelja i mete, uz određene razlike u intenzitetu procjene pojedinih financijskih i evaluacijskih čimbenika. </w:t>
      </w:r>
    </w:p>
    <w:p w14:paraId="28DCDE6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 fazi integracije uočava se izrazito visoka razina slaganja kod čimbenika povezanih s upravljanjem ljudskim resursima, organizacijskom strukturom i prijenosom kompetencija, pri čemu obje skupine ispitanika visoko vrednuju uspostavljanje unutarnjih mehanizama prijenosa znanja, pravedan odnos prema zaposlenicima te postavljanje nove upravljačke strukture. </w:t>
      </w:r>
    </w:p>
    <w:p w14:paraId="3C4BEFC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U postakvizicijskoj fazi obje skupine ispitanika najvišim ocjenama vrednuju prihvaćanje nove organizacijske strukture i praćenje operativnih i financijskih pokazatelja uspješnosti, dok promjena kretanja cijene dionica ostvaruje niže prosječne ocjene i veći raspon procjena.</w:t>
      </w:r>
    </w:p>
    <w:p w14:paraId="483981A6" w14:textId="25074B16"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Kako bi se dodatno istaknuli čimbenici koji u najvećoj mjeri doprinose uspješnosti procesa spajanja i preuzimanja u fazi prije preuzimanja poduzeća mete, u nastavku su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127A4E">
        <w:rPr>
          <w:rFonts w:ascii="Times New Roman" w:hAnsi="Times New Roman" w:cs="Times New Roman"/>
          <w:sz w:val="24"/>
          <w:szCs w:val="24"/>
        </w:rPr>
        <w:t>43</w:t>
      </w:r>
      <w:r w:rsidRPr="00BE5472">
        <w:rPr>
          <w:rFonts w:ascii="Times New Roman" w:hAnsi="Times New Roman" w:cs="Times New Roman"/>
          <w:sz w:val="24"/>
          <w:szCs w:val="24"/>
        </w:rPr>
        <w:t xml:space="preserve"> izdvojeni najviše rangirani čimbenici prema ekspertnoj i menadžerskoj procjeni, temeljeno na aritmetičkoj sredini ocjena i stabilnosti procjene. </w:t>
      </w:r>
    </w:p>
    <w:p w14:paraId="7B7B2474" w14:textId="5400D35A" w:rsidR="00120B4F" w:rsidRPr="00E1098E" w:rsidRDefault="00E1098E" w:rsidP="00E1098E">
      <w:pPr>
        <w:pStyle w:val="Caption"/>
        <w:rPr>
          <w:rFonts w:ascii="Times New Roman" w:hAnsi="Times New Roman" w:cs="Times New Roman"/>
          <w:sz w:val="24"/>
          <w:szCs w:val="24"/>
        </w:rPr>
      </w:pPr>
      <w:bookmarkStart w:id="200" w:name="_Toc241865237"/>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43</w:t>
      </w:r>
      <w:r w:rsidRPr="00E1098E">
        <w:rPr>
          <w:rFonts w:ascii="Times New Roman" w:hAnsi="Times New Roman" w:cs="Times New Roman"/>
          <w:sz w:val="24"/>
          <w:szCs w:val="24"/>
        </w:rPr>
        <w:fldChar w:fldCharType="end"/>
      </w:r>
      <w:r w:rsidR="00120B4F" w:rsidRPr="00E1098E">
        <w:rPr>
          <w:rFonts w:ascii="Times New Roman" w:hAnsi="Times New Roman" w:cs="Times New Roman"/>
          <w:bCs/>
          <w:sz w:val="24"/>
          <w:szCs w:val="24"/>
        </w:rPr>
        <w:t>: Najviše rangirani čimbenici uspjeha u fazi prije preuzimanja – usporedba ekspertne i menadžerske procjene</w:t>
      </w:r>
      <w:bookmarkEnd w:id="200"/>
    </w:p>
    <w:tbl>
      <w:tblPr>
        <w:tblStyle w:val="TableGrid"/>
        <w:tblW w:w="0" w:type="auto"/>
        <w:tblLook w:val="04A0" w:firstRow="1" w:lastRow="0" w:firstColumn="1" w:lastColumn="0" w:noHBand="0" w:noVBand="1"/>
      </w:tblPr>
      <w:tblGrid>
        <w:gridCol w:w="5805"/>
        <w:gridCol w:w="1494"/>
        <w:gridCol w:w="1720"/>
      </w:tblGrid>
      <w:tr w:rsidR="00120B4F" w:rsidRPr="00BE5472" w14:paraId="548E31ED" w14:textId="77777777" w:rsidTr="00A97F79">
        <w:tc>
          <w:tcPr>
            <w:tcW w:w="0" w:type="auto"/>
            <w:vAlign w:val="center"/>
            <w:hideMark/>
          </w:tcPr>
          <w:p w14:paraId="3E32694E" w14:textId="77777777" w:rsidR="00120B4F" w:rsidRPr="00BE5472" w:rsidRDefault="00120B4F" w:rsidP="00A97F79">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Čimbenik</w:t>
            </w:r>
          </w:p>
        </w:tc>
        <w:tc>
          <w:tcPr>
            <w:tcW w:w="0" w:type="auto"/>
            <w:vAlign w:val="center"/>
            <w:hideMark/>
          </w:tcPr>
          <w:p w14:paraId="2EFEB638" w14:textId="77777777" w:rsidR="00120B4F" w:rsidRPr="00BE5472" w:rsidRDefault="00120B4F" w:rsidP="00A97F79">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Eksperti – M</w:t>
            </w:r>
          </w:p>
        </w:tc>
        <w:tc>
          <w:tcPr>
            <w:tcW w:w="0" w:type="auto"/>
            <w:vAlign w:val="center"/>
            <w:hideMark/>
          </w:tcPr>
          <w:p w14:paraId="7CA156DC" w14:textId="77777777" w:rsidR="00120B4F" w:rsidRPr="00BE5472" w:rsidRDefault="00120B4F" w:rsidP="00A97F79">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Menadžeri – M</w:t>
            </w:r>
          </w:p>
        </w:tc>
      </w:tr>
      <w:tr w:rsidR="00120B4F" w:rsidRPr="00BE5472" w14:paraId="4458521A" w14:textId="77777777" w:rsidTr="00A97F79">
        <w:tc>
          <w:tcPr>
            <w:tcW w:w="0" w:type="auto"/>
            <w:hideMark/>
          </w:tcPr>
          <w:p w14:paraId="6E1E429D"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Lokacija poduzeća mete</w:t>
            </w:r>
          </w:p>
        </w:tc>
        <w:tc>
          <w:tcPr>
            <w:tcW w:w="0" w:type="auto"/>
            <w:vAlign w:val="center"/>
            <w:hideMark/>
          </w:tcPr>
          <w:p w14:paraId="19EE61FF"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693228E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4,75</w:t>
            </w:r>
          </w:p>
        </w:tc>
      </w:tr>
      <w:tr w:rsidR="00120B4F" w:rsidRPr="00BE5472" w14:paraId="51CFBCAE" w14:textId="77777777" w:rsidTr="00A97F79">
        <w:tc>
          <w:tcPr>
            <w:tcW w:w="0" w:type="auto"/>
            <w:hideMark/>
          </w:tcPr>
          <w:p w14:paraId="0B529906"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Imidž turističke destinacije</w:t>
            </w:r>
          </w:p>
        </w:tc>
        <w:tc>
          <w:tcPr>
            <w:tcW w:w="0" w:type="auto"/>
            <w:vAlign w:val="center"/>
            <w:hideMark/>
          </w:tcPr>
          <w:p w14:paraId="7AC52C0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7937193A"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4,42</w:t>
            </w:r>
          </w:p>
        </w:tc>
      </w:tr>
      <w:tr w:rsidR="00120B4F" w:rsidRPr="00BE5472" w14:paraId="325BF8D2" w14:textId="77777777" w:rsidTr="00A97F79">
        <w:tc>
          <w:tcPr>
            <w:tcW w:w="0" w:type="auto"/>
            <w:hideMark/>
          </w:tcPr>
          <w:p w14:paraId="29864DBB" w14:textId="77777777" w:rsidR="00120B4F" w:rsidRPr="00BE5472" w:rsidRDefault="00120B4F" w:rsidP="003C2F5B">
            <w:pPr>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Sadašnja vrijednost očekivanih sinergija veća od plaćenih premija</w:t>
            </w:r>
          </w:p>
        </w:tc>
        <w:tc>
          <w:tcPr>
            <w:tcW w:w="0" w:type="auto"/>
            <w:vAlign w:val="center"/>
            <w:hideMark/>
          </w:tcPr>
          <w:p w14:paraId="2060D5B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3DF31AE8"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r>
      <w:tr w:rsidR="00120B4F" w:rsidRPr="00BE5472" w14:paraId="35F44D41" w14:textId="77777777" w:rsidTr="00A97F79">
        <w:tc>
          <w:tcPr>
            <w:tcW w:w="0" w:type="auto"/>
            <w:hideMark/>
          </w:tcPr>
          <w:p w14:paraId="0D654F28" w14:textId="77777777" w:rsidR="00120B4F" w:rsidRPr="00BE5472" w:rsidRDefault="00120B4F" w:rsidP="003C2F5B">
            <w:pP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Strateška povezanost između poduzeća preuzimatelja i mete</w:t>
            </w:r>
          </w:p>
        </w:tc>
        <w:tc>
          <w:tcPr>
            <w:tcW w:w="0" w:type="auto"/>
            <w:vAlign w:val="center"/>
            <w:hideMark/>
          </w:tcPr>
          <w:p w14:paraId="029A7439"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c>
          <w:tcPr>
            <w:tcW w:w="0" w:type="auto"/>
            <w:vAlign w:val="center"/>
            <w:hideMark/>
          </w:tcPr>
          <w:p w14:paraId="7A69552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4,00</w:t>
            </w:r>
          </w:p>
        </w:tc>
      </w:tr>
      <w:tr w:rsidR="00120B4F" w:rsidRPr="00BE5472" w14:paraId="024D2311" w14:textId="77777777" w:rsidTr="00A97F79">
        <w:tc>
          <w:tcPr>
            <w:tcW w:w="0" w:type="auto"/>
            <w:hideMark/>
          </w:tcPr>
          <w:p w14:paraId="784474E0"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Dubinsko snimanje poduzeća mete</w:t>
            </w:r>
          </w:p>
        </w:tc>
        <w:tc>
          <w:tcPr>
            <w:tcW w:w="0" w:type="auto"/>
            <w:vAlign w:val="center"/>
            <w:hideMark/>
          </w:tcPr>
          <w:p w14:paraId="7544B367"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67A3645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r>
    </w:tbl>
    <w:p w14:paraId="64470543" w14:textId="03B65EAB" w:rsidR="00120B4F" w:rsidRPr="00BE5472" w:rsidRDefault="00C24043" w:rsidP="00120B4F">
      <w:pPr>
        <w:spacing w:line="360" w:lineRule="auto"/>
        <w:jc w:val="both"/>
        <w:rPr>
          <w:rFonts w:ascii="Times New Roman" w:hAnsi="Times New Roman" w:cs="Times New Roman"/>
          <w:sz w:val="24"/>
          <w:szCs w:val="24"/>
        </w:rPr>
      </w:pPr>
      <w:r>
        <w:rPr>
          <w:rFonts w:ascii="Times New Roman" w:hAnsi="Times New Roman" w:cs="Times New Roman"/>
          <w:sz w:val="24"/>
          <w:szCs w:val="24"/>
        </w:rPr>
        <w:t>Izvor: obrada autora</w:t>
      </w:r>
    </w:p>
    <w:p w14:paraId="13A1BD2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Prikazani rezultati ukazuju na visoku razinu podudarnosti ekspertne i menadžerske procjene u pogledu identifikacije ključnih čimbenika uspjeha u fazi prije preuzimanja. Iako su uočene razlike u intenzitetu procjene njihove važnosti, oba skupa ispitanika dosljedno visoko vrednuju čimbenike povezane s lokacijskim obilježjima, tržišnom atraktivnošću te strateškom i ekonomskom opravdanošću akvizicije.</w:t>
      </w:r>
    </w:p>
    <w:p w14:paraId="3EE140AD" w14:textId="3A658D51"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Budući da faza integracije ima ključnu ulogu u realizaciji očekivanih učinaka spajanja i preuzimanja, u nastavku su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E7132C">
        <w:rPr>
          <w:rFonts w:ascii="Times New Roman" w:hAnsi="Times New Roman" w:cs="Times New Roman"/>
          <w:sz w:val="24"/>
          <w:szCs w:val="24"/>
        </w:rPr>
        <w:t>4</w:t>
      </w:r>
      <w:r w:rsidR="00127A4E">
        <w:rPr>
          <w:rFonts w:ascii="Times New Roman" w:hAnsi="Times New Roman" w:cs="Times New Roman"/>
          <w:sz w:val="24"/>
          <w:szCs w:val="24"/>
        </w:rPr>
        <w:t>4</w:t>
      </w:r>
      <w:r w:rsidRPr="00BE5472">
        <w:rPr>
          <w:rFonts w:ascii="Times New Roman" w:hAnsi="Times New Roman" w:cs="Times New Roman"/>
          <w:sz w:val="24"/>
          <w:szCs w:val="24"/>
        </w:rPr>
        <w:t xml:space="preserve"> izdvojeni najviše rangirani čimbenici uspjeha u ovoj fazi prema ekspertnoj i menadžerskoj procjeni.</w:t>
      </w:r>
    </w:p>
    <w:p w14:paraId="17D9B6DE" w14:textId="77777777" w:rsidR="00C128EC" w:rsidRDefault="00C128EC" w:rsidP="00120B4F">
      <w:pPr>
        <w:spacing w:line="360" w:lineRule="auto"/>
        <w:jc w:val="both"/>
        <w:rPr>
          <w:rFonts w:ascii="Times New Roman" w:hAnsi="Times New Roman" w:cs="Times New Roman"/>
          <w:sz w:val="24"/>
          <w:szCs w:val="24"/>
        </w:rPr>
        <w:sectPr w:rsidR="00C128EC" w:rsidSect="00120B4F">
          <w:pgSz w:w="11909" w:h="16834" w:code="9"/>
          <w:pgMar w:top="1440" w:right="1440" w:bottom="1440" w:left="1440" w:header="720" w:footer="720" w:gutter="0"/>
          <w:cols w:space="720"/>
          <w:docGrid w:linePitch="360"/>
        </w:sectPr>
      </w:pPr>
    </w:p>
    <w:p w14:paraId="627B14B2" w14:textId="4F5F593E" w:rsidR="00120B4F" w:rsidRPr="00E1098E" w:rsidRDefault="00E1098E" w:rsidP="00E1098E">
      <w:pPr>
        <w:pStyle w:val="Caption"/>
        <w:rPr>
          <w:rFonts w:ascii="Times New Roman" w:hAnsi="Times New Roman" w:cs="Times New Roman"/>
          <w:sz w:val="24"/>
          <w:szCs w:val="24"/>
        </w:rPr>
      </w:pPr>
      <w:bookmarkStart w:id="201" w:name="_Toc241865238"/>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44</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Najviše rangirani čimbenici uspjeha u fazi integracije – usporedba ekspertne i menadžerske procjene</w:t>
      </w:r>
      <w:bookmarkEnd w:id="201"/>
    </w:p>
    <w:tbl>
      <w:tblPr>
        <w:tblStyle w:val="TableGrid"/>
        <w:tblW w:w="0" w:type="auto"/>
        <w:tblLook w:val="04A0" w:firstRow="1" w:lastRow="0" w:firstColumn="1" w:lastColumn="0" w:noHBand="0" w:noVBand="1"/>
      </w:tblPr>
      <w:tblGrid>
        <w:gridCol w:w="5879"/>
        <w:gridCol w:w="1457"/>
        <w:gridCol w:w="1683"/>
      </w:tblGrid>
      <w:tr w:rsidR="00120B4F" w:rsidRPr="00BE5472" w14:paraId="0BF2E677" w14:textId="77777777" w:rsidTr="00A97F79">
        <w:tc>
          <w:tcPr>
            <w:tcW w:w="0" w:type="auto"/>
            <w:vAlign w:val="center"/>
            <w:hideMark/>
          </w:tcPr>
          <w:p w14:paraId="26D5E76D" w14:textId="77777777" w:rsidR="00120B4F" w:rsidRPr="00BE5472" w:rsidRDefault="00120B4F" w:rsidP="00A97F79">
            <w:pPr>
              <w:spacing w:line="360" w:lineRule="auto"/>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Čimbenik</w:t>
            </w:r>
          </w:p>
        </w:tc>
        <w:tc>
          <w:tcPr>
            <w:tcW w:w="0" w:type="auto"/>
            <w:vAlign w:val="center"/>
            <w:hideMark/>
          </w:tcPr>
          <w:p w14:paraId="771C169D" w14:textId="77777777" w:rsidR="00120B4F" w:rsidRPr="00BE5472" w:rsidRDefault="00120B4F" w:rsidP="00A97F79">
            <w:pPr>
              <w:spacing w:line="360" w:lineRule="auto"/>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Eksperti – M</w:t>
            </w:r>
          </w:p>
        </w:tc>
        <w:tc>
          <w:tcPr>
            <w:tcW w:w="0" w:type="auto"/>
            <w:vAlign w:val="center"/>
            <w:hideMark/>
          </w:tcPr>
          <w:p w14:paraId="0B9C72F5" w14:textId="77777777" w:rsidR="00120B4F" w:rsidRPr="00BE5472" w:rsidRDefault="00120B4F" w:rsidP="00A97F79">
            <w:pPr>
              <w:spacing w:line="360" w:lineRule="auto"/>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Menadžeri – M</w:t>
            </w:r>
          </w:p>
        </w:tc>
      </w:tr>
      <w:tr w:rsidR="00120B4F" w:rsidRPr="00BE5472" w14:paraId="20BB3824" w14:textId="77777777" w:rsidTr="00A97F79">
        <w:tc>
          <w:tcPr>
            <w:tcW w:w="0" w:type="auto"/>
            <w:hideMark/>
          </w:tcPr>
          <w:p w14:paraId="00802552" w14:textId="77777777" w:rsidR="00120B4F" w:rsidRPr="00BE5472" w:rsidRDefault="00120B4F" w:rsidP="003C2F5B">
            <w:pPr>
              <w:spacing w:line="360" w:lineRule="auto"/>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Uspostavljanje unutarnjih mehanizama prijenosa kompetencija i resursa</w:t>
            </w:r>
          </w:p>
        </w:tc>
        <w:tc>
          <w:tcPr>
            <w:tcW w:w="0" w:type="auto"/>
            <w:vAlign w:val="center"/>
            <w:hideMark/>
          </w:tcPr>
          <w:p w14:paraId="4F247635"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44D7AAAB"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4,83</w:t>
            </w:r>
          </w:p>
        </w:tc>
      </w:tr>
      <w:tr w:rsidR="00120B4F" w:rsidRPr="00BE5472" w14:paraId="660554B7" w14:textId="77777777" w:rsidTr="00A97F79">
        <w:tc>
          <w:tcPr>
            <w:tcW w:w="0" w:type="auto"/>
            <w:hideMark/>
          </w:tcPr>
          <w:p w14:paraId="496584A2" w14:textId="77777777" w:rsidR="00120B4F" w:rsidRPr="00BE5472" w:rsidRDefault="00120B4F" w:rsidP="003C2F5B">
            <w:pPr>
              <w:spacing w:line="360" w:lineRule="auto"/>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Pravedan i odlučan odnos prema zaposlenicima</w:t>
            </w:r>
          </w:p>
        </w:tc>
        <w:tc>
          <w:tcPr>
            <w:tcW w:w="0" w:type="auto"/>
            <w:vAlign w:val="center"/>
            <w:hideMark/>
          </w:tcPr>
          <w:p w14:paraId="569E2699"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0C3B9D11"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r>
      <w:tr w:rsidR="00120B4F" w:rsidRPr="00BE5472" w14:paraId="466D0230" w14:textId="77777777" w:rsidTr="00A97F79">
        <w:tc>
          <w:tcPr>
            <w:tcW w:w="0" w:type="auto"/>
            <w:hideMark/>
          </w:tcPr>
          <w:p w14:paraId="758FCB84" w14:textId="77777777" w:rsidR="00120B4F" w:rsidRPr="00BE5472" w:rsidRDefault="00120B4F" w:rsidP="003C2F5B">
            <w:pPr>
              <w:spacing w:line="360" w:lineRule="auto"/>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Postavljanje nove upravljačke strukture u poduzeću meti</w:t>
            </w:r>
          </w:p>
        </w:tc>
        <w:tc>
          <w:tcPr>
            <w:tcW w:w="0" w:type="auto"/>
            <w:vAlign w:val="center"/>
            <w:hideMark/>
          </w:tcPr>
          <w:p w14:paraId="287F7B65"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3DAD8FA8"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r>
      <w:tr w:rsidR="00120B4F" w:rsidRPr="00BE5472" w14:paraId="6AF268B6" w14:textId="77777777" w:rsidTr="00A97F79">
        <w:tc>
          <w:tcPr>
            <w:tcW w:w="0" w:type="auto"/>
            <w:hideMark/>
          </w:tcPr>
          <w:p w14:paraId="5EF9C354" w14:textId="77777777" w:rsidR="00120B4F" w:rsidRPr="00BE5472" w:rsidRDefault="00120B4F" w:rsidP="003C2F5B">
            <w:pPr>
              <w:spacing w:line="360" w:lineRule="auto"/>
              <w:rPr>
                <w:rFonts w:ascii="Times New Roman" w:eastAsia="Times New Roman" w:hAnsi="Times New Roman" w:cs="Times New Roman"/>
                <w:sz w:val="24"/>
                <w:szCs w:val="24"/>
              </w:rPr>
            </w:pPr>
            <w:r w:rsidRPr="00BE5472">
              <w:rPr>
                <w:rFonts w:ascii="Times New Roman" w:eastAsia="Times New Roman" w:hAnsi="Times New Roman" w:cs="Times New Roman"/>
                <w:sz w:val="24"/>
                <w:szCs w:val="24"/>
              </w:rPr>
              <w:t>Identificiranje prilika za jačanje konkurentske pozicije</w:t>
            </w:r>
          </w:p>
        </w:tc>
        <w:tc>
          <w:tcPr>
            <w:tcW w:w="0" w:type="auto"/>
            <w:vAlign w:val="center"/>
            <w:hideMark/>
          </w:tcPr>
          <w:p w14:paraId="2EC749D4"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4,50</w:t>
            </w:r>
          </w:p>
        </w:tc>
        <w:tc>
          <w:tcPr>
            <w:tcW w:w="0" w:type="auto"/>
            <w:vAlign w:val="center"/>
            <w:hideMark/>
          </w:tcPr>
          <w:p w14:paraId="2E681B77"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r>
      <w:tr w:rsidR="00120B4F" w:rsidRPr="00BE5472" w14:paraId="097FFF12" w14:textId="77777777" w:rsidTr="00A97F79">
        <w:tc>
          <w:tcPr>
            <w:tcW w:w="0" w:type="auto"/>
            <w:hideMark/>
          </w:tcPr>
          <w:p w14:paraId="70A80F11" w14:textId="77777777" w:rsidR="00120B4F" w:rsidRPr="00BE5472" w:rsidRDefault="00120B4F" w:rsidP="003C2F5B">
            <w:pPr>
              <w:spacing w:line="360" w:lineRule="auto"/>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Osiguranje resursa potrebnih za integraciju</w:t>
            </w:r>
          </w:p>
        </w:tc>
        <w:tc>
          <w:tcPr>
            <w:tcW w:w="0" w:type="auto"/>
            <w:vAlign w:val="center"/>
            <w:hideMark/>
          </w:tcPr>
          <w:p w14:paraId="7A56F03D"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4,67</w:t>
            </w:r>
          </w:p>
        </w:tc>
        <w:tc>
          <w:tcPr>
            <w:tcW w:w="0" w:type="auto"/>
            <w:vAlign w:val="center"/>
            <w:hideMark/>
          </w:tcPr>
          <w:p w14:paraId="744B581B" w14:textId="77777777" w:rsidR="00120B4F" w:rsidRPr="00BE5472" w:rsidRDefault="00120B4F" w:rsidP="00A97F79">
            <w:pPr>
              <w:spacing w:line="360" w:lineRule="auto"/>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4,33</w:t>
            </w:r>
          </w:p>
        </w:tc>
      </w:tr>
    </w:tbl>
    <w:p w14:paraId="62D5E617" w14:textId="77777777" w:rsidR="00C24043" w:rsidRPr="00BE5472" w:rsidRDefault="00C24043" w:rsidP="00C24043">
      <w:pPr>
        <w:spacing w:line="360" w:lineRule="auto"/>
        <w:jc w:val="both"/>
        <w:rPr>
          <w:rFonts w:ascii="Times New Roman" w:hAnsi="Times New Roman" w:cs="Times New Roman"/>
          <w:sz w:val="24"/>
          <w:szCs w:val="24"/>
        </w:rPr>
      </w:pPr>
      <w:r>
        <w:rPr>
          <w:rFonts w:ascii="Times New Roman" w:hAnsi="Times New Roman" w:cs="Times New Roman"/>
          <w:sz w:val="24"/>
          <w:szCs w:val="24"/>
        </w:rPr>
        <w:t>Izvor: obrada autora</w:t>
      </w:r>
    </w:p>
    <w:p w14:paraId="6D667D50"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ukazuju na vrlo visok stupanj slaganja između ekspertne i menadžerske procjene u fazi integracije, osobito kod čimbenika povezanih s organizacijskom strukturom, upravljanjem ljudskim resursima i prijenosom znanja. U obje skupine ispitanika navedeni čimbenici ostvaruju visoke prosječne ocjene i stabilne razine suglasnosti, što potvrđuje njihovu ključnu ulogu u uspješnoj provedbi integracijskog procesa.</w:t>
      </w:r>
    </w:p>
    <w:p w14:paraId="0FE2642C"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Radi jasnijeg tumačenja prikazanih sličnosti i razlika u procjenama, usporedba ekspertne i menadžerske procjene temeljila se na unaprijed definiranim kriterijima relevantnosti i podudarnosti. Čimbenici su smatrani relevantnima ako su ostvarili aritmetičku sredinu ocjena od najmanje 4,00 u barem jednoj skupini ispitanika, dok je podudarnost procjena utvrđivana u slučajevima kada su obje skupine čimbenike ocijenile kao važne (aritmetička sredina ≥ 4,00), odnosno kada su razlike u prosječnim ocjenama bile marginalne. U slučajevima kada su uočene razlike u aritmetičkim sredinama, one su analizirane isključivo u pogledu intenziteta percipirane važnosti pojedinih čimbenika, a ne u pogledu njihove identifikacije kao ključnih. Stabilnost procjena dodatno je sagledana putem ukupnog linearno ponderiranog indeksa suglasnosti, pri čemu su vrijednosti iznad 0,75 upućivale na visok stupanj homogenosti stavova unutar skupina ispitanika.</w:t>
      </w:r>
    </w:p>
    <w:p w14:paraId="05225733" w14:textId="2ED29D46"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Kako bi se dodatno sagledala razina homogenosti stavova unutar pojedinih skupina ispitanika, u nastavku je prikazana usporedba ukupnih linearno ponderiranih indeksa suglasnosti za ekspertnu i menadžersku procjenu ključnih motiva i čimbenika uspjeha procesa spajanja i preuzimanja.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E7132C">
        <w:rPr>
          <w:rFonts w:ascii="Times New Roman" w:hAnsi="Times New Roman" w:cs="Times New Roman"/>
          <w:sz w:val="24"/>
          <w:szCs w:val="24"/>
        </w:rPr>
        <w:t>4</w:t>
      </w:r>
      <w:r w:rsidR="00127A4E">
        <w:rPr>
          <w:rFonts w:ascii="Times New Roman" w:hAnsi="Times New Roman" w:cs="Times New Roman"/>
          <w:sz w:val="24"/>
          <w:szCs w:val="24"/>
        </w:rPr>
        <w:t>5</w:t>
      </w:r>
      <w:r w:rsidRPr="00BE5472">
        <w:rPr>
          <w:rFonts w:ascii="Times New Roman" w:hAnsi="Times New Roman" w:cs="Times New Roman"/>
          <w:sz w:val="24"/>
          <w:szCs w:val="24"/>
        </w:rPr>
        <w:t xml:space="preserve"> prikazana je usporedba ukupnih linearno ponderiranih indeksa </w:t>
      </w:r>
      <w:r w:rsidRPr="00BE5472">
        <w:rPr>
          <w:rFonts w:ascii="Times New Roman" w:hAnsi="Times New Roman" w:cs="Times New Roman"/>
          <w:sz w:val="24"/>
          <w:szCs w:val="24"/>
        </w:rPr>
        <w:lastRenderedPageBreak/>
        <w:t>suglasnosti ekspertne i menadžerske procjene ključnih motiva i čimbenika uspjeha procesa spajanja i preuzimanja.</w:t>
      </w:r>
    </w:p>
    <w:p w14:paraId="1177FF4B" w14:textId="74E7C41C" w:rsidR="00120B4F" w:rsidRPr="00E1098E" w:rsidRDefault="00E1098E" w:rsidP="00E1098E">
      <w:pPr>
        <w:pStyle w:val="Caption"/>
        <w:rPr>
          <w:rFonts w:ascii="Times New Roman" w:hAnsi="Times New Roman" w:cs="Times New Roman"/>
          <w:sz w:val="24"/>
          <w:szCs w:val="24"/>
        </w:rPr>
      </w:pPr>
      <w:bookmarkStart w:id="202" w:name="_Toc241865239"/>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45</w:t>
      </w:r>
      <w:r w:rsidRPr="00E1098E">
        <w:rPr>
          <w:rFonts w:ascii="Times New Roman" w:hAnsi="Times New Roman" w:cs="Times New Roman"/>
          <w:sz w:val="24"/>
          <w:szCs w:val="24"/>
        </w:rPr>
        <w:fldChar w:fldCharType="end"/>
      </w:r>
      <w:r w:rsidR="00120B4F" w:rsidRPr="00E1098E">
        <w:rPr>
          <w:rFonts w:ascii="Times New Roman" w:hAnsi="Times New Roman" w:cs="Times New Roman"/>
          <w:sz w:val="24"/>
          <w:szCs w:val="24"/>
        </w:rPr>
        <w:t>: Usporedba ukupnih linearno ponderiranih indeksa suglasnosti ekspertne i menadžerske procjene</w:t>
      </w:r>
      <w:bookmarkEnd w:id="202"/>
    </w:p>
    <w:tbl>
      <w:tblPr>
        <w:tblStyle w:val="TableGrid"/>
        <w:tblW w:w="0" w:type="auto"/>
        <w:tblLook w:val="04A0" w:firstRow="1" w:lastRow="0" w:firstColumn="1" w:lastColumn="0" w:noHBand="0" w:noVBand="1"/>
      </w:tblPr>
      <w:tblGrid>
        <w:gridCol w:w="4171"/>
        <w:gridCol w:w="4848"/>
      </w:tblGrid>
      <w:tr w:rsidR="00120B4F" w:rsidRPr="00BE5472" w14:paraId="561423DF" w14:textId="77777777" w:rsidTr="00A97F79">
        <w:tc>
          <w:tcPr>
            <w:tcW w:w="0" w:type="auto"/>
            <w:vAlign w:val="center"/>
            <w:hideMark/>
          </w:tcPr>
          <w:p w14:paraId="4389A9D3" w14:textId="77777777" w:rsidR="00120B4F" w:rsidRPr="00BE5472" w:rsidRDefault="00120B4F" w:rsidP="00A97F79">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Skupina ispitanika</w:t>
            </w:r>
          </w:p>
        </w:tc>
        <w:tc>
          <w:tcPr>
            <w:tcW w:w="0" w:type="auto"/>
            <w:vAlign w:val="center"/>
            <w:hideMark/>
          </w:tcPr>
          <w:p w14:paraId="1344EBBB" w14:textId="77777777" w:rsidR="00120B4F" w:rsidRPr="00BE5472" w:rsidRDefault="00120B4F" w:rsidP="00A97F79">
            <w:pPr>
              <w:jc w:val="center"/>
              <w:rPr>
                <w:rFonts w:ascii="Times New Roman" w:eastAsia="Times New Roman" w:hAnsi="Times New Roman" w:cs="Times New Roman"/>
                <w:b/>
                <w:bCs/>
                <w:sz w:val="24"/>
                <w:szCs w:val="24"/>
                <w:lang w:val="it-IT"/>
              </w:rPr>
            </w:pPr>
            <w:r w:rsidRPr="00BE5472">
              <w:rPr>
                <w:rFonts w:ascii="Times New Roman" w:eastAsia="Times New Roman" w:hAnsi="Times New Roman" w:cs="Times New Roman"/>
                <w:b/>
                <w:bCs/>
                <w:sz w:val="24"/>
                <w:szCs w:val="24"/>
                <w:lang w:val="it-IT"/>
              </w:rPr>
              <w:t>Ukupni linearno ponderirani indeks suglasnosti</w:t>
            </w:r>
          </w:p>
        </w:tc>
      </w:tr>
      <w:tr w:rsidR="00120B4F" w:rsidRPr="00BE5472" w14:paraId="3ACAACAD" w14:textId="77777777" w:rsidTr="00A97F79">
        <w:tc>
          <w:tcPr>
            <w:tcW w:w="0" w:type="auto"/>
            <w:hideMark/>
          </w:tcPr>
          <w:p w14:paraId="5DB11207"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Ekspertna procjena (Delphi postupak)</w:t>
            </w:r>
          </w:p>
        </w:tc>
        <w:tc>
          <w:tcPr>
            <w:tcW w:w="0" w:type="auto"/>
            <w:vAlign w:val="center"/>
            <w:hideMark/>
          </w:tcPr>
          <w:p w14:paraId="6D0D8596"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0,75</w:t>
            </w:r>
          </w:p>
        </w:tc>
      </w:tr>
      <w:tr w:rsidR="00120B4F" w:rsidRPr="00BE5472" w14:paraId="3FD8FC06" w14:textId="77777777" w:rsidTr="00A97F79">
        <w:tc>
          <w:tcPr>
            <w:tcW w:w="0" w:type="auto"/>
            <w:hideMark/>
          </w:tcPr>
          <w:p w14:paraId="0C4F32F5" w14:textId="77777777" w:rsidR="00120B4F" w:rsidRPr="00BE5472" w:rsidRDefault="00120B4F" w:rsidP="003C2F5B">
            <w:pP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Menadžerska procjena (hotelska poduzeća)</w:t>
            </w:r>
          </w:p>
        </w:tc>
        <w:tc>
          <w:tcPr>
            <w:tcW w:w="0" w:type="auto"/>
            <w:vAlign w:val="center"/>
            <w:hideMark/>
          </w:tcPr>
          <w:p w14:paraId="556286C4" w14:textId="77777777" w:rsidR="00120B4F" w:rsidRPr="00BE5472" w:rsidRDefault="00120B4F" w:rsidP="00A97F79">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0,81</w:t>
            </w:r>
          </w:p>
        </w:tc>
      </w:tr>
    </w:tbl>
    <w:p w14:paraId="3AF63395" w14:textId="77777777" w:rsidR="00B00D05" w:rsidRPr="00BE5472" w:rsidRDefault="00B00D05" w:rsidP="00B00D05">
      <w:pPr>
        <w:spacing w:line="360" w:lineRule="auto"/>
        <w:jc w:val="both"/>
        <w:rPr>
          <w:rFonts w:ascii="Times New Roman" w:hAnsi="Times New Roman" w:cs="Times New Roman"/>
          <w:sz w:val="24"/>
          <w:szCs w:val="24"/>
        </w:rPr>
      </w:pPr>
      <w:r>
        <w:rPr>
          <w:rFonts w:ascii="Times New Roman" w:hAnsi="Times New Roman" w:cs="Times New Roman"/>
          <w:sz w:val="24"/>
          <w:szCs w:val="24"/>
        </w:rPr>
        <w:t>Izvor: obrada autora</w:t>
      </w:r>
    </w:p>
    <w:p w14:paraId="4EEDE4E5"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Prikazani rezultati upućuju na visok stupanj suglasnosti unutar obje skupine ispitanika, pri čemu je u menadžerskoj procjeni zabilježena nešto viša razina homogenosti stavova u odnosu na ekspertnu procjenu.</w:t>
      </w:r>
    </w:p>
    <w:p w14:paraId="342A0200" w14:textId="2B885647" w:rsidR="00120B4F" w:rsidRPr="00BE5472" w:rsidRDefault="00120B4F" w:rsidP="00B00D05">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temelju objedinjene analize rezultata ekspertne procjene, empirijskog anketnog istraživanja te kvalitativnih uvida iz polustrukturiranih intervjua može se zaključiti da se hipoteza H1 </w:t>
      </w:r>
      <w:r w:rsidRPr="00BE5472">
        <w:rPr>
          <w:rFonts w:ascii="Times New Roman" w:hAnsi="Times New Roman" w:cs="Times New Roman"/>
          <w:b/>
          <w:bCs/>
          <w:sz w:val="24"/>
          <w:szCs w:val="24"/>
        </w:rPr>
        <w:t>potvrđuje</w:t>
      </w:r>
      <w:r w:rsidRPr="00BE5472">
        <w:rPr>
          <w:rFonts w:ascii="Times New Roman" w:hAnsi="Times New Roman" w:cs="Times New Roman"/>
          <w:sz w:val="24"/>
          <w:szCs w:val="24"/>
        </w:rPr>
        <w:t>.</w:t>
      </w:r>
      <w:r w:rsidR="00B00D05">
        <w:rPr>
          <w:rFonts w:ascii="Times New Roman" w:hAnsi="Times New Roman" w:cs="Times New Roman"/>
          <w:sz w:val="24"/>
          <w:szCs w:val="24"/>
        </w:rPr>
        <w:t xml:space="preserve"> </w:t>
      </w:r>
      <w:r w:rsidRPr="00BE5472">
        <w:rPr>
          <w:rFonts w:ascii="Times New Roman" w:hAnsi="Times New Roman" w:cs="Times New Roman"/>
          <w:sz w:val="24"/>
          <w:szCs w:val="24"/>
        </w:rPr>
        <w:t xml:space="preserve">Slijedi prikaz rezultata drugog dijela provedenih </w:t>
      </w:r>
      <w:r w:rsidR="006170A1" w:rsidRPr="00BE5472">
        <w:rPr>
          <w:rFonts w:ascii="Times New Roman" w:hAnsi="Times New Roman" w:cs="Times New Roman"/>
          <w:sz w:val="24"/>
          <w:szCs w:val="24"/>
        </w:rPr>
        <w:t>kvantitativnih</w:t>
      </w:r>
      <w:r w:rsidRPr="00BE5472">
        <w:rPr>
          <w:rFonts w:ascii="Times New Roman" w:hAnsi="Times New Roman" w:cs="Times New Roman"/>
          <w:sz w:val="24"/>
          <w:szCs w:val="24"/>
        </w:rPr>
        <w:t xml:space="preserve"> istraživanja.</w:t>
      </w:r>
    </w:p>
    <w:p w14:paraId="4A9B944A" w14:textId="77777777" w:rsidR="00120B4F" w:rsidRPr="00BE5472" w:rsidRDefault="00120B4F" w:rsidP="00120B4F">
      <w:pPr>
        <w:jc w:val="both"/>
        <w:rPr>
          <w:rFonts w:ascii="Times New Roman" w:hAnsi="Times New Roman" w:cs="Times New Roman"/>
          <w:sz w:val="24"/>
          <w:szCs w:val="24"/>
        </w:rPr>
      </w:pPr>
    </w:p>
    <w:p w14:paraId="4D94B000" w14:textId="3171C2ED" w:rsidR="00120B4F" w:rsidRDefault="00120B4F" w:rsidP="00A97F79">
      <w:pPr>
        <w:pStyle w:val="Heading3"/>
        <w:rPr>
          <w:rFonts w:ascii="Times New Roman" w:hAnsi="Times New Roman" w:cs="Times New Roman"/>
        </w:rPr>
      </w:pPr>
      <w:bookmarkStart w:id="203" w:name="_Toc241865174"/>
      <w:r w:rsidRPr="00BE5472">
        <w:rPr>
          <w:rFonts w:ascii="Times New Roman" w:hAnsi="Times New Roman" w:cs="Times New Roman"/>
        </w:rPr>
        <w:t>5.2.4.</w:t>
      </w:r>
      <w:bookmarkStart w:id="204" w:name="_Toc182495663"/>
      <w:r w:rsidR="00555206" w:rsidRPr="00BE5472">
        <w:rPr>
          <w:rFonts w:ascii="Times New Roman" w:eastAsiaTheme="minorHAnsi" w:hAnsi="Times New Roman" w:cs="Times New Roman"/>
          <w:color w:val="000000"/>
          <w:sz w:val="27"/>
          <w:szCs w:val="27"/>
        </w:rPr>
        <w:t xml:space="preserve"> </w:t>
      </w:r>
      <w:r w:rsidR="00555206" w:rsidRPr="00BE5472">
        <w:rPr>
          <w:rFonts w:ascii="Times New Roman" w:hAnsi="Times New Roman" w:cs="Times New Roman"/>
        </w:rPr>
        <w:t>Usporedna analiza pokazatelja uspješnosti prije i nakon akvizicije</w:t>
      </w:r>
      <w:bookmarkEnd w:id="203"/>
    </w:p>
    <w:p w14:paraId="6E4F2CD3" w14:textId="77777777" w:rsidR="00B00D05" w:rsidRPr="00B00D05" w:rsidRDefault="00B00D05" w:rsidP="00B00D05"/>
    <w:p w14:paraId="443D5914" w14:textId="77777777" w:rsidR="00AF3630" w:rsidRPr="00BE5472" w:rsidRDefault="00AF3630" w:rsidP="00AF3630">
      <w:pPr>
        <w:spacing w:line="360" w:lineRule="auto"/>
        <w:jc w:val="both"/>
        <w:rPr>
          <w:rFonts w:ascii="Times New Roman" w:hAnsi="Times New Roman" w:cs="Times New Roman"/>
          <w:sz w:val="24"/>
          <w:szCs w:val="24"/>
        </w:rPr>
      </w:pPr>
      <w:bookmarkStart w:id="205" w:name="_Toc182495664"/>
      <w:bookmarkEnd w:id="204"/>
      <w:r w:rsidRPr="00BE5472">
        <w:rPr>
          <w:rFonts w:ascii="Times New Roman" w:hAnsi="Times New Roman" w:cs="Times New Roman"/>
          <w:sz w:val="24"/>
          <w:szCs w:val="24"/>
        </w:rPr>
        <w:t>Kako bi se utvrdili efekti preuzimanja na uspješnost poslovanja promatranih poduzeća, u nastavku su prikazani i interpretirani rezultati testiranja razlika ključnih pokazatelja efikasnosti, likvidnosti, zaduženosti i tržišne vrijednosti prije i nakon akvizicije.</w:t>
      </w:r>
    </w:p>
    <w:p w14:paraId="58B5F804" w14:textId="77777777" w:rsidR="00120B4F" w:rsidRPr="00BE5472" w:rsidRDefault="00120B4F" w:rsidP="00120B4F">
      <w:pPr>
        <w:rPr>
          <w:rFonts w:ascii="Times New Roman" w:hAnsi="Times New Roman" w:cs="Times New Roman"/>
          <w:b/>
          <w:bCs/>
          <w:kern w:val="2"/>
          <w:sz w:val="24"/>
          <w14:ligatures w14:val="standardContextual"/>
        </w:rPr>
      </w:pPr>
      <w:r w:rsidRPr="00BE5472">
        <w:rPr>
          <w:rFonts w:ascii="Times New Roman" w:hAnsi="Times New Roman" w:cs="Times New Roman"/>
          <w:b/>
          <w:bCs/>
          <w:kern w:val="2"/>
          <w:sz w:val="24"/>
          <w14:ligatures w14:val="standardContextual"/>
        </w:rPr>
        <w:t>EBITDA</w:t>
      </w:r>
      <w:bookmarkEnd w:id="205"/>
    </w:p>
    <w:p w14:paraId="57F88E70" w14:textId="4A5DEFCB"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4</w:t>
      </w:r>
      <w:r w:rsidR="00127A4E">
        <w:rPr>
          <w:rFonts w:ascii="Times New Roman" w:hAnsi="Times New Roman" w:cs="Times New Roman"/>
          <w:kern w:val="2"/>
          <w:sz w:val="24"/>
          <w14:ligatures w14:val="standardContextual"/>
        </w:rPr>
        <w:t>6</w:t>
      </w:r>
      <w:r w:rsidRPr="00BE5472">
        <w:rPr>
          <w:rFonts w:ascii="Times New Roman" w:hAnsi="Times New Roman" w:cs="Times New Roman"/>
          <w:kern w:val="2"/>
          <w:sz w:val="24"/>
          <w14:ligatures w14:val="standardContextual"/>
        </w:rPr>
        <w:t xml:space="preserve"> prikazani su rezultati testiranja razlike u visini pokazatelja EBITDA prije i nakon preuzimanja poduzeća. </w:t>
      </w:r>
    </w:p>
    <w:p w14:paraId="40917DC0" w14:textId="77777777" w:rsidR="00E97FEA" w:rsidRDefault="00E97FEA" w:rsidP="00120B4F">
      <w:pPr>
        <w:spacing w:line="360" w:lineRule="auto"/>
        <w:rPr>
          <w:rFonts w:ascii="Times New Roman" w:hAnsi="Times New Roman" w:cs="Times New Roman"/>
          <w:kern w:val="2"/>
          <w:sz w:val="24"/>
          <w14:ligatures w14:val="standardContextual"/>
        </w:rPr>
        <w:sectPr w:rsidR="00E97FEA" w:rsidSect="00120B4F">
          <w:pgSz w:w="11909" w:h="16834" w:code="9"/>
          <w:pgMar w:top="1440" w:right="1440" w:bottom="1440" w:left="1440" w:header="720" w:footer="720" w:gutter="0"/>
          <w:cols w:space="720"/>
          <w:docGrid w:linePitch="360"/>
        </w:sectPr>
      </w:pPr>
    </w:p>
    <w:p w14:paraId="757D487C" w14:textId="38A8F9E2" w:rsidR="00120B4F" w:rsidRPr="00E1098E" w:rsidRDefault="00E1098E" w:rsidP="00E1098E">
      <w:pPr>
        <w:pStyle w:val="Caption"/>
        <w:rPr>
          <w:rFonts w:ascii="Times New Roman" w:hAnsi="Times New Roman" w:cs="Times New Roman"/>
          <w:kern w:val="2"/>
          <w:sz w:val="24"/>
          <w:szCs w:val="24"/>
          <w14:ligatures w14:val="standardContextual"/>
        </w:rPr>
      </w:pPr>
      <w:bookmarkStart w:id="206" w:name="_Toc241865240"/>
      <w:r w:rsidRPr="00E1098E">
        <w:rPr>
          <w:rFonts w:ascii="Times New Roman" w:hAnsi="Times New Roman" w:cs="Times New Roman"/>
          <w:sz w:val="24"/>
          <w:szCs w:val="24"/>
        </w:rPr>
        <w:lastRenderedPageBreak/>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46</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EBITDA-i prije i nakon procesa preuzimanja poduzeća</w:t>
      </w:r>
      <w:bookmarkEnd w:id="206"/>
    </w:p>
    <w:tbl>
      <w:tblPr>
        <w:tblW w:w="5000" w:type="pct"/>
        <w:tblLook w:val="04A0" w:firstRow="1" w:lastRow="0" w:firstColumn="1" w:lastColumn="0" w:noHBand="0" w:noVBand="1"/>
      </w:tblPr>
      <w:tblGrid>
        <w:gridCol w:w="4061"/>
        <w:gridCol w:w="636"/>
        <w:gridCol w:w="1676"/>
        <w:gridCol w:w="1836"/>
        <w:gridCol w:w="820"/>
      </w:tblGrid>
      <w:tr w:rsidR="00120B4F" w:rsidRPr="00BE5472" w14:paraId="0AF06943" w14:textId="77777777" w:rsidTr="003C2F5B">
        <w:trPr>
          <w:trHeight w:val="330"/>
        </w:trPr>
        <w:tc>
          <w:tcPr>
            <w:tcW w:w="1768" w:type="pct"/>
            <w:tcBorders>
              <w:top w:val="nil"/>
              <w:left w:val="nil"/>
              <w:bottom w:val="nil"/>
              <w:right w:val="nil"/>
            </w:tcBorders>
            <w:noWrap/>
            <w:vAlign w:val="bottom"/>
            <w:hideMark/>
          </w:tcPr>
          <w:p w14:paraId="6252A92B"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40" w:type="pct"/>
            <w:tcBorders>
              <w:top w:val="single" w:sz="4" w:space="0" w:color="auto"/>
              <w:left w:val="nil"/>
              <w:bottom w:val="nil"/>
              <w:right w:val="nil"/>
            </w:tcBorders>
            <w:noWrap/>
            <w:vAlign w:val="center"/>
            <w:hideMark/>
          </w:tcPr>
          <w:p w14:paraId="1830B4A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2225" w:type="pct"/>
            <w:gridSpan w:val="2"/>
            <w:tcBorders>
              <w:top w:val="single" w:sz="4" w:space="0" w:color="auto"/>
              <w:left w:val="nil"/>
              <w:bottom w:val="nil"/>
              <w:right w:val="nil"/>
            </w:tcBorders>
            <w:noWrap/>
            <w:vAlign w:val="center"/>
            <w:hideMark/>
          </w:tcPr>
          <w:p w14:paraId="1F8F69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 CI</w:t>
            </w:r>
          </w:p>
        </w:tc>
        <w:tc>
          <w:tcPr>
            <w:tcW w:w="567" w:type="pct"/>
            <w:tcBorders>
              <w:top w:val="single" w:sz="4" w:space="0" w:color="auto"/>
              <w:left w:val="nil"/>
              <w:bottom w:val="nil"/>
              <w:right w:val="nil"/>
            </w:tcBorders>
            <w:noWrap/>
            <w:vAlign w:val="center"/>
            <w:hideMark/>
          </w:tcPr>
          <w:p w14:paraId="5BC7616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725148EA" w14:textId="77777777" w:rsidTr="003C2F5B">
        <w:trPr>
          <w:trHeight w:val="330"/>
        </w:trPr>
        <w:tc>
          <w:tcPr>
            <w:tcW w:w="1768" w:type="pct"/>
            <w:tcBorders>
              <w:top w:val="single" w:sz="4" w:space="0" w:color="auto"/>
              <w:left w:val="nil"/>
              <w:bottom w:val="single" w:sz="4" w:space="0" w:color="auto"/>
              <w:right w:val="nil"/>
            </w:tcBorders>
            <w:noWrap/>
            <w:vAlign w:val="bottom"/>
            <w:hideMark/>
          </w:tcPr>
          <w:p w14:paraId="4402F5B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40" w:type="pct"/>
            <w:tcBorders>
              <w:top w:val="single" w:sz="4" w:space="0" w:color="auto"/>
              <w:left w:val="nil"/>
              <w:bottom w:val="single" w:sz="4" w:space="0" w:color="auto"/>
              <w:right w:val="nil"/>
            </w:tcBorders>
            <w:noWrap/>
            <w:vAlign w:val="center"/>
            <w:hideMark/>
          </w:tcPr>
          <w:p w14:paraId="40989D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1085" w:type="pct"/>
            <w:tcBorders>
              <w:top w:val="single" w:sz="4" w:space="0" w:color="auto"/>
              <w:left w:val="nil"/>
              <w:bottom w:val="single" w:sz="4" w:space="0" w:color="auto"/>
              <w:right w:val="nil"/>
            </w:tcBorders>
            <w:noWrap/>
            <w:vAlign w:val="center"/>
            <w:hideMark/>
          </w:tcPr>
          <w:p w14:paraId="39CC2C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1140" w:type="pct"/>
            <w:tcBorders>
              <w:top w:val="single" w:sz="4" w:space="0" w:color="auto"/>
              <w:left w:val="nil"/>
              <w:bottom w:val="single" w:sz="4" w:space="0" w:color="auto"/>
              <w:right w:val="nil"/>
            </w:tcBorders>
            <w:noWrap/>
            <w:vAlign w:val="center"/>
            <w:hideMark/>
          </w:tcPr>
          <w:p w14:paraId="68D0E4C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67" w:type="pct"/>
            <w:tcBorders>
              <w:top w:val="single" w:sz="4" w:space="0" w:color="auto"/>
              <w:left w:val="nil"/>
              <w:bottom w:val="single" w:sz="4" w:space="0" w:color="auto"/>
              <w:right w:val="nil"/>
            </w:tcBorders>
            <w:noWrap/>
            <w:vAlign w:val="center"/>
            <w:hideMark/>
          </w:tcPr>
          <w:p w14:paraId="30E5935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489BF1E1" w14:textId="77777777" w:rsidTr="003C2F5B">
        <w:trPr>
          <w:trHeight w:val="315"/>
        </w:trPr>
        <w:tc>
          <w:tcPr>
            <w:tcW w:w="1768" w:type="pct"/>
            <w:tcBorders>
              <w:top w:val="nil"/>
              <w:left w:val="nil"/>
              <w:bottom w:val="nil"/>
              <w:right w:val="nil"/>
            </w:tcBorders>
            <w:noWrap/>
            <w:vAlign w:val="center"/>
            <w:hideMark/>
          </w:tcPr>
          <w:p w14:paraId="3367259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40" w:type="pct"/>
            <w:tcBorders>
              <w:top w:val="nil"/>
              <w:left w:val="nil"/>
              <w:bottom w:val="nil"/>
              <w:right w:val="nil"/>
            </w:tcBorders>
            <w:noWrap/>
            <w:vAlign w:val="center"/>
            <w:hideMark/>
          </w:tcPr>
          <w:p w14:paraId="1719804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8.43</w:t>
            </w:r>
          </w:p>
        </w:tc>
        <w:tc>
          <w:tcPr>
            <w:tcW w:w="1085" w:type="pct"/>
            <w:tcBorders>
              <w:top w:val="nil"/>
              <w:left w:val="nil"/>
              <w:bottom w:val="nil"/>
              <w:right w:val="nil"/>
            </w:tcBorders>
            <w:noWrap/>
            <w:vAlign w:val="center"/>
            <w:hideMark/>
          </w:tcPr>
          <w:p w14:paraId="4859D6C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8.31</w:t>
            </w:r>
          </w:p>
        </w:tc>
        <w:tc>
          <w:tcPr>
            <w:tcW w:w="1140" w:type="pct"/>
            <w:tcBorders>
              <w:top w:val="nil"/>
              <w:left w:val="nil"/>
              <w:bottom w:val="nil"/>
              <w:right w:val="nil"/>
            </w:tcBorders>
            <w:noWrap/>
            <w:vAlign w:val="center"/>
            <w:hideMark/>
          </w:tcPr>
          <w:p w14:paraId="3991DE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8.56</w:t>
            </w:r>
          </w:p>
        </w:tc>
        <w:tc>
          <w:tcPr>
            <w:tcW w:w="567" w:type="pct"/>
            <w:tcBorders>
              <w:top w:val="nil"/>
              <w:left w:val="nil"/>
              <w:bottom w:val="nil"/>
              <w:right w:val="nil"/>
            </w:tcBorders>
            <w:noWrap/>
            <w:vAlign w:val="center"/>
            <w:hideMark/>
          </w:tcPr>
          <w:p w14:paraId="2C0EA35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0B0E5A0A" w14:textId="77777777" w:rsidTr="003C2F5B">
        <w:trPr>
          <w:trHeight w:val="480"/>
        </w:trPr>
        <w:tc>
          <w:tcPr>
            <w:tcW w:w="1768" w:type="pct"/>
            <w:tcBorders>
              <w:top w:val="nil"/>
              <w:left w:val="nil"/>
              <w:bottom w:val="nil"/>
              <w:right w:val="nil"/>
            </w:tcBorders>
            <w:noWrap/>
            <w:vAlign w:val="center"/>
            <w:hideMark/>
          </w:tcPr>
          <w:p w14:paraId="219B18F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40" w:type="pct"/>
            <w:tcBorders>
              <w:top w:val="nil"/>
              <w:left w:val="nil"/>
              <w:bottom w:val="nil"/>
              <w:right w:val="nil"/>
            </w:tcBorders>
            <w:noWrap/>
            <w:vAlign w:val="center"/>
            <w:hideMark/>
          </w:tcPr>
          <w:p w14:paraId="56194F2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1085" w:type="pct"/>
            <w:tcBorders>
              <w:top w:val="nil"/>
              <w:left w:val="nil"/>
              <w:bottom w:val="nil"/>
              <w:right w:val="nil"/>
            </w:tcBorders>
            <w:noWrap/>
            <w:vAlign w:val="center"/>
            <w:hideMark/>
          </w:tcPr>
          <w:p w14:paraId="23FDCD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1140" w:type="pct"/>
            <w:tcBorders>
              <w:top w:val="nil"/>
              <w:left w:val="nil"/>
              <w:bottom w:val="nil"/>
              <w:right w:val="nil"/>
            </w:tcBorders>
            <w:noWrap/>
            <w:vAlign w:val="center"/>
            <w:hideMark/>
          </w:tcPr>
          <w:p w14:paraId="5AB8F54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567" w:type="pct"/>
            <w:tcBorders>
              <w:top w:val="nil"/>
              <w:left w:val="nil"/>
              <w:bottom w:val="nil"/>
              <w:right w:val="nil"/>
            </w:tcBorders>
            <w:noWrap/>
            <w:vAlign w:val="center"/>
            <w:hideMark/>
          </w:tcPr>
          <w:p w14:paraId="04A6B8D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0.923</w:t>
            </w:r>
          </w:p>
        </w:tc>
      </w:tr>
      <w:tr w:rsidR="00120B4F" w:rsidRPr="00BE5472" w14:paraId="324067F3" w14:textId="77777777" w:rsidTr="003C2F5B">
        <w:trPr>
          <w:trHeight w:val="480"/>
        </w:trPr>
        <w:tc>
          <w:tcPr>
            <w:tcW w:w="1768" w:type="pct"/>
            <w:tcBorders>
              <w:top w:val="nil"/>
              <w:left w:val="nil"/>
              <w:bottom w:val="nil"/>
              <w:right w:val="nil"/>
            </w:tcBorders>
            <w:noWrap/>
            <w:vAlign w:val="center"/>
            <w:hideMark/>
          </w:tcPr>
          <w:p w14:paraId="40A0F91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40" w:type="pct"/>
            <w:tcBorders>
              <w:top w:val="nil"/>
              <w:left w:val="nil"/>
              <w:bottom w:val="nil"/>
              <w:right w:val="nil"/>
            </w:tcBorders>
            <w:noWrap/>
            <w:vAlign w:val="center"/>
            <w:hideMark/>
          </w:tcPr>
          <w:p w14:paraId="7A81B2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0.94</w:t>
            </w:r>
          </w:p>
        </w:tc>
        <w:tc>
          <w:tcPr>
            <w:tcW w:w="1085" w:type="pct"/>
            <w:tcBorders>
              <w:top w:val="nil"/>
              <w:left w:val="nil"/>
              <w:bottom w:val="nil"/>
              <w:right w:val="nil"/>
            </w:tcBorders>
            <w:noWrap/>
            <w:vAlign w:val="center"/>
            <w:hideMark/>
          </w:tcPr>
          <w:p w14:paraId="5CA28C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0.76</w:t>
            </w:r>
          </w:p>
        </w:tc>
        <w:tc>
          <w:tcPr>
            <w:tcW w:w="1140" w:type="pct"/>
            <w:tcBorders>
              <w:top w:val="nil"/>
              <w:left w:val="nil"/>
              <w:bottom w:val="nil"/>
              <w:right w:val="nil"/>
            </w:tcBorders>
            <w:noWrap/>
            <w:vAlign w:val="center"/>
            <w:hideMark/>
          </w:tcPr>
          <w:p w14:paraId="62FB3B4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1.12</w:t>
            </w:r>
          </w:p>
        </w:tc>
        <w:tc>
          <w:tcPr>
            <w:tcW w:w="567" w:type="pct"/>
            <w:tcBorders>
              <w:top w:val="nil"/>
              <w:left w:val="nil"/>
              <w:bottom w:val="nil"/>
              <w:right w:val="nil"/>
            </w:tcBorders>
            <w:noWrap/>
            <w:vAlign w:val="center"/>
            <w:hideMark/>
          </w:tcPr>
          <w:p w14:paraId="5B1E3E1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0D462450" w14:textId="77777777" w:rsidTr="003C2F5B">
        <w:trPr>
          <w:trHeight w:val="390"/>
        </w:trPr>
        <w:tc>
          <w:tcPr>
            <w:tcW w:w="1768" w:type="pct"/>
            <w:tcBorders>
              <w:top w:val="nil"/>
              <w:left w:val="nil"/>
              <w:bottom w:val="nil"/>
              <w:right w:val="nil"/>
            </w:tcBorders>
            <w:noWrap/>
            <w:vAlign w:val="center"/>
            <w:hideMark/>
          </w:tcPr>
          <w:p w14:paraId="6BE0913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40" w:type="pct"/>
            <w:tcBorders>
              <w:top w:val="nil"/>
              <w:left w:val="nil"/>
              <w:bottom w:val="nil"/>
              <w:right w:val="nil"/>
            </w:tcBorders>
            <w:noWrap/>
            <w:vAlign w:val="center"/>
            <w:hideMark/>
          </w:tcPr>
          <w:p w14:paraId="212FF72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1085" w:type="pct"/>
            <w:tcBorders>
              <w:top w:val="nil"/>
              <w:left w:val="nil"/>
              <w:bottom w:val="nil"/>
              <w:right w:val="nil"/>
            </w:tcBorders>
            <w:noWrap/>
            <w:vAlign w:val="center"/>
            <w:hideMark/>
          </w:tcPr>
          <w:p w14:paraId="482A27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1140" w:type="pct"/>
            <w:tcBorders>
              <w:top w:val="nil"/>
              <w:left w:val="nil"/>
              <w:bottom w:val="nil"/>
              <w:right w:val="nil"/>
            </w:tcBorders>
            <w:noWrap/>
            <w:vAlign w:val="center"/>
            <w:hideMark/>
          </w:tcPr>
          <w:p w14:paraId="142BF6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0.38</w:t>
            </w:r>
          </w:p>
        </w:tc>
        <w:tc>
          <w:tcPr>
            <w:tcW w:w="567" w:type="pct"/>
            <w:tcBorders>
              <w:top w:val="nil"/>
              <w:left w:val="nil"/>
              <w:bottom w:val="nil"/>
              <w:right w:val="nil"/>
            </w:tcBorders>
            <w:noWrap/>
            <w:vAlign w:val="center"/>
            <w:hideMark/>
          </w:tcPr>
          <w:p w14:paraId="758F15D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0.349</w:t>
            </w:r>
          </w:p>
        </w:tc>
      </w:tr>
      <w:tr w:rsidR="00120B4F" w:rsidRPr="00BE5472" w14:paraId="5663CB92" w14:textId="77777777" w:rsidTr="003C2F5B">
        <w:trPr>
          <w:trHeight w:val="495"/>
        </w:trPr>
        <w:tc>
          <w:tcPr>
            <w:tcW w:w="1768" w:type="pct"/>
            <w:tcBorders>
              <w:top w:val="nil"/>
              <w:left w:val="nil"/>
              <w:bottom w:val="nil"/>
              <w:right w:val="nil"/>
            </w:tcBorders>
            <w:noWrap/>
            <w:vAlign w:val="center"/>
            <w:hideMark/>
          </w:tcPr>
          <w:p w14:paraId="56EBDBE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40" w:type="pct"/>
            <w:tcBorders>
              <w:top w:val="nil"/>
              <w:left w:val="nil"/>
              <w:bottom w:val="nil"/>
              <w:right w:val="nil"/>
            </w:tcBorders>
            <w:noWrap/>
            <w:vAlign w:val="center"/>
            <w:hideMark/>
          </w:tcPr>
          <w:p w14:paraId="31608B7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1085" w:type="pct"/>
            <w:tcBorders>
              <w:top w:val="nil"/>
              <w:left w:val="nil"/>
              <w:bottom w:val="nil"/>
              <w:right w:val="nil"/>
            </w:tcBorders>
            <w:noWrap/>
            <w:vAlign w:val="center"/>
            <w:hideMark/>
          </w:tcPr>
          <w:p w14:paraId="5FD2CD1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1140" w:type="pct"/>
            <w:tcBorders>
              <w:top w:val="nil"/>
              <w:left w:val="nil"/>
              <w:bottom w:val="nil"/>
              <w:right w:val="nil"/>
            </w:tcBorders>
            <w:noWrap/>
            <w:vAlign w:val="center"/>
            <w:hideMark/>
          </w:tcPr>
          <w:p w14:paraId="3513A18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c>
          <w:tcPr>
            <w:tcW w:w="567" w:type="pct"/>
            <w:tcBorders>
              <w:top w:val="nil"/>
              <w:left w:val="nil"/>
              <w:bottom w:val="nil"/>
              <w:right w:val="nil"/>
            </w:tcBorders>
            <w:noWrap/>
            <w:vAlign w:val="center"/>
            <w:hideMark/>
          </w:tcPr>
          <w:p w14:paraId="4D29C47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0.235</w:t>
            </w:r>
          </w:p>
        </w:tc>
      </w:tr>
      <w:tr w:rsidR="00120B4F" w:rsidRPr="00BE5472" w14:paraId="4157E023" w14:textId="77777777" w:rsidTr="003C2F5B">
        <w:trPr>
          <w:trHeight w:val="330"/>
        </w:trPr>
        <w:tc>
          <w:tcPr>
            <w:tcW w:w="1768" w:type="pct"/>
            <w:tcBorders>
              <w:top w:val="single" w:sz="4" w:space="0" w:color="auto"/>
              <w:left w:val="nil"/>
              <w:bottom w:val="nil"/>
              <w:right w:val="nil"/>
            </w:tcBorders>
            <w:noWrap/>
            <w:vAlign w:val="bottom"/>
            <w:hideMark/>
          </w:tcPr>
          <w:p w14:paraId="4D8589E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3232" w:type="pct"/>
            <w:gridSpan w:val="4"/>
            <w:tcBorders>
              <w:top w:val="single" w:sz="4" w:space="0" w:color="auto"/>
              <w:left w:val="nil"/>
              <w:bottom w:val="nil"/>
              <w:right w:val="nil"/>
            </w:tcBorders>
            <w:noWrap/>
            <w:vAlign w:val="center"/>
            <w:hideMark/>
          </w:tcPr>
          <w:p w14:paraId="1708A2B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r>
      <w:tr w:rsidR="00120B4F" w:rsidRPr="00BE5472" w14:paraId="24D8F449" w14:textId="77777777" w:rsidTr="003C2F5B">
        <w:trPr>
          <w:trHeight w:val="315"/>
        </w:trPr>
        <w:tc>
          <w:tcPr>
            <w:tcW w:w="1768" w:type="pct"/>
            <w:tcBorders>
              <w:top w:val="nil"/>
              <w:left w:val="nil"/>
              <w:bottom w:val="nil"/>
              <w:right w:val="nil"/>
            </w:tcBorders>
            <w:noWrap/>
            <w:vAlign w:val="bottom"/>
            <w:hideMark/>
          </w:tcPr>
          <w:p w14:paraId="633E706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3232" w:type="pct"/>
            <w:gridSpan w:val="4"/>
            <w:tcBorders>
              <w:top w:val="nil"/>
              <w:left w:val="nil"/>
              <w:bottom w:val="nil"/>
              <w:right w:val="nil"/>
            </w:tcBorders>
            <w:noWrap/>
            <w:vAlign w:val="center"/>
            <w:hideMark/>
          </w:tcPr>
          <w:p w14:paraId="6D6A5F5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r>
      <w:tr w:rsidR="00120B4F" w:rsidRPr="00BE5472" w14:paraId="49B35BAA" w14:textId="77777777" w:rsidTr="003C2F5B">
        <w:trPr>
          <w:trHeight w:val="315"/>
        </w:trPr>
        <w:tc>
          <w:tcPr>
            <w:tcW w:w="1768" w:type="pct"/>
            <w:tcBorders>
              <w:top w:val="nil"/>
              <w:left w:val="nil"/>
              <w:bottom w:val="nil"/>
              <w:right w:val="nil"/>
            </w:tcBorders>
            <w:noWrap/>
            <w:vAlign w:val="bottom"/>
            <w:hideMark/>
          </w:tcPr>
          <w:p w14:paraId="3220604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3232" w:type="pct"/>
            <w:gridSpan w:val="4"/>
            <w:tcBorders>
              <w:top w:val="nil"/>
              <w:left w:val="nil"/>
              <w:bottom w:val="nil"/>
              <w:right w:val="nil"/>
            </w:tcBorders>
            <w:noWrap/>
            <w:vAlign w:val="center"/>
            <w:hideMark/>
          </w:tcPr>
          <w:p w14:paraId="1F1A296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49DC8DC4" w14:textId="77777777" w:rsidTr="003C2F5B">
        <w:trPr>
          <w:trHeight w:val="315"/>
        </w:trPr>
        <w:tc>
          <w:tcPr>
            <w:tcW w:w="1768" w:type="pct"/>
            <w:tcBorders>
              <w:top w:val="nil"/>
              <w:left w:val="nil"/>
              <w:bottom w:val="nil"/>
              <w:right w:val="nil"/>
            </w:tcBorders>
            <w:noWrap/>
            <w:vAlign w:val="bottom"/>
            <w:hideMark/>
          </w:tcPr>
          <w:p w14:paraId="00D05D4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3232" w:type="pct"/>
            <w:gridSpan w:val="4"/>
            <w:tcBorders>
              <w:top w:val="nil"/>
              <w:left w:val="nil"/>
              <w:bottom w:val="nil"/>
              <w:right w:val="nil"/>
            </w:tcBorders>
            <w:noWrap/>
            <w:vAlign w:val="center"/>
            <w:hideMark/>
          </w:tcPr>
          <w:p w14:paraId="5497426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57665390" w14:textId="77777777" w:rsidTr="003C2F5B">
        <w:trPr>
          <w:trHeight w:val="330"/>
        </w:trPr>
        <w:tc>
          <w:tcPr>
            <w:tcW w:w="1768" w:type="pct"/>
            <w:tcBorders>
              <w:top w:val="nil"/>
              <w:left w:val="nil"/>
              <w:bottom w:val="single" w:sz="4" w:space="0" w:color="auto"/>
              <w:right w:val="nil"/>
            </w:tcBorders>
            <w:noWrap/>
            <w:vAlign w:val="bottom"/>
            <w:hideMark/>
          </w:tcPr>
          <w:p w14:paraId="2D377DA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3232" w:type="pct"/>
            <w:gridSpan w:val="4"/>
            <w:tcBorders>
              <w:top w:val="nil"/>
              <w:left w:val="nil"/>
              <w:bottom w:val="single" w:sz="4" w:space="0" w:color="auto"/>
              <w:right w:val="nil"/>
            </w:tcBorders>
            <w:noWrap/>
            <w:vAlign w:val="center"/>
            <w:hideMark/>
          </w:tcPr>
          <w:p w14:paraId="44DC6D9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0BA09D3F" w14:textId="0F4B726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2BBD3CE0" w14:textId="77777777"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EBITDA između razdoblja prije i nakon preuzimanja poduzeća (B = 0.12, 95%  CI [-0.14, 0.38], p = .349), nije utvrđen statistički značajan vremenski trend (B = 0.00, 95%  CI [-0.04, 0.04], p = .923), te nije utvrđena statistički značajna interakcija između statusa poduzeća i vremenskog trenda (B = 0.05, 95%  CI [-0.03, 0.13], p = .235).</w:t>
      </w:r>
    </w:p>
    <w:p w14:paraId="6FAD4F84" w14:textId="77777777" w:rsidR="0042420B" w:rsidRDefault="0042420B" w:rsidP="00120B4F">
      <w:pPr>
        <w:rPr>
          <w:rFonts w:ascii="Times New Roman" w:hAnsi="Times New Roman" w:cs="Times New Roman"/>
          <w:b/>
          <w:bCs/>
          <w:kern w:val="2"/>
          <w:sz w:val="24"/>
          <w14:ligatures w14:val="standardContextual"/>
        </w:rPr>
        <w:sectPr w:rsidR="0042420B" w:rsidSect="00120B4F">
          <w:pgSz w:w="11909" w:h="16834" w:code="9"/>
          <w:pgMar w:top="1440" w:right="1440" w:bottom="1440" w:left="1440" w:header="720" w:footer="720" w:gutter="0"/>
          <w:cols w:space="720"/>
          <w:docGrid w:linePitch="360"/>
        </w:sectPr>
      </w:pPr>
      <w:bookmarkStart w:id="207" w:name="_Toc182495665"/>
    </w:p>
    <w:p w14:paraId="15D51FB0" w14:textId="77777777" w:rsidR="00120B4F" w:rsidRPr="00BE5472" w:rsidRDefault="00120B4F" w:rsidP="00120B4F">
      <w:pPr>
        <w:rPr>
          <w:rFonts w:ascii="Times New Roman" w:hAnsi="Times New Roman" w:cs="Times New Roman"/>
          <w:b/>
          <w:bCs/>
          <w:kern w:val="2"/>
          <w:sz w:val="24"/>
          <w14:ligatures w14:val="standardContextual"/>
        </w:rPr>
      </w:pPr>
      <w:r w:rsidRPr="00BE5472">
        <w:rPr>
          <w:rFonts w:ascii="Times New Roman" w:hAnsi="Times New Roman" w:cs="Times New Roman"/>
          <w:b/>
          <w:bCs/>
          <w:kern w:val="2"/>
          <w:sz w:val="24"/>
          <w14:ligatures w14:val="standardContextual"/>
        </w:rPr>
        <w:lastRenderedPageBreak/>
        <w:t>ROA</w:t>
      </w:r>
      <w:bookmarkEnd w:id="207"/>
    </w:p>
    <w:p w14:paraId="2C2D7343" w14:textId="001462BA" w:rsidR="00120B4F" w:rsidRPr="00E1098E" w:rsidRDefault="00E1098E" w:rsidP="00E1098E">
      <w:pPr>
        <w:pStyle w:val="Caption"/>
        <w:rPr>
          <w:rFonts w:ascii="Times New Roman" w:hAnsi="Times New Roman" w:cs="Times New Roman"/>
          <w:kern w:val="2"/>
          <w:sz w:val="24"/>
          <w:szCs w:val="24"/>
          <w14:ligatures w14:val="standardContextual"/>
        </w:rPr>
      </w:pPr>
      <w:bookmarkStart w:id="208" w:name="_Toc24186524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47</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ROA-i prije i nakon procesa preuzimanja poduzeća</w:t>
      </w:r>
      <w:bookmarkEnd w:id="208"/>
    </w:p>
    <w:p w14:paraId="66ABA063" w14:textId="76C567B6"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4</w:t>
      </w:r>
      <w:r w:rsidR="00127A4E">
        <w:rPr>
          <w:rFonts w:ascii="Times New Roman" w:hAnsi="Times New Roman" w:cs="Times New Roman"/>
          <w:kern w:val="2"/>
          <w:sz w:val="24"/>
          <w14:ligatures w14:val="standardContextual"/>
        </w:rPr>
        <w:t>7</w:t>
      </w:r>
      <w:r w:rsidRPr="00BE5472">
        <w:rPr>
          <w:rFonts w:ascii="Times New Roman" w:hAnsi="Times New Roman" w:cs="Times New Roman"/>
          <w:kern w:val="2"/>
          <w:sz w:val="24"/>
          <w14:ligatures w14:val="standardContextual"/>
        </w:rPr>
        <w:t xml:space="preserve"> prikazani su rezultati testiranja razlike u visini pokazatelja ROA prije i nakon preuzimanja poduzeća.</w:t>
      </w:r>
    </w:p>
    <w:tbl>
      <w:tblPr>
        <w:tblW w:w="5000" w:type="pct"/>
        <w:tblLook w:val="04A0" w:firstRow="1" w:lastRow="0" w:firstColumn="1" w:lastColumn="0" w:noHBand="0" w:noVBand="1"/>
      </w:tblPr>
      <w:tblGrid>
        <w:gridCol w:w="4062"/>
        <w:gridCol w:w="832"/>
        <w:gridCol w:w="1569"/>
        <w:gridCol w:w="1649"/>
        <w:gridCol w:w="917"/>
      </w:tblGrid>
      <w:tr w:rsidR="00120B4F" w:rsidRPr="00BE5472" w14:paraId="49BD9410" w14:textId="77777777" w:rsidTr="003C2F5B">
        <w:trPr>
          <w:trHeight w:val="330"/>
        </w:trPr>
        <w:tc>
          <w:tcPr>
            <w:tcW w:w="2249" w:type="pct"/>
            <w:tcBorders>
              <w:top w:val="nil"/>
              <w:left w:val="nil"/>
              <w:bottom w:val="nil"/>
              <w:right w:val="nil"/>
            </w:tcBorders>
            <w:noWrap/>
            <w:vAlign w:val="bottom"/>
            <w:hideMark/>
          </w:tcPr>
          <w:p w14:paraId="6134E801"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45B559B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5940664D" w14:textId="5C717D90"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9603BF"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16A16C1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64ECC734"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08E6098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7C07254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392CF97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0D6B35C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64F9F9B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72C17C08" w14:textId="77777777" w:rsidTr="003C2F5B">
        <w:trPr>
          <w:trHeight w:val="315"/>
        </w:trPr>
        <w:tc>
          <w:tcPr>
            <w:tcW w:w="2249" w:type="pct"/>
            <w:tcBorders>
              <w:top w:val="nil"/>
              <w:left w:val="nil"/>
              <w:bottom w:val="nil"/>
              <w:right w:val="nil"/>
            </w:tcBorders>
            <w:noWrap/>
            <w:vAlign w:val="bottom"/>
            <w:hideMark/>
          </w:tcPr>
          <w:p w14:paraId="6AA2EFC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07D68A7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869" w:type="pct"/>
            <w:tcBorders>
              <w:top w:val="nil"/>
              <w:left w:val="nil"/>
              <w:bottom w:val="nil"/>
              <w:right w:val="nil"/>
            </w:tcBorders>
            <w:noWrap/>
            <w:vAlign w:val="center"/>
            <w:hideMark/>
          </w:tcPr>
          <w:p w14:paraId="4C8B3F9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13" w:type="pct"/>
            <w:tcBorders>
              <w:top w:val="nil"/>
              <w:left w:val="nil"/>
              <w:bottom w:val="nil"/>
              <w:right w:val="nil"/>
            </w:tcBorders>
            <w:noWrap/>
            <w:vAlign w:val="center"/>
            <w:hideMark/>
          </w:tcPr>
          <w:p w14:paraId="1513527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508" w:type="pct"/>
            <w:tcBorders>
              <w:top w:val="nil"/>
              <w:left w:val="nil"/>
              <w:bottom w:val="nil"/>
              <w:right w:val="nil"/>
            </w:tcBorders>
            <w:noWrap/>
            <w:vAlign w:val="center"/>
            <w:hideMark/>
          </w:tcPr>
          <w:p w14:paraId="214F1AB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A88BE37" w14:textId="77777777" w:rsidTr="003C2F5B">
        <w:trPr>
          <w:trHeight w:val="480"/>
        </w:trPr>
        <w:tc>
          <w:tcPr>
            <w:tcW w:w="2249" w:type="pct"/>
            <w:tcBorders>
              <w:top w:val="nil"/>
              <w:left w:val="nil"/>
              <w:bottom w:val="nil"/>
              <w:right w:val="nil"/>
            </w:tcBorders>
            <w:noWrap/>
            <w:vAlign w:val="bottom"/>
            <w:hideMark/>
          </w:tcPr>
          <w:p w14:paraId="03C021A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7CD839D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869" w:type="pct"/>
            <w:tcBorders>
              <w:top w:val="nil"/>
              <w:left w:val="nil"/>
              <w:bottom w:val="nil"/>
              <w:right w:val="nil"/>
            </w:tcBorders>
            <w:noWrap/>
            <w:vAlign w:val="center"/>
            <w:hideMark/>
          </w:tcPr>
          <w:p w14:paraId="0E2EF69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913" w:type="pct"/>
            <w:tcBorders>
              <w:top w:val="nil"/>
              <w:left w:val="nil"/>
              <w:bottom w:val="nil"/>
              <w:right w:val="nil"/>
            </w:tcBorders>
            <w:noWrap/>
            <w:vAlign w:val="center"/>
            <w:hideMark/>
          </w:tcPr>
          <w:p w14:paraId="3AB60B6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508" w:type="pct"/>
            <w:tcBorders>
              <w:top w:val="nil"/>
              <w:left w:val="nil"/>
              <w:bottom w:val="nil"/>
              <w:right w:val="nil"/>
            </w:tcBorders>
            <w:noWrap/>
            <w:vAlign w:val="center"/>
            <w:hideMark/>
          </w:tcPr>
          <w:p w14:paraId="74DFD8B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0.452</w:t>
            </w:r>
          </w:p>
        </w:tc>
      </w:tr>
      <w:tr w:rsidR="00120B4F" w:rsidRPr="00BE5472" w14:paraId="0BDC083B" w14:textId="77777777" w:rsidTr="003C2F5B">
        <w:trPr>
          <w:trHeight w:val="345"/>
        </w:trPr>
        <w:tc>
          <w:tcPr>
            <w:tcW w:w="2249" w:type="pct"/>
            <w:tcBorders>
              <w:top w:val="nil"/>
              <w:left w:val="nil"/>
              <w:bottom w:val="nil"/>
              <w:right w:val="nil"/>
            </w:tcBorders>
            <w:noWrap/>
            <w:vAlign w:val="bottom"/>
            <w:hideMark/>
          </w:tcPr>
          <w:p w14:paraId="7AF61B9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4E8C96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869" w:type="pct"/>
            <w:tcBorders>
              <w:top w:val="nil"/>
              <w:left w:val="nil"/>
              <w:bottom w:val="nil"/>
              <w:right w:val="nil"/>
            </w:tcBorders>
            <w:noWrap/>
            <w:vAlign w:val="center"/>
            <w:hideMark/>
          </w:tcPr>
          <w:p w14:paraId="0283980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913" w:type="pct"/>
            <w:tcBorders>
              <w:top w:val="nil"/>
              <w:left w:val="nil"/>
              <w:bottom w:val="nil"/>
              <w:right w:val="nil"/>
            </w:tcBorders>
            <w:noWrap/>
            <w:vAlign w:val="center"/>
            <w:hideMark/>
          </w:tcPr>
          <w:p w14:paraId="0D6C7A9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508" w:type="pct"/>
            <w:tcBorders>
              <w:top w:val="nil"/>
              <w:left w:val="nil"/>
              <w:bottom w:val="nil"/>
              <w:right w:val="nil"/>
            </w:tcBorders>
            <w:noWrap/>
            <w:vAlign w:val="center"/>
            <w:hideMark/>
          </w:tcPr>
          <w:p w14:paraId="15A8E81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0.200</w:t>
            </w:r>
          </w:p>
        </w:tc>
      </w:tr>
      <w:tr w:rsidR="00120B4F" w:rsidRPr="00BE5472" w14:paraId="4756009B" w14:textId="77777777" w:rsidTr="003C2F5B">
        <w:trPr>
          <w:trHeight w:val="405"/>
        </w:trPr>
        <w:tc>
          <w:tcPr>
            <w:tcW w:w="2249" w:type="pct"/>
            <w:tcBorders>
              <w:top w:val="nil"/>
              <w:left w:val="nil"/>
              <w:bottom w:val="nil"/>
              <w:right w:val="nil"/>
            </w:tcBorders>
            <w:noWrap/>
            <w:vAlign w:val="center"/>
            <w:hideMark/>
          </w:tcPr>
          <w:p w14:paraId="1334856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60EF265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1.84</w:t>
            </w:r>
          </w:p>
        </w:tc>
        <w:tc>
          <w:tcPr>
            <w:tcW w:w="869" w:type="pct"/>
            <w:tcBorders>
              <w:top w:val="nil"/>
              <w:left w:val="nil"/>
              <w:bottom w:val="nil"/>
              <w:right w:val="nil"/>
            </w:tcBorders>
            <w:noWrap/>
            <w:vAlign w:val="center"/>
            <w:hideMark/>
          </w:tcPr>
          <w:p w14:paraId="519FF5C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c>
          <w:tcPr>
            <w:tcW w:w="913" w:type="pct"/>
            <w:tcBorders>
              <w:top w:val="nil"/>
              <w:left w:val="nil"/>
              <w:bottom w:val="nil"/>
              <w:right w:val="nil"/>
            </w:tcBorders>
            <w:noWrap/>
            <w:vAlign w:val="center"/>
            <w:hideMark/>
          </w:tcPr>
          <w:p w14:paraId="00A5E4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3.33</w:t>
            </w:r>
          </w:p>
        </w:tc>
        <w:tc>
          <w:tcPr>
            <w:tcW w:w="508" w:type="pct"/>
            <w:tcBorders>
              <w:top w:val="nil"/>
              <w:left w:val="nil"/>
              <w:bottom w:val="nil"/>
              <w:right w:val="nil"/>
            </w:tcBorders>
            <w:noWrap/>
            <w:vAlign w:val="center"/>
            <w:hideMark/>
          </w:tcPr>
          <w:p w14:paraId="7731AA0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0.058</w:t>
            </w:r>
          </w:p>
        </w:tc>
      </w:tr>
      <w:tr w:rsidR="00120B4F" w:rsidRPr="00BE5472" w14:paraId="0F1BE1E5" w14:textId="77777777" w:rsidTr="003C2F5B">
        <w:trPr>
          <w:trHeight w:val="435"/>
        </w:trPr>
        <w:tc>
          <w:tcPr>
            <w:tcW w:w="2249" w:type="pct"/>
            <w:tcBorders>
              <w:top w:val="nil"/>
              <w:left w:val="nil"/>
              <w:bottom w:val="nil"/>
              <w:right w:val="nil"/>
            </w:tcBorders>
            <w:noWrap/>
            <w:vAlign w:val="center"/>
            <w:hideMark/>
          </w:tcPr>
          <w:p w14:paraId="496202C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5010E57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869" w:type="pct"/>
            <w:tcBorders>
              <w:top w:val="nil"/>
              <w:left w:val="nil"/>
              <w:bottom w:val="nil"/>
              <w:right w:val="nil"/>
            </w:tcBorders>
            <w:noWrap/>
            <w:vAlign w:val="center"/>
            <w:hideMark/>
          </w:tcPr>
          <w:p w14:paraId="3340761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13" w:type="pct"/>
            <w:tcBorders>
              <w:top w:val="nil"/>
              <w:left w:val="nil"/>
              <w:bottom w:val="nil"/>
              <w:right w:val="nil"/>
            </w:tcBorders>
            <w:noWrap/>
            <w:vAlign w:val="center"/>
            <w:hideMark/>
          </w:tcPr>
          <w:p w14:paraId="4AFEA1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508" w:type="pct"/>
            <w:tcBorders>
              <w:top w:val="nil"/>
              <w:left w:val="nil"/>
              <w:bottom w:val="nil"/>
              <w:right w:val="nil"/>
            </w:tcBorders>
            <w:noWrap/>
            <w:vAlign w:val="center"/>
            <w:hideMark/>
          </w:tcPr>
          <w:p w14:paraId="257EDE1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0.894</w:t>
            </w:r>
          </w:p>
        </w:tc>
      </w:tr>
      <w:tr w:rsidR="00120B4F" w:rsidRPr="00BE5472" w14:paraId="5CBF3F3A" w14:textId="77777777" w:rsidTr="003C2F5B">
        <w:trPr>
          <w:trHeight w:val="330"/>
        </w:trPr>
        <w:tc>
          <w:tcPr>
            <w:tcW w:w="2249" w:type="pct"/>
            <w:tcBorders>
              <w:top w:val="single" w:sz="4" w:space="0" w:color="auto"/>
              <w:left w:val="nil"/>
              <w:bottom w:val="nil"/>
              <w:right w:val="nil"/>
            </w:tcBorders>
            <w:noWrap/>
            <w:vAlign w:val="bottom"/>
            <w:hideMark/>
          </w:tcPr>
          <w:p w14:paraId="3BB5BC1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45FED85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r>
      <w:tr w:rsidR="00120B4F" w:rsidRPr="00BE5472" w14:paraId="3E847D3D" w14:textId="77777777" w:rsidTr="003C2F5B">
        <w:trPr>
          <w:trHeight w:val="315"/>
        </w:trPr>
        <w:tc>
          <w:tcPr>
            <w:tcW w:w="2249" w:type="pct"/>
            <w:tcBorders>
              <w:top w:val="nil"/>
              <w:left w:val="nil"/>
              <w:bottom w:val="nil"/>
              <w:right w:val="nil"/>
            </w:tcBorders>
            <w:noWrap/>
            <w:vAlign w:val="bottom"/>
            <w:hideMark/>
          </w:tcPr>
          <w:p w14:paraId="2FE96CF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2904F70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r>
      <w:tr w:rsidR="00120B4F" w:rsidRPr="00BE5472" w14:paraId="555A6C14" w14:textId="77777777" w:rsidTr="003C2F5B">
        <w:trPr>
          <w:trHeight w:val="315"/>
        </w:trPr>
        <w:tc>
          <w:tcPr>
            <w:tcW w:w="2249" w:type="pct"/>
            <w:tcBorders>
              <w:top w:val="nil"/>
              <w:left w:val="nil"/>
              <w:bottom w:val="nil"/>
              <w:right w:val="nil"/>
            </w:tcBorders>
            <w:noWrap/>
            <w:vAlign w:val="bottom"/>
            <w:hideMark/>
          </w:tcPr>
          <w:p w14:paraId="7BC5568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5C94D91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r>
      <w:tr w:rsidR="00120B4F" w:rsidRPr="00BE5472" w14:paraId="3B7770FE" w14:textId="77777777" w:rsidTr="003C2F5B">
        <w:trPr>
          <w:trHeight w:val="315"/>
        </w:trPr>
        <w:tc>
          <w:tcPr>
            <w:tcW w:w="2249" w:type="pct"/>
            <w:tcBorders>
              <w:top w:val="nil"/>
              <w:left w:val="nil"/>
              <w:bottom w:val="nil"/>
              <w:right w:val="nil"/>
            </w:tcBorders>
            <w:noWrap/>
            <w:vAlign w:val="bottom"/>
            <w:hideMark/>
          </w:tcPr>
          <w:p w14:paraId="08F111B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234224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296C905D" w14:textId="77777777" w:rsidTr="003C2F5B">
        <w:trPr>
          <w:trHeight w:val="330"/>
        </w:trPr>
        <w:tc>
          <w:tcPr>
            <w:tcW w:w="2249" w:type="pct"/>
            <w:tcBorders>
              <w:top w:val="nil"/>
              <w:left w:val="nil"/>
              <w:bottom w:val="single" w:sz="4" w:space="0" w:color="auto"/>
              <w:right w:val="nil"/>
            </w:tcBorders>
            <w:noWrap/>
            <w:vAlign w:val="bottom"/>
            <w:hideMark/>
          </w:tcPr>
          <w:p w14:paraId="7036A40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7B3E8B2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44EB00BF" w14:textId="358BD67C"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06888BBD" w14:textId="1C9ECABA"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ROA između razdoblja prije i nakon preuzimanja poduzeća (B = 1.84,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3.33], p = .0.58), nije utvrđen statistički značajan vremenski trend (B = 0.00,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[0.00, 0.01], p = .452) te nije utvrđena statistički značajna interakcija između statusa poduzeća i vremenskog trenda (B = 0.00,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0.01], p = .894).</w:t>
      </w:r>
    </w:p>
    <w:p w14:paraId="3F6577CD" w14:textId="77777777" w:rsidR="00120B4F" w:rsidRPr="00BE5472" w:rsidRDefault="00120B4F" w:rsidP="00120B4F">
      <w:pPr>
        <w:spacing w:line="360" w:lineRule="auto"/>
        <w:rPr>
          <w:rFonts w:ascii="Times New Roman" w:hAnsi="Times New Roman" w:cs="Times New Roman"/>
          <w:kern w:val="2"/>
          <w:sz w:val="24"/>
          <w14:ligatures w14:val="standardContextual"/>
        </w:rPr>
      </w:pPr>
    </w:p>
    <w:p w14:paraId="66D05DEE" w14:textId="77777777" w:rsidR="0042420B" w:rsidRDefault="0042420B" w:rsidP="00120B4F">
      <w:pPr>
        <w:rPr>
          <w:rFonts w:ascii="Times New Roman" w:hAnsi="Times New Roman" w:cs="Times New Roman"/>
          <w:b/>
          <w:bCs/>
          <w:kern w:val="2"/>
          <w:sz w:val="24"/>
          <w14:ligatures w14:val="standardContextual"/>
        </w:rPr>
        <w:sectPr w:rsidR="0042420B" w:rsidSect="00120B4F">
          <w:pgSz w:w="11909" w:h="16834" w:code="9"/>
          <w:pgMar w:top="1440" w:right="1440" w:bottom="1440" w:left="1440" w:header="720" w:footer="720" w:gutter="0"/>
          <w:cols w:space="720"/>
          <w:docGrid w:linePitch="360"/>
        </w:sectPr>
      </w:pPr>
      <w:bookmarkStart w:id="209" w:name="_Toc182495666"/>
    </w:p>
    <w:p w14:paraId="32B1B868" w14:textId="77777777" w:rsidR="00120B4F" w:rsidRPr="00BE5472" w:rsidRDefault="00120B4F" w:rsidP="00120B4F">
      <w:pPr>
        <w:rPr>
          <w:rFonts w:ascii="Times New Roman" w:hAnsi="Times New Roman" w:cs="Times New Roman"/>
          <w:b/>
          <w:bCs/>
          <w:kern w:val="2"/>
          <w:sz w:val="24"/>
          <w14:ligatures w14:val="standardContextual"/>
        </w:rPr>
      </w:pPr>
      <w:r w:rsidRPr="00BE5472">
        <w:rPr>
          <w:rFonts w:ascii="Times New Roman" w:hAnsi="Times New Roman" w:cs="Times New Roman"/>
          <w:b/>
          <w:bCs/>
          <w:kern w:val="2"/>
          <w:sz w:val="24"/>
          <w14:ligatures w14:val="standardContextual"/>
        </w:rPr>
        <w:lastRenderedPageBreak/>
        <w:t>ROE</w:t>
      </w:r>
      <w:bookmarkEnd w:id="209"/>
    </w:p>
    <w:p w14:paraId="66FC4BD0" w14:textId="4672D337"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4</w:t>
      </w:r>
      <w:r w:rsidR="00127A4E">
        <w:rPr>
          <w:rFonts w:ascii="Times New Roman" w:hAnsi="Times New Roman" w:cs="Times New Roman"/>
          <w:kern w:val="2"/>
          <w:sz w:val="24"/>
          <w14:ligatures w14:val="standardContextual"/>
        </w:rPr>
        <w:t>8</w:t>
      </w:r>
      <w:r w:rsidRPr="00BE5472">
        <w:rPr>
          <w:rFonts w:ascii="Times New Roman" w:hAnsi="Times New Roman" w:cs="Times New Roman"/>
          <w:kern w:val="2"/>
          <w:sz w:val="24"/>
          <w14:ligatures w14:val="standardContextual"/>
        </w:rPr>
        <w:t xml:space="preserve"> prikazani su rezultati testiranja razlike u visini pokazatelja ROE prije i nakon preuzimanja poduzeća. </w:t>
      </w:r>
    </w:p>
    <w:p w14:paraId="77F56930" w14:textId="36336AFA" w:rsidR="00120B4F" w:rsidRPr="00E1098E" w:rsidRDefault="00E1098E" w:rsidP="00E1098E">
      <w:pPr>
        <w:pStyle w:val="Caption"/>
        <w:rPr>
          <w:rFonts w:ascii="Times New Roman" w:hAnsi="Times New Roman" w:cs="Times New Roman"/>
          <w:kern w:val="2"/>
          <w:sz w:val="24"/>
          <w:szCs w:val="24"/>
          <w14:ligatures w14:val="standardContextual"/>
        </w:rPr>
      </w:pPr>
      <w:bookmarkStart w:id="210" w:name="_Toc241865242"/>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48</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ROE-i prije i nakon procesa preuzimanja poduzeća</w:t>
      </w:r>
      <w:bookmarkEnd w:id="210"/>
    </w:p>
    <w:tbl>
      <w:tblPr>
        <w:tblW w:w="5000" w:type="pct"/>
        <w:tblLook w:val="04A0" w:firstRow="1" w:lastRow="0" w:firstColumn="1" w:lastColumn="0" w:noHBand="0" w:noVBand="1"/>
      </w:tblPr>
      <w:tblGrid>
        <w:gridCol w:w="4062"/>
        <w:gridCol w:w="832"/>
        <w:gridCol w:w="1569"/>
        <w:gridCol w:w="1649"/>
        <w:gridCol w:w="917"/>
      </w:tblGrid>
      <w:tr w:rsidR="00120B4F" w:rsidRPr="00BE5472" w14:paraId="0E188FA1" w14:textId="77777777" w:rsidTr="003C2F5B">
        <w:trPr>
          <w:trHeight w:val="330"/>
        </w:trPr>
        <w:tc>
          <w:tcPr>
            <w:tcW w:w="2249" w:type="pct"/>
            <w:tcBorders>
              <w:top w:val="nil"/>
              <w:left w:val="nil"/>
              <w:bottom w:val="nil"/>
              <w:right w:val="nil"/>
            </w:tcBorders>
            <w:noWrap/>
            <w:vAlign w:val="bottom"/>
            <w:hideMark/>
          </w:tcPr>
          <w:p w14:paraId="1CD15598"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25CD652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53ADBD0A" w14:textId="12D40C34"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9603BF"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4B3A13D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102A6E7F"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5F4AC98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53217F0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4712301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1FCBBD5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662AB9E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3CC9C6D6" w14:textId="77777777" w:rsidTr="003C2F5B">
        <w:trPr>
          <w:trHeight w:val="315"/>
        </w:trPr>
        <w:tc>
          <w:tcPr>
            <w:tcW w:w="2249" w:type="pct"/>
            <w:tcBorders>
              <w:top w:val="nil"/>
              <w:left w:val="nil"/>
              <w:bottom w:val="nil"/>
              <w:right w:val="nil"/>
            </w:tcBorders>
            <w:noWrap/>
            <w:vAlign w:val="bottom"/>
            <w:hideMark/>
          </w:tcPr>
          <w:p w14:paraId="46DDAB9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410DB00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869" w:type="pct"/>
            <w:tcBorders>
              <w:top w:val="nil"/>
              <w:left w:val="nil"/>
              <w:bottom w:val="nil"/>
              <w:right w:val="nil"/>
            </w:tcBorders>
            <w:noWrap/>
            <w:vAlign w:val="center"/>
            <w:hideMark/>
          </w:tcPr>
          <w:p w14:paraId="4527D2E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913" w:type="pct"/>
            <w:tcBorders>
              <w:top w:val="nil"/>
              <w:left w:val="nil"/>
              <w:bottom w:val="nil"/>
              <w:right w:val="nil"/>
            </w:tcBorders>
            <w:noWrap/>
            <w:vAlign w:val="center"/>
            <w:hideMark/>
          </w:tcPr>
          <w:p w14:paraId="23D24B7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508" w:type="pct"/>
            <w:tcBorders>
              <w:top w:val="nil"/>
              <w:left w:val="nil"/>
              <w:bottom w:val="nil"/>
              <w:right w:val="nil"/>
            </w:tcBorders>
            <w:noWrap/>
            <w:vAlign w:val="center"/>
            <w:hideMark/>
          </w:tcPr>
          <w:p w14:paraId="55A52D5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5E86ECA9" w14:textId="77777777" w:rsidTr="003C2F5B">
        <w:trPr>
          <w:trHeight w:val="375"/>
        </w:trPr>
        <w:tc>
          <w:tcPr>
            <w:tcW w:w="2249" w:type="pct"/>
            <w:tcBorders>
              <w:top w:val="nil"/>
              <w:left w:val="nil"/>
              <w:bottom w:val="nil"/>
              <w:right w:val="nil"/>
            </w:tcBorders>
            <w:noWrap/>
            <w:vAlign w:val="bottom"/>
            <w:hideMark/>
          </w:tcPr>
          <w:p w14:paraId="23DDE43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1289287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869" w:type="pct"/>
            <w:tcBorders>
              <w:top w:val="nil"/>
              <w:left w:val="nil"/>
              <w:bottom w:val="nil"/>
              <w:right w:val="nil"/>
            </w:tcBorders>
            <w:noWrap/>
            <w:vAlign w:val="center"/>
            <w:hideMark/>
          </w:tcPr>
          <w:p w14:paraId="32E1205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13" w:type="pct"/>
            <w:tcBorders>
              <w:top w:val="nil"/>
              <w:left w:val="nil"/>
              <w:bottom w:val="nil"/>
              <w:right w:val="nil"/>
            </w:tcBorders>
            <w:noWrap/>
            <w:vAlign w:val="center"/>
            <w:hideMark/>
          </w:tcPr>
          <w:p w14:paraId="01A260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508" w:type="pct"/>
            <w:tcBorders>
              <w:top w:val="nil"/>
              <w:left w:val="nil"/>
              <w:bottom w:val="nil"/>
              <w:right w:val="nil"/>
            </w:tcBorders>
            <w:noWrap/>
            <w:vAlign w:val="center"/>
            <w:hideMark/>
          </w:tcPr>
          <w:p w14:paraId="4D555AB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0.716</w:t>
            </w:r>
          </w:p>
        </w:tc>
      </w:tr>
      <w:tr w:rsidR="00120B4F" w:rsidRPr="00BE5472" w14:paraId="3B02ECE7" w14:textId="77777777" w:rsidTr="003C2F5B">
        <w:trPr>
          <w:trHeight w:val="405"/>
        </w:trPr>
        <w:tc>
          <w:tcPr>
            <w:tcW w:w="2249" w:type="pct"/>
            <w:tcBorders>
              <w:top w:val="nil"/>
              <w:left w:val="nil"/>
              <w:bottom w:val="nil"/>
              <w:right w:val="nil"/>
            </w:tcBorders>
            <w:noWrap/>
            <w:vAlign w:val="bottom"/>
            <w:hideMark/>
          </w:tcPr>
          <w:p w14:paraId="7931F93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0D31B8E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869" w:type="pct"/>
            <w:tcBorders>
              <w:top w:val="nil"/>
              <w:left w:val="nil"/>
              <w:bottom w:val="nil"/>
              <w:right w:val="nil"/>
            </w:tcBorders>
            <w:noWrap/>
            <w:vAlign w:val="center"/>
            <w:hideMark/>
          </w:tcPr>
          <w:p w14:paraId="479013C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913" w:type="pct"/>
            <w:tcBorders>
              <w:top w:val="nil"/>
              <w:left w:val="nil"/>
              <w:bottom w:val="nil"/>
              <w:right w:val="nil"/>
            </w:tcBorders>
            <w:noWrap/>
            <w:vAlign w:val="center"/>
            <w:hideMark/>
          </w:tcPr>
          <w:p w14:paraId="7D5344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508" w:type="pct"/>
            <w:tcBorders>
              <w:top w:val="nil"/>
              <w:left w:val="nil"/>
              <w:bottom w:val="nil"/>
              <w:right w:val="nil"/>
            </w:tcBorders>
            <w:noWrap/>
            <w:vAlign w:val="center"/>
            <w:hideMark/>
          </w:tcPr>
          <w:p w14:paraId="7E84782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0.441</w:t>
            </w:r>
          </w:p>
        </w:tc>
      </w:tr>
      <w:tr w:rsidR="00120B4F" w:rsidRPr="00BE5472" w14:paraId="58D5F536" w14:textId="77777777" w:rsidTr="003C2F5B">
        <w:trPr>
          <w:trHeight w:val="480"/>
        </w:trPr>
        <w:tc>
          <w:tcPr>
            <w:tcW w:w="2249" w:type="pct"/>
            <w:tcBorders>
              <w:top w:val="nil"/>
              <w:left w:val="nil"/>
              <w:bottom w:val="nil"/>
              <w:right w:val="nil"/>
            </w:tcBorders>
            <w:noWrap/>
            <w:vAlign w:val="center"/>
            <w:hideMark/>
          </w:tcPr>
          <w:p w14:paraId="7A47275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16BC409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1.02</w:t>
            </w:r>
          </w:p>
        </w:tc>
        <w:tc>
          <w:tcPr>
            <w:tcW w:w="869" w:type="pct"/>
            <w:tcBorders>
              <w:top w:val="nil"/>
              <w:left w:val="nil"/>
              <w:bottom w:val="nil"/>
              <w:right w:val="nil"/>
            </w:tcBorders>
            <w:noWrap/>
            <w:vAlign w:val="center"/>
            <w:hideMark/>
          </w:tcPr>
          <w:p w14:paraId="4F07C05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-1.08</w:t>
            </w:r>
          </w:p>
        </w:tc>
        <w:tc>
          <w:tcPr>
            <w:tcW w:w="913" w:type="pct"/>
            <w:tcBorders>
              <w:top w:val="nil"/>
              <w:left w:val="nil"/>
              <w:bottom w:val="nil"/>
              <w:right w:val="nil"/>
            </w:tcBorders>
            <w:noWrap/>
            <w:vAlign w:val="center"/>
            <w:hideMark/>
          </w:tcPr>
          <w:p w14:paraId="776ACCB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3.12</w:t>
            </w:r>
          </w:p>
        </w:tc>
        <w:tc>
          <w:tcPr>
            <w:tcW w:w="508" w:type="pct"/>
            <w:tcBorders>
              <w:top w:val="nil"/>
              <w:left w:val="nil"/>
              <w:bottom w:val="nil"/>
              <w:right w:val="nil"/>
            </w:tcBorders>
            <w:noWrap/>
            <w:vAlign w:val="center"/>
            <w:hideMark/>
          </w:tcPr>
          <w:p w14:paraId="573CF6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0.333</w:t>
            </w:r>
          </w:p>
        </w:tc>
      </w:tr>
      <w:tr w:rsidR="00120B4F" w:rsidRPr="00BE5472" w14:paraId="0DAD19E2" w14:textId="77777777" w:rsidTr="003C2F5B">
        <w:trPr>
          <w:trHeight w:val="435"/>
        </w:trPr>
        <w:tc>
          <w:tcPr>
            <w:tcW w:w="2249" w:type="pct"/>
            <w:tcBorders>
              <w:top w:val="nil"/>
              <w:left w:val="nil"/>
              <w:bottom w:val="nil"/>
              <w:right w:val="nil"/>
            </w:tcBorders>
            <w:noWrap/>
            <w:vAlign w:val="center"/>
            <w:hideMark/>
          </w:tcPr>
          <w:p w14:paraId="232CFC6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0FDC92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869" w:type="pct"/>
            <w:tcBorders>
              <w:top w:val="nil"/>
              <w:left w:val="nil"/>
              <w:bottom w:val="nil"/>
              <w:right w:val="nil"/>
            </w:tcBorders>
            <w:noWrap/>
            <w:vAlign w:val="center"/>
            <w:hideMark/>
          </w:tcPr>
          <w:p w14:paraId="1BFF4F3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13" w:type="pct"/>
            <w:tcBorders>
              <w:top w:val="nil"/>
              <w:left w:val="nil"/>
              <w:bottom w:val="nil"/>
              <w:right w:val="nil"/>
            </w:tcBorders>
            <w:noWrap/>
            <w:vAlign w:val="center"/>
            <w:hideMark/>
          </w:tcPr>
          <w:p w14:paraId="2C8E0AD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508" w:type="pct"/>
            <w:tcBorders>
              <w:top w:val="nil"/>
              <w:left w:val="nil"/>
              <w:bottom w:val="nil"/>
              <w:right w:val="nil"/>
            </w:tcBorders>
            <w:noWrap/>
            <w:vAlign w:val="center"/>
            <w:hideMark/>
          </w:tcPr>
          <w:p w14:paraId="6043374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0.886</w:t>
            </w:r>
          </w:p>
        </w:tc>
      </w:tr>
      <w:tr w:rsidR="00120B4F" w:rsidRPr="00BE5472" w14:paraId="17D25B1F" w14:textId="77777777" w:rsidTr="003C2F5B">
        <w:trPr>
          <w:trHeight w:val="330"/>
        </w:trPr>
        <w:tc>
          <w:tcPr>
            <w:tcW w:w="2249" w:type="pct"/>
            <w:tcBorders>
              <w:top w:val="single" w:sz="4" w:space="0" w:color="auto"/>
              <w:left w:val="nil"/>
              <w:bottom w:val="nil"/>
              <w:right w:val="nil"/>
            </w:tcBorders>
            <w:noWrap/>
            <w:vAlign w:val="bottom"/>
            <w:hideMark/>
          </w:tcPr>
          <w:p w14:paraId="44C69A3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121702C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r>
      <w:tr w:rsidR="00120B4F" w:rsidRPr="00BE5472" w14:paraId="0E47BC9C" w14:textId="77777777" w:rsidTr="003C2F5B">
        <w:trPr>
          <w:trHeight w:val="315"/>
        </w:trPr>
        <w:tc>
          <w:tcPr>
            <w:tcW w:w="2249" w:type="pct"/>
            <w:tcBorders>
              <w:top w:val="nil"/>
              <w:left w:val="nil"/>
              <w:bottom w:val="nil"/>
              <w:right w:val="nil"/>
            </w:tcBorders>
            <w:noWrap/>
            <w:vAlign w:val="bottom"/>
            <w:hideMark/>
          </w:tcPr>
          <w:p w14:paraId="7BFE6B0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6A5D09A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r>
      <w:tr w:rsidR="00120B4F" w:rsidRPr="00BE5472" w14:paraId="73B2EB57" w14:textId="77777777" w:rsidTr="003C2F5B">
        <w:trPr>
          <w:trHeight w:val="315"/>
        </w:trPr>
        <w:tc>
          <w:tcPr>
            <w:tcW w:w="2249" w:type="pct"/>
            <w:tcBorders>
              <w:top w:val="nil"/>
              <w:left w:val="nil"/>
              <w:bottom w:val="nil"/>
              <w:right w:val="nil"/>
            </w:tcBorders>
            <w:noWrap/>
            <w:vAlign w:val="bottom"/>
            <w:hideMark/>
          </w:tcPr>
          <w:p w14:paraId="711B72F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4515E3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2DB3C9E8" w14:textId="77777777" w:rsidTr="003C2F5B">
        <w:trPr>
          <w:trHeight w:val="315"/>
        </w:trPr>
        <w:tc>
          <w:tcPr>
            <w:tcW w:w="2249" w:type="pct"/>
            <w:tcBorders>
              <w:top w:val="nil"/>
              <w:left w:val="nil"/>
              <w:bottom w:val="nil"/>
              <w:right w:val="nil"/>
            </w:tcBorders>
            <w:noWrap/>
            <w:vAlign w:val="bottom"/>
            <w:hideMark/>
          </w:tcPr>
          <w:p w14:paraId="31FB4F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1116AB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0EC25BBC" w14:textId="77777777" w:rsidTr="003C2F5B">
        <w:trPr>
          <w:trHeight w:val="330"/>
        </w:trPr>
        <w:tc>
          <w:tcPr>
            <w:tcW w:w="2249" w:type="pct"/>
            <w:tcBorders>
              <w:top w:val="nil"/>
              <w:left w:val="nil"/>
              <w:bottom w:val="single" w:sz="4" w:space="0" w:color="auto"/>
              <w:right w:val="nil"/>
            </w:tcBorders>
            <w:noWrap/>
            <w:vAlign w:val="bottom"/>
            <w:hideMark/>
          </w:tcPr>
          <w:p w14:paraId="65558A1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1D9F99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5145FF7B" w14:textId="0528C09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0566F6C4" w14:textId="3C30E09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ROE između razdoblja prije i nakon preuzimanja poduzeća (B = 1.02,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[-1.08, 3.12], p = .333), nije utvrđen statistički značajan vremenski trend (B = 0.00,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0.01], p = .716), te nije utvrđena statistički značajna interakcija između statusa poduzeća i vremenskog trenda (B = 0.00,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0.02], p = .886).</w:t>
      </w:r>
      <w:bookmarkStart w:id="211" w:name="_Toc182495667"/>
    </w:p>
    <w:p w14:paraId="62B071B7" w14:textId="77777777" w:rsidR="0042420B" w:rsidRDefault="0042420B" w:rsidP="00120B4F">
      <w:pPr>
        <w:rPr>
          <w:rFonts w:ascii="Times New Roman" w:hAnsi="Times New Roman" w:cs="Times New Roman"/>
          <w:b/>
          <w:bCs/>
          <w:kern w:val="2"/>
          <w:sz w:val="24"/>
          <w14:ligatures w14:val="standardContextual"/>
        </w:rPr>
        <w:sectPr w:rsidR="0042420B" w:rsidSect="00120B4F">
          <w:pgSz w:w="11909" w:h="16834" w:code="9"/>
          <w:pgMar w:top="1440" w:right="1440" w:bottom="1440" w:left="1440" w:header="720" w:footer="720" w:gutter="0"/>
          <w:cols w:space="720"/>
          <w:docGrid w:linePitch="360"/>
        </w:sectPr>
      </w:pPr>
    </w:p>
    <w:p w14:paraId="5A1571F4" w14:textId="6C63C682" w:rsidR="00120B4F" w:rsidRPr="00BE5472" w:rsidRDefault="00120B4F" w:rsidP="00120B4F">
      <w:pPr>
        <w:rPr>
          <w:rFonts w:ascii="Times New Roman" w:hAnsi="Times New Roman" w:cs="Times New Roman"/>
          <w:b/>
          <w:bCs/>
          <w:kern w:val="2"/>
          <w:sz w:val="24"/>
          <w14:ligatures w14:val="standardContextual"/>
        </w:rPr>
      </w:pPr>
      <w:r w:rsidRPr="00BE5472">
        <w:rPr>
          <w:rFonts w:ascii="Times New Roman" w:hAnsi="Times New Roman" w:cs="Times New Roman"/>
          <w:b/>
          <w:bCs/>
          <w:kern w:val="2"/>
          <w:sz w:val="24"/>
          <w14:ligatures w14:val="standardContextual"/>
        </w:rPr>
        <w:lastRenderedPageBreak/>
        <w:t>Bruto profitna marža</w:t>
      </w:r>
      <w:bookmarkEnd w:id="211"/>
    </w:p>
    <w:p w14:paraId="03C172B0" w14:textId="13FDC92F"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4</w:t>
      </w:r>
      <w:r w:rsidR="00127A4E">
        <w:rPr>
          <w:rFonts w:ascii="Times New Roman" w:hAnsi="Times New Roman" w:cs="Times New Roman"/>
          <w:kern w:val="2"/>
          <w:sz w:val="24"/>
          <w14:ligatures w14:val="standardContextual"/>
        </w:rPr>
        <w:t>9</w:t>
      </w:r>
      <w:r w:rsidRPr="00BE5472">
        <w:rPr>
          <w:rFonts w:ascii="Times New Roman" w:hAnsi="Times New Roman" w:cs="Times New Roman"/>
          <w:kern w:val="2"/>
          <w:sz w:val="24"/>
          <w14:ligatures w14:val="standardContextual"/>
        </w:rPr>
        <w:t xml:space="preserve"> prikazani su rezultati testiranja razlike u visini pokazatelja bruto profitna marža prije i nakon preuzimanja poduzeća. </w:t>
      </w:r>
    </w:p>
    <w:p w14:paraId="2F5983A2" w14:textId="0B910E36" w:rsidR="00120B4F" w:rsidRPr="00E1098E" w:rsidRDefault="00E1098E" w:rsidP="00E1098E">
      <w:pPr>
        <w:pStyle w:val="Caption"/>
        <w:rPr>
          <w:rFonts w:ascii="Times New Roman" w:hAnsi="Times New Roman" w:cs="Times New Roman"/>
          <w:kern w:val="2"/>
          <w:sz w:val="24"/>
          <w:szCs w:val="24"/>
          <w14:ligatures w14:val="standardContextual"/>
        </w:rPr>
      </w:pPr>
      <w:bookmarkStart w:id="212" w:name="_Toc241865243"/>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49</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9603BF" w:rsidRPr="00E1098E">
        <w:rPr>
          <w:rFonts w:ascii="Times New Roman" w:hAnsi="Times New Roman" w:cs="Times New Roman"/>
          <w:kern w:val="2"/>
          <w:sz w:val="24"/>
          <w:szCs w:val="24"/>
          <w14:ligatures w14:val="standardContextual"/>
        </w:rPr>
        <w:t>b</w:t>
      </w:r>
      <w:r w:rsidR="00120B4F" w:rsidRPr="00E1098E">
        <w:rPr>
          <w:rFonts w:ascii="Times New Roman" w:hAnsi="Times New Roman" w:cs="Times New Roman"/>
          <w:kern w:val="2"/>
          <w:sz w:val="24"/>
          <w:szCs w:val="24"/>
          <w14:ligatures w14:val="standardContextual"/>
        </w:rPr>
        <w:t>ruto profitnoj marži prije i nakon procesa preuzimanja poduzeća</w:t>
      </w:r>
      <w:bookmarkEnd w:id="212"/>
    </w:p>
    <w:tbl>
      <w:tblPr>
        <w:tblW w:w="5000" w:type="pct"/>
        <w:tblLook w:val="04A0" w:firstRow="1" w:lastRow="0" w:firstColumn="1" w:lastColumn="0" w:noHBand="0" w:noVBand="1"/>
      </w:tblPr>
      <w:tblGrid>
        <w:gridCol w:w="4062"/>
        <w:gridCol w:w="832"/>
        <w:gridCol w:w="1569"/>
        <w:gridCol w:w="1649"/>
        <w:gridCol w:w="917"/>
      </w:tblGrid>
      <w:tr w:rsidR="00120B4F" w:rsidRPr="00BE5472" w14:paraId="0C85793F" w14:textId="77777777" w:rsidTr="003C2F5B">
        <w:trPr>
          <w:trHeight w:val="330"/>
        </w:trPr>
        <w:tc>
          <w:tcPr>
            <w:tcW w:w="2249" w:type="pct"/>
            <w:tcBorders>
              <w:top w:val="nil"/>
              <w:left w:val="nil"/>
              <w:bottom w:val="nil"/>
              <w:right w:val="nil"/>
            </w:tcBorders>
            <w:noWrap/>
            <w:vAlign w:val="bottom"/>
            <w:hideMark/>
          </w:tcPr>
          <w:p w14:paraId="181BB273"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79999C0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15037F81" w14:textId="7F20C0E4"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9603BF"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423F2BF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3A7BFBEE"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77891E4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625C8DE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13BD6CA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64FF0FC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280DF4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03610BBC" w14:textId="77777777" w:rsidTr="003C2F5B">
        <w:trPr>
          <w:trHeight w:val="315"/>
        </w:trPr>
        <w:tc>
          <w:tcPr>
            <w:tcW w:w="2249" w:type="pct"/>
            <w:tcBorders>
              <w:top w:val="nil"/>
              <w:left w:val="nil"/>
              <w:bottom w:val="nil"/>
              <w:right w:val="nil"/>
            </w:tcBorders>
            <w:noWrap/>
            <w:vAlign w:val="bottom"/>
            <w:hideMark/>
          </w:tcPr>
          <w:p w14:paraId="417C9C8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648D89F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869" w:type="pct"/>
            <w:tcBorders>
              <w:top w:val="nil"/>
              <w:left w:val="nil"/>
              <w:bottom w:val="nil"/>
              <w:right w:val="nil"/>
            </w:tcBorders>
            <w:noWrap/>
            <w:vAlign w:val="center"/>
            <w:hideMark/>
          </w:tcPr>
          <w:p w14:paraId="24F26E9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13" w:type="pct"/>
            <w:tcBorders>
              <w:top w:val="nil"/>
              <w:left w:val="nil"/>
              <w:bottom w:val="nil"/>
              <w:right w:val="nil"/>
            </w:tcBorders>
            <w:noWrap/>
            <w:vAlign w:val="center"/>
            <w:hideMark/>
          </w:tcPr>
          <w:p w14:paraId="0388A67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508" w:type="pct"/>
            <w:tcBorders>
              <w:top w:val="nil"/>
              <w:left w:val="nil"/>
              <w:bottom w:val="nil"/>
              <w:right w:val="nil"/>
            </w:tcBorders>
            <w:noWrap/>
            <w:vAlign w:val="center"/>
            <w:hideMark/>
          </w:tcPr>
          <w:p w14:paraId="2C66EB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0.032</w:t>
            </w:r>
          </w:p>
        </w:tc>
      </w:tr>
      <w:tr w:rsidR="00120B4F" w:rsidRPr="00BE5472" w14:paraId="7F08141A" w14:textId="77777777" w:rsidTr="003C2F5B">
        <w:trPr>
          <w:trHeight w:val="285"/>
        </w:trPr>
        <w:tc>
          <w:tcPr>
            <w:tcW w:w="2249" w:type="pct"/>
            <w:tcBorders>
              <w:top w:val="nil"/>
              <w:left w:val="nil"/>
              <w:bottom w:val="nil"/>
              <w:right w:val="nil"/>
            </w:tcBorders>
            <w:noWrap/>
            <w:vAlign w:val="bottom"/>
            <w:hideMark/>
          </w:tcPr>
          <w:p w14:paraId="3D0BEBD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0D624D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869" w:type="pct"/>
            <w:tcBorders>
              <w:top w:val="nil"/>
              <w:left w:val="nil"/>
              <w:bottom w:val="nil"/>
              <w:right w:val="nil"/>
            </w:tcBorders>
            <w:noWrap/>
            <w:vAlign w:val="center"/>
            <w:hideMark/>
          </w:tcPr>
          <w:p w14:paraId="0F349D5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13" w:type="pct"/>
            <w:tcBorders>
              <w:top w:val="nil"/>
              <w:left w:val="nil"/>
              <w:bottom w:val="nil"/>
              <w:right w:val="nil"/>
            </w:tcBorders>
            <w:noWrap/>
            <w:vAlign w:val="center"/>
            <w:hideMark/>
          </w:tcPr>
          <w:p w14:paraId="7083C8B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508" w:type="pct"/>
            <w:tcBorders>
              <w:top w:val="nil"/>
              <w:left w:val="nil"/>
              <w:bottom w:val="nil"/>
              <w:right w:val="nil"/>
            </w:tcBorders>
            <w:noWrap/>
            <w:vAlign w:val="center"/>
            <w:hideMark/>
          </w:tcPr>
          <w:p w14:paraId="0AB93A8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0.645</w:t>
            </w:r>
          </w:p>
        </w:tc>
      </w:tr>
      <w:tr w:rsidR="00120B4F" w:rsidRPr="00BE5472" w14:paraId="5C742D87" w14:textId="77777777" w:rsidTr="003C2F5B">
        <w:trPr>
          <w:trHeight w:val="330"/>
        </w:trPr>
        <w:tc>
          <w:tcPr>
            <w:tcW w:w="2249" w:type="pct"/>
            <w:tcBorders>
              <w:top w:val="nil"/>
              <w:left w:val="nil"/>
              <w:bottom w:val="nil"/>
              <w:right w:val="nil"/>
            </w:tcBorders>
            <w:noWrap/>
            <w:vAlign w:val="bottom"/>
            <w:hideMark/>
          </w:tcPr>
          <w:p w14:paraId="73F8245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1196802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869" w:type="pct"/>
            <w:tcBorders>
              <w:top w:val="nil"/>
              <w:left w:val="nil"/>
              <w:bottom w:val="nil"/>
              <w:right w:val="nil"/>
            </w:tcBorders>
            <w:noWrap/>
            <w:vAlign w:val="center"/>
            <w:hideMark/>
          </w:tcPr>
          <w:p w14:paraId="55BF700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913" w:type="pct"/>
            <w:tcBorders>
              <w:top w:val="nil"/>
              <w:left w:val="nil"/>
              <w:bottom w:val="nil"/>
              <w:right w:val="nil"/>
            </w:tcBorders>
            <w:noWrap/>
            <w:vAlign w:val="center"/>
            <w:hideMark/>
          </w:tcPr>
          <w:p w14:paraId="2C3A5D5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508" w:type="pct"/>
            <w:tcBorders>
              <w:top w:val="nil"/>
              <w:left w:val="nil"/>
              <w:bottom w:val="nil"/>
              <w:right w:val="nil"/>
            </w:tcBorders>
            <w:noWrap/>
            <w:vAlign w:val="center"/>
            <w:hideMark/>
          </w:tcPr>
          <w:p w14:paraId="561AC7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0.787</w:t>
            </w:r>
          </w:p>
        </w:tc>
      </w:tr>
      <w:tr w:rsidR="00120B4F" w:rsidRPr="00BE5472" w14:paraId="2D42E9C6" w14:textId="77777777" w:rsidTr="003C2F5B">
        <w:trPr>
          <w:trHeight w:val="345"/>
        </w:trPr>
        <w:tc>
          <w:tcPr>
            <w:tcW w:w="2249" w:type="pct"/>
            <w:tcBorders>
              <w:top w:val="nil"/>
              <w:left w:val="nil"/>
              <w:bottom w:val="nil"/>
              <w:right w:val="nil"/>
            </w:tcBorders>
            <w:noWrap/>
            <w:vAlign w:val="center"/>
            <w:hideMark/>
          </w:tcPr>
          <w:p w14:paraId="700385D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52331F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2.07</w:t>
            </w:r>
          </w:p>
        </w:tc>
        <w:tc>
          <w:tcPr>
            <w:tcW w:w="869" w:type="pct"/>
            <w:tcBorders>
              <w:top w:val="nil"/>
              <w:left w:val="nil"/>
              <w:bottom w:val="nil"/>
              <w:right w:val="nil"/>
            </w:tcBorders>
            <w:noWrap/>
            <w:vAlign w:val="center"/>
            <w:hideMark/>
          </w:tcPr>
          <w:p w14:paraId="0E480A7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c>
          <w:tcPr>
            <w:tcW w:w="913" w:type="pct"/>
            <w:tcBorders>
              <w:top w:val="nil"/>
              <w:left w:val="nil"/>
              <w:bottom w:val="nil"/>
              <w:right w:val="nil"/>
            </w:tcBorders>
            <w:noWrap/>
            <w:vAlign w:val="center"/>
            <w:hideMark/>
          </w:tcPr>
          <w:p w14:paraId="7CC6F1A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3.97</w:t>
            </w:r>
          </w:p>
        </w:tc>
        <w:tc>
          <w:tcPr>
            <w:tcW w:w="508" w:type="pct"/>
            <w:tcBorders>
              <w:top w:val="nil"/>
              <w:left w:val="nil"/>
              <w:bottom w:val="nil"/>
              <w:right w:val="nil"/>
            </w:tcBorders>
            <w:noWrap/>
            <w:vAlign w:val="center"/>
            <w:hideMark/>
          </w:tcPr>
          <w:p w14:paraId="7730FC1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0.033</w:t>
            </w:r>
          </w:p>
        </w:tc>
      </w:tr>
      <w:tr w:rsidR="00120B4F" w:rsidRPr="00BE5472" w14:paraId="4D8F9C8D" w14:textId="77777777" w:rsidTr="003C2F5B">
        <w:trPr>
          <w:trHeight w:val="345"/>
        </w:trPr>
        <w:tc>
          <w:tcPr>
            <w:tcW w:w="2249" w:type="pct"/>
            <w:tcBorders>
              <w:top w:val="nil"/>
              <w:left w:val="nil"/>
              <w:bottom w:val="nil"/>
              <w:right w:val="nil"/>
            </w:tcBorders>
            <w:noWrap/>
            <w:vAlign w:val="center"/>
            <w:hideMark/>
          </w:tcPr>
          <w:p w14:paraId="7B0F236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0ECEE5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869" w:type="pct"/>
            <w:tcBorders>
              <w:top w:val="nil"/>
              <w:left w:val="nil"/>
              <w:bottom w:val="nil"/>
              <w:right w:val="nil"/>
            </w:tcBorders>
            <w:noWrap/>
            <w:vAlign w:val="center"/>
            <w:hideMark/>
          </w:tcPr>
          <w:p w14:paraId="3257094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13" w:type="pct"/>
            <w:tcBorders>
              <w:top w:val="nil"/>
              <w:left w:val="nil"/>
              <w:bottom w:val="nil"/>
              <w:right w:val="nil"/>
            </w:tcBorders>
            <w:noWrap/>
            <w:vAlign w:val="center"/>
            <w:hideMark/>
          </w:tcPr>
          <w:p w14:paraId="500B459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508" w:type="pct"/>
            <w:tcBorders>
              <w:top w:val="nil"/>
              <w:left w:val="nil"/>
              <w:bottom w:val="nil"/>
              <w:right w:val="nil"/>
            </w:tcBorders>
            <w:noWrap/>
            <w:vAlign w:val="center"/>
            <w:hideMark/>
          </w:tcPr>
          <w:p w14:paraId="5B790A5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0.442</w:t>
            </w:r>
          </w:p>
        </w:tc>
      </w:tr>
      <w:tr w:rsidR="00120B4F" w:rsidRPr="00BE5472" w14:paraId="0497EA23" w14:textId="77777777" w:rsidTr="003C2F5B">
        <w:trPr>
          <w:trHeight w:val="330"/>
        </w:trPr>
        <w:tc>
          <w:tcPr>
            <w:tcW w:w="2249" w:type="pct"/>
            <w:tcBorders>
              <w:top w:val="single" w:sz="4" w:space="0" w:color="auto"/>
              <w:left w:val="nil"/>
              <w:bottom w:val="nil"/>
              <w:right w:val="nil"/>
            </w:tcBorders>
            <w:noWrap/>
            <w:vAlign w:val="bottom"/>
            <w:hideMark/>
          </w:tcPr>
          <w:p w14:paraId="1975B65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53E148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r>
      <w:tr w:rsidR="00120B4F" w:rsidRPr="00BE5472" w14:paraId="2454AFBC" w14:textId="77777777" w:rsidTr="003C2F5B">
        <w:trPr>
          <w:trHeight w:val="315"/>
        </w:trPr>
        <w:tc>
          <w:tcPr>
            <w:tcW w:w="2249" w:type="pct"/>
            <w:tcBorders>
              <w:top w:val="nil"/>
              <w:left w:val="nil"/>
              <w:bottom w:val="nil"/>
              <w:right w:val="nil"/>
            </w:tcBorders>
            <w:noWrap/>
            <w:vAlign w:val="bottom"/>
            <w:hideMark/>
          </w:tcPr>
          <w:p w14:paraId="52FDE84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71C4C20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r>
      <w:tr w:rsidR="00120B4F" w:rsidRPr="00BE5472" w14:paraId="01224808" w14:textId="77777777" w:rsidTr="003C2F5B">
        <w:trPr>
          <w:trHeight w:val="315"/>
        </w:trPr>
        <w:tc>
          <w:tcPr>
            <w:tcW w:w="2249" w:type="pct"/>
            <w:tcBorders>
              <w:top w:val="nil"/>
              <w:left w:val="nil"/>
              <w:bottom w:val="nil"/>
              <w:right w:val="nil"/>
            </w:tcBorders>
            <w:noWrap/>
            <w:vAlign w:val="bottom"/>
            <w:hideMark/>
          </w:tcPr>
          <w:p w14:paraId="5FE6787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27A85DC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28ED86B4" w14:textId="77777777" w:rsidTr="003C2F5B">
        <w:trPr>
          <w:trHeight w:val="315"/>
        </w:trPr>
        <w:tc>
          <w:tcPr>
            <w:tcW w:w="2249" w:type="pct"/>
            <w:tcBorders>
              <w:top w:val="nil"/>
              <w:left w:val="nil"/>
              <w:bottom w:val="nil"/>
              <w:right w:val="nil"/>
            </w:tcBorders>
            <w:noWrap/>
            <w:vAlign w:val="bottom"/>
            <w:hideMark/>
          </w:tcPr>
          <w:p w14:paraId="1B31F8E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67259C6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4E591DC3" w14:textId="77777777" w:rsidTr="003C2F5B">
        <w:trPr>
          <w:trHeight w:val="330"/>
        </w:trPr>
        <w:tc>
          <w:tcPr>
            <w:tcW w:w="2249" w:type="pct"/>
            <w:tcBorders>
              <w:top w:val="nil"/>
              <w:left w:val="nil"/>
              <w:bottom w:val="single" w:sz="4" w:space="0" w:color="auto"/>
              <w:right w:val="nil"/>
            </w:tcBorders>
            <w:noWrap/>
            <w:vAlign w:val="bottom"/>
            <w:hideMark/>
          </w:tcPr>
          <w:p w14:paraId="3B55656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5621161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4BD79E87" w14:textId="39098F3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29E96EF8" w14:textId="682628CB"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 xml:space="preserve">Pomoću modela višerazinske regresijske analize </w:t>
      </w:r>
      <w:r w:rsidRPr="00BE5472">
        <w:rPr>
          <w:rFonts w:ascii="Times New Roman" w:hAnsi="Times New Roman" w:cs="Times New Roman"/>
          <w:b/>
          <w:bCs/>
          <w:kern w:val="2"/>
          <w:sz w:val="24"/>
          <w14:ligatures w14:val="standardContextual"/>
        </w:rPr>
        <w:t>utvrđena je statistički značajna</w:t>
      </w:r>
      <w:r w:rsidRPr="00BE5472">
        <w:rPr>
          <w:rFonts w:ascii="Times New Roman" w:hAnsi="Times New Roman" w:cs="Times New Roman"/>
          <w:kern w:val="2"/>
          <w:sz w:val="24"/>
          <w14:ligatures w14:val="standardContextual"/>
        </w:rPr>
        <w:t xml:space="preserve"> razlika u pokazatelju bruto profitna marža između razdoblja prije i nakon preuzimanja poduzeća (B = 2.07,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[0.18, 3.97], p = 0.33), nije utvrđen statistički značajan vremenski trend (B = -0.01,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[-0.03, 0.02], p = .645), te nije utvrđena statistički značajna interakcija između statusa poduzeća i vremenskog trenda (B = 0.02, 95%  CI [-0.03, 0.06], p = .442). Vrijednost regresijskog koeficijenta B = 2.07, upućuje da je nakon procesa preuzimanja bruto profitna </w:t>
      </w:r>
      <w:r w:rsidRPr="00BE5472">
        <w:rPr>
          <w:rFonts w:ascii="Times New Roman" w:hAnsi="Times New Roman" w:cs="Times New Roman"/>
          <w:b/>
          <w:bCs/>
          <w:kern w:val="2"/>
          <w:sz w:val="24"/>
          <w14:ligatures w14:val="standardContextual"/>
        </w:rPr>
        <w:t>marža u prosjeku porasla za 2.07</w:t>
      </w:r>
      <w:r w:rsidR="009603BF" w:rsidRPr="00BE5472">
        <w:rPr>
          <w:rFonts w:ascii="Times New Roman" w:hAnsi="Times New Roman" w:cs="Times New Roman"/>
          <w:b/>
          <w:bCs/>
          <w:kern w:val="2"/>
          <w:sz w:val="24"/>
          <w14:ligatures w14:val="standardContextual"/>
        </w:rPr>
        <w:t xml:space="preserve"> </w:t>
      </w:r>
      <w:r w:rsidRPr="00BE5472">
        <w:rPr>
          <w:rFonts w:ascii="Times New Roman" w:hAnsi="Times New Roman" w:cs="Times New Roman"/>
          <w:b/>
          <w:bCs/>
          <w:kern w:val="2"/>
          <w:sz w:val="24"/>
          <w14:ligatures w14:val="standardContextual"/>
        </w:rPr>
        <w:t>%.</w:t>
      </w:r>
    </w:p>
    <w:p w14:paraId="7B52F655" w14:textId="77777777" w:rsidR="00120B4F" w:rsidRPr="00BE5472" w:rsidRDefault="00120B4F" w:rsidP="00120B4F">
      <w:pPr>
        <w:rPr>
          <w:rFonts w:ascii="Times New Roman" w:hAnsi="Times New Roman" w:cs="Times New Roman"/>
          <w:b/>
          <w:bCs/>
          <w:kern w:val="2"/>
          <w:sz w:val="24"/>
          <w14:ligatures w14:val="standardContextual"/>
        </w:rPr>
      </w:pPr>
      <w:bookmarkStart w:id="213" w:name="_Toc182495668"/>
      <w:r w:rsidRPr="00BE5472">
        <w:rPr>
          <w:rFonts w:ascii="Times New Roman" w:hAnsi="Times New Roman" w:cs="Times New Roman"/>
          <w:b/>
          <w:bCs/>
          <w:kern w:val="2"/>
          <w:sz w:val="24"/>
          <w14:ligatures w14:val="standardContextual"/>
        </w:rPr>
        <w:lastRenderedPageBreak/>
        <w:t>Neto profitna marža</w:t>
      </w:r>
      <w:bookmarkEnd w:id="213"/>
    </w:p>
    <w:p w14:paraId="38C11DB4" w14:textId="65CAEE29"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50</w:t>
      </w:r>
      <w:r w:rsidRPr="00BE5472">
        <w:rPr>
          <w:rFonts w:ascii="Times New Roman" w:hAnsi="Times New Roman" w:cs="Times New Roman"/>
          <w:kern w:val="2"/>
          <w:sz w:val="24"/>
          <w14:ligatures w14:val="standardContextual"/>
        </w:rPr>
        <w:t xml:space="preserve"> prikazani su rezultati testiranja razlike u visini pokazatelja neto profitna marža prije i nakon preuzimanja poduzeća. </w:t>
      </w:r>
    </w:p>
    <w:p w14:paraId="639D61EC" w14:textId="05EBBD7F" w:rsidR="00120B4F" w:rsidRPr="00E1098E" w:rsidRDefault="00E1098E" w:rsidP="00E1098E">
      <w:pPr>
        <w:pStyle w:val="Caption"/>
        <w:rPr>
          <w:rFonts w:ascii="Times New Roman" w:hAnsi="Times New Roman" w:cs="Times New Roman"/>
          <w:kern w:val="2"/>
          <w:sz w:val="24"/>
          <w:szCs w:val="24"/>
          <w14:ligatures w14:val="standardContextual"/>
        </w:rPr>
      </w:pPr>
      <w:bookmarkStart w:id="214" w:name="_Toc241865244"/>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50</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9603BF" w:rsidRPr="00E1098E">
        <w:rPr>
          <w:rFonts w:ascii="Times New Roman" w:hAnsi="Times New Roman" w:cs="Times New Roman"/>
          <w:kern w:val="2"/>
          <w:sz w:val="24"/>
          <w:szCs w:val="24"/>
          <w14:ligatures w14:val="standardContextual"/>
        </w:rPr>
        <w:t>n</w:t>
      </w:r>
      <w:r w:rsidR="00120B4F" w:rsidRPr="00E1098E">
        <w:rPr>
          <w:rFonts w:ascii="Times New Roman" w:hAnsi="Times New Roman" w:cs="Times New Roman"/>
          <w:kern w:val="2"/>
          <w:sz w:val="24"/>
          <w:szCs w:val="24"/>
          <w14:ligatures w14:val="standardContextual"/>
        </w:rPr>
        <w:t>eto profitnoj marži prije i nakon procesa preuzimanja poduzeća</w:t>
      </w:r>
      <w:bookmarkEnd w:id="214"/>
    </w:p>
    <w:tbl>
      <w:tblPr>
        <w:tblW w:w="5000" w:type="pct"/>
        <w:tblLook w:val="04A0" w:firstRow="1" w:lastRow="0" w:firstColumn="1" w:lastColumn="0" w:noHBand="0" w:noVBand="1"/>
      </w:tblPr>
      <w:tblGrid>
        <w:gridCol w:w="4061"/>
        <w:gridCol w:w="832"/>
        <w:gridCol w:w="1569"/>
        <w:gridCol w:w="1649"/>
        <w:gridCol w:w="918"/>
      </w:tblGrid>
      <w:tr w:rsidR="00120B4F" w:rsidRPr="00BE5472" w14:paraId="4F3B8897" w14:textId="77777777" w:rsidTr="003C2F5B">
        <w:trPr>
          <w:trHeight w:val="315"/>
        </w:trPr>
        <w:tc>
          <w:tcPr>
            <w:tcW w:w="1877" w:type="pct"/>
            <w:tcBorders>
              <w:top w:val="nil"/>
              <w:left w:val="nil"/>
              <w:bottom w:val="nil"/>
              <w:right w:val="nil"/>
            </w:tcBorders>
            <w:noWrap/>
            <w:vAlign w:val="bottom"/>
            <w:hideMark/>
          </w:tcPr>
          <w:p w14:paraId="27C28B47"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54" w:type="pct"/>
            <w:tcBorders>
              <w:top w:val="single" w:sz="4" w:space="0" w:color="auto"/>
              <w:left w:val="nil"/>
              <w:bottom w:val="nil"/>
              <w:right w:val="nil"/>
            </w:tcBorders>
            <w:noWrap/>
            <w:vAlign w:val="center"/>
            <w:hideMark/>
          </w:tcPr>
          <w:p w14:paraId="6D65F5E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922" w:type="pct"/>
            <w:gridSpan w:val="2"/>
            <w:tcBorders>
              <w:top w:val="single" w:sz="4" w:space="0" w:color="auto"/>
              <w:left w:val="nil"/>
              <w:bottom w:val="nil"/>
              <w:right w:val="nil"/>
            </w:tcBorders>
            <w:noWrap/>
            <w:vAlign w:val="center"/>
            <w:hideMark/>
          </w:tcPr>
          <w:p w14:paraId="7B96F029" w14:textId="22654F38"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9603BF"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47" w:type="pct"/>
            <w:tcBorders>
              <w:top w:val="single" w:sz="4" w:space="0" w:color="auto"/>
              <w:left w:val="nil"/>
              <w:bottom w:val="nil"/>
              <w:right w:val="nil"/>
            </w:tcBorders>
            <w:noWrap/>
            <w:vAlign w:val="center"/>
            <w:hideMark/>
          </w:tcPr>
          <w:p w14:paraId="688847E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6D2FBD24" w14:textId="77777777" w:rsidTr="003C2F5B">
        <w:trPr>
          <w:trHeight w:val="315"/>
        </w:trPr>
        <w:tc>
          <w:tcPr>
            <w:tcW w:w="1877" w:type="pct"/>
            <w:tcBorders>
              <w:top w:val="single" w:sz="4" w:space="0" w:color="auto"/>
              <w:left w:val="nil"/>
              <w:bottom w:val="single" w:sz="4" w:space="0" w:color="auto"/>
              <w:right w:val="nil"/>
            </w:tcBorders>
            <w:noWrap/>
            <w:vAlign w:val="bottom"/>
            <w:hideMark/>
          </w:tcPr>
          <w:p w14:paraId="39F3E59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54" w:type="pct"/>
            <w:tcBorders>
              <w:top w:val="single" w:sz="4" w:space="0" w:color="auto"/>
              <w:left w:val="nil"/>
              <w:bottom w:val="single" w:sz="4" w:space="0" w:color="auto"/>
              <w:right w:val="nil"/>
            </w:tcBorders>
            <w:noWrap/>
            <w:vAlign w:val="center"/>
            <w:hideMark/>
          </w:tcPr>
          <w:p w14:paraId="5CBCB3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34" w:type="pct"/>
            <w:tcBorders>
              <w:top w:val="single" w:sz="4" w:space="0" w:color="auto"/>
              <w:left w:val="nil"/>
              <w:bottom w:val="single" w:sz="4" w:space="0" w:color="auto"/>
              <w:right w:val="nil"/>
            </w:tcBorders>
            <w:noWrap/>
            <w:vAlign w:val="center"/>
            <w:hideMark/>
          </w:tcPr>
          <w:p w14:paraId="4E37165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88" w:type="pct"/>
            <w:tcBorders>
              <w:top w:val="single" w:sz="4" w:space="0" w:color="auto"/>
              <w:left w:val="nil"/>
              <w:bottom w:val="single" w:sz="4" w:space="0" w:color="auto"/>
              <w:right w:val="nil"/>
            </w:tcBorders>
            <w:noWrap/>
            <w:vAlign w:val="center"/>
            <w:hideMark/>
          </w:tcPr>
          <w:p w14:paraId="3261F0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47" w:type="pct"/>
            <w:tcBorders>
              <w:top w:val="single" w:sz="4" w:space="0" w:color="auto"/>
              <w:left w:val="nil"/>
              <w:bottom w:val="single" w:sz="4" w:space="0" w:color="auto"/>
              <w:right w:val="nil"/>
            </w:tcBorders>
            <w:noWrap/>
            <w:vAlign w:val="center"/>
            <w:hideMark/>
          </w:tcPr>
          <w:p w14:paraId="7266CF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3BEEEABA" w14:textId="77777777" w:rsidTr="003C2F5B">
        <w:trPr>
          <w:trHeight w:val="315"/>
        </w:trPr>
        <w:tc>
          <w:tcPr>
            <w:tcW w:w="1877" w:type="pct"/>
            <w:tcBorders>
              <w:top w:val="nil"/>
              <w:left w:val="nil"/>
              <w:bottom w:val="nil"/>
              <w:right w:val="nil"/>
            </w:tcBorders>
            <w:noWrap/>
            <w:vAlign w:val="bottom"/>
            <w:hideMark/>
          </w:tcPr>
          <w:p w14:paraId="5B7811B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54" w:type="pct"/>
            <w:tcBorders>
              <w:top w:val="nil"/>
              <w:left w:val="nil"/>
              <w:bottom w:val="nil"/>
              <w:right w:val="nil"/>
            </w:tcBorders>
            <w:noWrap/>
            <w:vAlign w:val="center"/>
            <w:hideMark/>
          </w:tcPr>
          <w:p w14:paraId="284CEBF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934" w:type="pct"/>
            <w:tcBorders>
              <w:top w:val="nil"/>
              <w:left w:val="nil"/>
              <w:bottom w:val="nil"/>
              <w:right w:val="nil"/>
            </w:tcBorders>
            <w:noWrap/>
            <w:vAlign w:val="center"/>
            <w:hideMark/>
          </w:tcPr>
          <w:p w14:paraId="2A04D23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88" w:type="pct"/>
            <w:tcBorders>
              <w:top w:val="nil"/>
              <w:left w:val="nil"/>
              <w:bottom w:val="nil"/>
              <w:right w:val="nil"/>
            </w:tcBorders>
            <w:noWrap/>
            <w:vAlign w:val="center"/>
            <w:hideMark/>
          </w:tcPr>
          <w:p w14:paraId="160296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647" w:type="pct"/>
            <w:tcBorders>
              <w:top w:val="nil"/>
              <w:left w:val="nil"/>
              <w:bottom w:val="nil"/>
              <w:right w:val="nil"/>
            </w:tcBorders>
            <w:noWrap/>
            <w:vAlign w:val="center"/>
            <w:hideMark/>
          </w:tcPr>
          <w:p w14:paraId="7C49F2A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0.003</w:t>
            </w:r>
          </w:p>
        </w:tc>
      </w:tr>
      <w:tr w:rsidR="00120B4F" w:rsidRPr="00BE5472" w14:paraId="5D797443" w14:textId="77777777" w:rsidTr="003C2F5B">
        <w:trPr>
          <w:trHeight w:val="315"/>
        </w:trPr>
        <w:tc>
          <w:tcPr>
            <w:tcW w:w="1877" w:type="pct"/>
            <w:tcBorders>
              <w:top w:val="nil"/>
              <w:left w:val="nil"/>
              <w:bottom w:val="nil"/>
              <w:right w:val="nil"/>
            </w:tcBorders>
            <w:noWrap/>
            <w:vAlign w:val="bottom"/>
            <w:hideMark/>
          </w:tcPr>
          <w:p w14:paraId="57AFB75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54" w:type="pct"/>
            <w:tcBorders>
              <w:top w:val="nil"/>
              <w:left w:val="nil"/>
              <w:bottom w:val="nil"/>
              <w:right w:val="nil"/>
            </w:tcBorders>
            <w:noWrap/>
            <w:vAlign w:val="center"/>
            <w:hideMark/>
          </w:tcPr>
          <w:p w14:paraId="0B1A43C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934" w:type="pct"/>
            <w:tcBorders>
              <w:top w:val="nil"/>
              <w:left w:val="nil"/>
              <w:bottom w:val="nil"/>
              <w:right w:val="nil"/>
            </w:tcBorders>
            <w:noWrap/>
            <w:vAlign w:val="center"/>
            <w:hideMark/>
          </w:tcPr>
          <w:p w14:paraId="09A7E13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88" w:type="pct"/>
            <w:tcBorders>
              <w:top w:val="nil"/>
              <w:left w:val="nil"/>
              <w:bottom w:val="nil"/>
              <w:right w:val="nil"/>
            </w:tcBorders>
            <w:noWrap/>
            <w:vAlign w:val="center"/>
            <w:hideMark/>
          </w:tcPr>
          <w:p w14:paraId="087801B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647" w:type="pct"/>
            <w:tcBorders>
              <w:top w:val="nil"/>
              <w:left w:val="nil"/>
              <w:bottom w:val="nil"/>
              <w:right w:val="nil"/>
            </w:tcBorders>
            <w:noWrap/>
            <w:vAlign w:val="center"/>
            <w:hideMark/>
          </w:tcPr>
          <w:p w14:paraId="7EE620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0.809</w:t>
            </w:r>
          </w:p>
        </w:tc>
      </w:tr>
      <w:tr w:rsidR="00120B4F" w:rsidRPr="00BE5472" w14:paraId="379EE749" w14:textId="77777777" w:rsidTr="003C2F5B">
        <w:trPr>
          <w:trHeight w:val="315"/>
        </w:trPr>
        <w:tc>
          <w:tcPr>
            <w:tcW w:w="1877" w:type="pct"/>
            <w:tcBorders>
              <w:top w:val="nil"/>
              <w:left w:val="nil"/>
              <w:bottom w:val="nil"/>
              <w:right w:val="nil"/>
            </w:tcBorders>
            <w:noWrap/>
            <w:vAlign w:val="bottom"/>
            <w:hideMark/>
          </w:tcPr>
          <w:p w14:paraId="176E1D2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54" w:type="pct"/>
            <w:tcBorders>
              <w:top w:val="nil"/>
              <w:left w:val="nil"/>
              <w:bottom w:val="nil"/>
              <w:right w:val="nil"/>
            </w:tcBorders>
            <w:noWrap/>
            <w:vAlign w:val="center"/>
            <w:hideMark/>
          </w:tcPr>
          <w:p w14:paraId="76617A2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2.08</w:t>
            </w:r>
          </w:p>
        </w:tc>
        <w:tc>
          <w:tcPr>
            <w:tcW w:w="934" w:type="pct"/>
            <w:tcBorders>
              <w:top w:val="nil"/>
              <w:left w:val="nil"/>
              <w:bottom w:val="nil"/>
              <w:right w:val="nil"/>
            </w:tcBorders>
            <w:noWrap/>
            <w:vAlign w:val="center"/>
            <w:hideMark/>
          </w:tcPr>
          <w:p w14:paraId="1498C06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988" w:type="pct"/>
            <w:tcBorders>
              <w:top w:val="nil"/>
              <w:left w:val="nil"/>
              <w:bottom w:val="nil"/>
              <w:right w:val="nil"/>
            </w:tcBorders>
            <w:noWrap/>
            <w:vAlign w:val="center"/>
            <w:hideMark/>
          </w:tcPr>
          <w:p w14:paraId="43190D5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4.12</w:t>
            </w:r>
          </w:p>
        </w:tc>
        <w:tc>
          <w:tcPr>
            <w:tcW w:w="647" w:type="pct"/>
            <w:tcBorders>
              <w:top w:val="nil"/>
              <w:left w:val="nil"/>
              <w:bottom w:val="nil"/>
              <w:right w:val="nil"/>
            </w:tcBorders>
            <w:noWrap/>
            <w:vAlign w:val="center"/>
            <w:hideMark/>
          </w:tcPr>
          <w:p w14:paraId="3321ED7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0.045</w:t>
            </w:r>
          </w:p>
        </w:tc>
      </w:tr>
      <w:tr w:rsidR="00120B4F" w:rsidRPr="00BE5472" w14:paraId="5B2A62A1" w14:textId="77777777" w:rsidTr="003C2F5B">
        <w:trPr>
          <w:trHeight w:val="315"/>
        </w:trPr>
        <w:tc>
          <w:tcPr>
            <w:tcW w:w="1877" w:type="pct"/>
            <w:tcBorders>
              <w:top w:val="nil"/>
              <w:left w:val="nil"/>
              <w:bottom w:val="nil"/>
              <w:right w:val="nil"/>
            </w:tcBorders>
            <w:noWrap/>
            <w:vAlign w:val="center"/>
            <w:hideMark/>
          </w:tcPr>
          <w:p w14:paraId="661BB03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554" w:type="pct"/>
            <w:tcBorders>
              <w:top w:val="nil"/>
              <w:left w:val="nil"/>
              <w:bottom w:val="nil"/>
              <w:right w:val="nil"/>
            </w:tcBorders>
            <w:noWrap/>
            <w:vAlign w:val="center"/>
            <w:hideMark/>
          </w:tcPr>
          <w:p w14:paraId="4F4305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934" w:type="pct"/>
            <w:tcBorders>
              <w:top w:val="nil"/>
              <w:left w:val="nil"/>
              <w:bottom w:val="nil"/>
              <w:right w:val="nil"/>
            </w:tcBorders>
            <w:noWrap/>
            <w:vAlign w:val="center"/>
            <w:hideMark/>
          </w:tcPr>
          <w:p w14:paraId="592453A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988" w:type="pct"/>
            <w:tcBorders>
              <w:top w:val="nil"/>
              <w:left w:val="nil"/>
              <w:bottom w:val="nil"/>
              <w:right w:val="nil"/>
            </w:tcBorders>
            <w:noWrap/>
            <w:vAlign w:val="center"/>
            <w:hideMark/>
          </w:tcPr>
          <w:p w14:paraId="61AA08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647" w:type="pct"/>
            <w:tcBorders>
              <w:top w:val="nil"/>
              <w:left w:val="nil"/>
              <w:bottom w:val="nil"/>
              <w:right w:val="nil"/>
            </w:tcBorders>
            <w:noWrap/>
            <w:vAlign w:val="center"/>
            <w:hideMark/>
          </w:tcPr>
          <w:p w14:paraId="5311565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0.560</w:t>
            </w:r>
          </w:p>
        </w:tc>
      </w:tr>
      <w:tr w:rsidR="00120B4F" w:rsidRPr="00BE5472" w14:paraId="2B68C68A" w14:textId="77777777" w:rsidTr="003C2F5B">
        <w:trPr>
          <w:trHeight w:val="315"/>
        </w:trPr>
        <w:tc>
          <w:tcPr>
            <w:tcW w:w="1877" w:type="pct"/>
            <w:tcBorders>
              <w:top w:val="nil"/>
              <w:left w:val="nil"/>
              <w:bottom w:val="nil"/>
              <w:right w:val="nil"/>
            </w:tcBorders>
            <w:noWrap/>
            <w:vAlign w:val="center"/>
            <w:hideMark/>
          </w:tcPr>
          <w:p w14:paraId="0416B39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554" w:type="pct"/>
            <w:tcBorders>
              <w:top w:val="nil"/>
              <w:left w:val="nil"/>
              <w:bottom w:val="nil"/>
              <w:right w:val="nil"/>
            </w:tcBorders>
            <w:noWrap/>
            <w:vAlign w:val="center"/>
            <w:hideMark/>
          </w:tcPr>
          <w:p w14:paraId="75F3D6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34" w:type="pct"/>
            <w:tcBorders>
              <w:top w:val="nil"/>
              <w:left w:val="nil"/>
              <w:bottom w:val="nil"/>
              <w:right w:val="nil"/>
            </w:tcBorders>
            <w:noWrap/>
            <w:vAlign w:val="center"/>
            <w:hideMark/>
          </w:tcPr>
          <w:p w14:paraId="266F83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88" w:type="pct"/>
            <w:tcBorders>
              <w:top w:val="nil"/>
              <w:left w:val="nil"/>
              <w:bottom w:val="nil"/>
              <w:right w:val="nil"/>
            </w:tcBorders>
            <w:noWrap/>
            <w:vAlign w:val="center"/>
            <w:hideMark/>
          </w:tcPr>
          <w:p w14:paraId="1F0A65F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647" w:type="pct"/>
            <w:tcBorders>
              <w:top w:val="nil"/>
              <w:left w:val="nil"/>
              <w:bottom w:val="nil"/>
              <w:right w:val="nil"/>
            </w:tcBorders>
            <w:noWrap/>
            <w:vAlign w:val="center"/>
            <w:hideMark/>
          </w:tcPr>
          <w:p w14:paraId="6CF5C3E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0.674</w:t>
            </w:r>
          </w:p>
        </w:tc>
      </w:tr>
      <w:tr w:rsidR="00120B4F" w:rsidRPr="00BE5472" w14:paraId="78FE2EA6" w14:textId="77777777" w:rsidTr="003C2F5B">
        <w:trPr>
          <w:trHeight w:val="315"/>
        </w:trPr>
        <w:tc>
          <w:tcPr>
            <w:tcW w:w="1877" w:type="pct"/>
            <w:tcBorders>
              <w:top w:val="single" w:sz="4" w:space="0" w:color="auto"/>
              <w:left w:val="nil"/>
              <w:bottom w:val="nil"/>
              <w:right w:val="nil"/>
            </w:tcBorders>
            <w:noWrap/>
            <w:vAlign w:val="bottom"/>
            <w:hideMark/>
          </w:tcPr>
          <w:p w14:paraId="6D95655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single" w:sz="4" w:space="0" w:color="auto"/>
              <w:left w:val="nil"/>
              <w:bottom w:val="nil"/>
              <w:right w:val="nil"/>
            </w:tcBorders>
            <w:noWrap/>
            <w:vAlign w:val="center"/>
            <w:hideMark/>
          </w:tcPr>
          <w:p w14:paraId="175D7FD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r>
      <w:tr w:rsidR="00120B4F" w:rsidRPr="00BE5472" w14:paraId="32F2C309" w14:textId="77777777" w:rsidTr="003C2F5B">
        <w:trPr>
          <w:trHeight w:val="315"/>
        </w:trPr>
        <w:tc>
          <w:tcPr>
            <w:tcW w:w="1877" w:type="pct"/>
            <w:tcBorders>
              <w:top w:val="nil"/>
              <w:left w:val="nil"/>
              <w:bottom w:val="nil"/>
              <w:right w:val="nil"/>
            </w:tcBorders>
            <w:noWrap/>
            <w:vAlign w:val="bottom"/>
            <w:hideMark/>
          </w:tcPr>
          <w:p w14:paraId="4A50847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nil"/>
              <w:left w:val="nil"/>
              <w:bottom w:val="nil"/>
              <w:right w:val="nil"/>
            </w:tcBorders>
            <w:noWrap/>
            <w:vAlign w:val="center"/>
            <w:hideMark/>
          </w:tcPr>
          <w:p w14:paraId="0DF60A3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r>
      <w:tr w:rsidR="00120B4F" w:rsidRPr="00BE5472" w14:paraId="0BD775A5" w14:textId="77777777" w:rsidTr="003C2F5B">
        <w:trPr>
          <w:trHeight w:val="315"/>
        </w:trPr>
        <w:tc>
          <w:tcPr>
            <w:tcW w:w="1877" w:type="pct"/>
            <w:tcBorders>
              <w:top w:val="nil"/>
              <w:left w:val="nil"/>
              <w:bottom w:val="nil"/>
              <w:right w:val="nil"/>
            </w:tcBorders>
            <w:noWrap/>
            <w:vAlign w:val="bottom"/>
            <w:hideMark/>
          </w:tcPr>
          <w:p w14:paraId="26310F0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3123" w:type="pct"/>
            <w:gridSpan w:val="4"/>
            <w:tcBorders>
              <w:top w:val="nil"/>
              <w:left w:val="nil"/>
              <w:bottom w:val="nil"/>
              <w:right w:val="nil"/>
            </w:tcBorders>
            <w:noWrap/>
            <w:vAlign w:val="center"/>
            <w:hideMark/>
          </w:tcPr>
          <w:p w14:paraId="431B5D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619420C0" w14:textId="77777777" w:rsidTr="003C2F5B">
        <w:trPr>
          <w:trHeight w:val="315"/>
        </w:trPr>
        <w:tc>
          <w:tcPr>
            <w:tcW w:w="1877" w:type="pct"/>
            <w:tcBorders>
              <w:top w:val="nil"/>
              <w:left w:val="nil"/>
              <w:bottom w:val="nil"/>
              <w:right w:val="nil"/>
            </w:tcBorders>
            <w:noWrap/>
            <w:vAlign w:val="bottom"/>
            <w:hideMark/>
          </w:tcPr>
          <w:p w14:paraId="63C8FB8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3123" w:type="pct"/>
            <w:gridSpan w:val="4"/>
            <w:tcBorders>
              <w:top w:val="nil"/>
              <w:left w:val="nil"/>
              <w:bottom w:val="nil"/>
              <w:right w:val="nil"/>
            </w:tcBorders>
            <w:noWrap/>
            <w:vAlign w:val="center"/>
            <w:hideMark/>
          </w:tcPr>
          <w:p w14:paraId="306659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0318FEB2" w14:textId="77777777" w:rsidTr="003C2F5B">
        <w:trPr>
          <w:trHeight w:val="315"/>
        </w:trPr>
        <w:tc>
          <w:tcPr>
            <w:tcW w:w="1877" w:type="pct"/>
            <w:tcBorders>
              <w:top w:val="nil"/>
              <w:left w:val="nil"/>
              <w:bottom w:val="single" w:sz="4" w:space="0" w:color="auto"/>
              <w:right w:val="nil"/>
            </w:tcBorders>
            <w:noWrap/>
            <w:vAlign w:val="bottom"/>
            <w:hideMark/>
          </w:tcPr>
          <w:p w14:paraId="0AB94F2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3123" w:type="pct"/>
            <w:gridSpan w:val="4"/>
            <w:tcBorders>
              <w:top w:val="nil"/>
              <w:left w:val="nil"/>
              <w:bottom w:val="single" w:sz="4" w:space="0" w:color="auto"/>
              <w:right w:val="nil"/>
            </w:tcBorders>
            <w:noWrap/>
            <w:vAlign w:val="center"/>
            <w:hideMark/>
          </w:tcPr>
          <w:p w14:paraId="021F3AA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70EF9BB9" w14:textId="51098CDE"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33360DBA" w14:textId="0DCA7EA3"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neto profitna marža između razdoblja prije i nakon preuzimanja poduzeća (B = -0.04,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[-0.16, 0.09], p = .560), nije utvrđen statistički značajan vremenski trend (B = 0.00,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0.02], p = .809), te nije utvrđena statistički značajna interakcija između statusa poduzeća i vremenskog trenda (B = 0.01,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0.04], p = .674).</w:t>
      </w:r>
    </w:p>
    <w:p w14:paraId="3BB95EC7" w14:textId="77777777" w:rsidR="00120B4F" w:rsidRPr="00BE5472" w:rsidRDefault="00120B4F" w:rsidP="00120B4F">
      <w:pPr>
        <w:rPr>
          <w:rFonts w:ascii="Times New Roman" w:hAnsi="Times New Roman" w:cs="Times New Roman"/>
          <w:b/>
          <w:bCs/>
          <w:kern w:val="2"/>
          <w:sz w:val="24"/>
          <w14:ligatures w14:val="standardContextual"/>
        </w:rPr>
      </w:pPr>
      <w:bookmarkStart w:id="215" w:name="_Toc182495669"/>
      <w:r w:rsidRPr="00BE5472">
        <w:rPr>
          <w:rFonts w:ascii="Times New Roman" w:hAnsi="Times New Roman" w:cs="Times New Roman"/>
          <w:b/>
          <w:bCs/>
          <w:kern w:val="2"/>
          <w:sz w:val="24"/>
          <w14:ligatures w14:val="standardContextual"/>
        </w:rPr>
        <w:lastRenderedPageBreak/>
        <w:t>Pokazatelj tekuće likvidnosti</w:t>
      </w:r>
      <w:bookmarkEnd w:id="215"/>
    </w:p>
    <w:p w14:paraId="5175D9B3" w14:textId="15DEDEAA"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51</w:t>
      </w:r>
      <w:r w:rsidRPr="00BE5472">
        <w:rPr>
          <w:rFonts w:ascii="Times New Roman" w:hAnsi="Times New Roman" w:cs="Times New Roman"/>
          <w:kern w:val="2"/>
          <w:sz w:val="24"/>
          <w14:ligatures w14:val="standardContextual"/>
        </w:rPr>
        <w:t xml:space="preserve"> prikazani su rezultati testiranja razlike u visini pokazatelja tekuće likvidnosti prije i nakon preuzimanja poduzeća. </w:t>
      </w:r>
    </w:p>
    <w:p w14:paraId="312D86F6" w14:textId="499A5776" w:rsidR="00120B4F" w:rsidRPr="00E1098E" w:rsidRDefault="00E1098E" w:rsidP="00E1098E">
      <w:pPr>
        <w:pStyle w:val="Caption"/>
        <w:rPr>
          <w:rFonts w:ascii="Times New Roman" w:hAnsi="Times New Roman" w:cs="Times New Roman"/>
          <w:kern w:val="2"/>
          <w:sz w:val="24"/>
          <w:szCs w:val="24"/>
          <w14:ligatures w14:val="standardContextual"/>
        </w:rPr>
      </w:pPr>
      <w:bookmarkStart w:id="216" w:name="_Toc241865245"/>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51</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9603BF" w:rsidRPr="00E1098E">
        <w:rPr>
          <w:rFonts w:ascii="Times New Roman" w:hAnsi="Times New Roman" w:cs="Times New Roman"/>
          <w:kern w:val="2"/>
          <w:sz w:val="24"/>
          <w:szCs w:val="24"/>
          <w14:ligatures w14:val="standardContextual"/>
        </w:rPr>
        <w:t>p</w:t>
      </w:r>
      <w:r w:rsidR="00120B4F" w:rsidRPr="00E1098E">
        <w:rPr>
          <w:rFonts w:ascii="Times New Roman" w:hAnsi="Times New Roman" w:cs="Times New Roman"/>
          <w:kern w:val="2"/>
          <w:sz w:val="24"/>
          <w:szCs w:val="24"/>
          <w14:ligatures w14:val="standardContextual"/>
        </w:rPr>
        <w:t>okazatelju tekuće likvidnosti prije i nakon procesa preuzimanja poduzeća</w:t>
      </w:r>
      <w:bookmarkEnd w:id="216"/>
    </w:p>
    <w:tbl>
      <w:tblPr>
        <w:tblW w:w="5000" w:type="pct"/>
        <w:tblLook w:val="04A0" w:firstRow="1" w:lastRow="0" w:firstColumn="1" w:lastColumn="0" w:noHBand="0" w:noVBand="1"/>
      </w:tblPr>
      <w:tblGrid>
        <w:gridCol w:w="4061"/>
        <w:gridCol w:w="832"/>
        <w:gridCol w:w="1569"/>
        <w:gridCol w:w="1649"/>
        <w:gridCol w:w="918"/>
      </w:tblGrid>
      <w:tr w:rsidR="00120B4F" w:rsidRPr="00BE5472" w14:paraId="2DE9FD2B" w14:textId="77777777" w:rsidTr="003C2F5B">
        <w:trPr>
          <w:trHeight w:val="315"/>
        </w:trPr>
        <w:tc>
          <w:tcPr>
            <w:tcW w:w="1877" w:type="pct"/>
            <w:tcBorders>
              <w:top w:val="nil"/>
              <w:left w:val="nil"/>
              <w:bottom w:val="nil"/>
              <w:right w:val="nil"/>
            </w:tcBorders>
            <w:noWrap/>
            <w:vAlign w:val="bottom"/>
            <w:hideMark/>
          </w:tcPr>
          <w:p w14:paraId="3A9F6A87"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54" w:type="pct"/>
            <w:tcBorders>
              <w:top w:val="single" w:sz="4" w:space="0" w:color="auto"/>
              <w:left w:val="nil"/>
              <w:bottom w:val="nil"/>
              <w:right w:val="nil"/>
            </w:tcBorders>
            <w:noWrap/>
            <w:vAlign w:val="center"/>
            <w:hideMark/>
          </w:tcPr>
          <w:p w14:paraId="10C68AB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922" w:type="pct"/>
            <w:gridSpan w:val="2"/>
            <w:tcBorders>
              <w:top w:val="single" w:sz="4" w:space="0" w:color="auto"/>
              <w:left w:val="nil"/>
              <w:bottom w:val="nil"/>
              <w:right w:val="nil"/>
            </w:tcBorders>
            <w:noWrap/>
            <w:vAlign w:val="center"/>
            <w:hideMark/>
          </w:tcPr>
          <w:p w14:paraId="2BC582B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 CI</w:t>
            </w:r>
          </w:p>
        </w:tc>
        <w:tc>
          <w:tcPr>
            <w:tcW w:w="647" w:type="pct"/>
            <w:tcBorders>
              <w:top w:val="single" w:sz="4" w:space="0" w:color="auto"/>
              <w:left w:val="nil"/>
              <w:bottom w:val="nil"/>
              <w:right w:val="nil"/>
            </w:tcBorders>
            <w:noWrap/>
            <w:vAlign w:val="center"/>
            <w:hideMark/>
          </w:tcPr>
          <w:p w14:paraId="5334DC0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0ECACC04" w14:textId="77777777" w:rsidTr="003C2F5B">
        <w:trPr>
          <w:trHeight w:val="315"/>
        </w:trPr>
        <w:tc>
          <w:tcPr>
            <w:tcW w:w="1877" w:type="pct"/>
            <w:tcBorders>
              <w:top w:val="single" w:sz="4" w:space="0" w:color="auto"/>
              <w:left w:val="nil"/>
              <w:bottom w:val="single" w:sz="4" w:space="0" w:color="auto"/>
              <w:right w:val="nil"/>
            </w:tcBorders>
            <w:noWrap/>
            <w:vAlign w:val="bottom"/>
            <w:hideMark/>
          </w:tcPr>
          <w:p w14:paraId="04A2216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54" w:type="pct"/>
            <w:tcBorders>
              <w:top w:val="single" w:sz="4" w:space="0" w:color="auto"/>
              <w:left w:val="nil"/>
              <w:bottom w:val="single" w:sz="4" w:space="0" w:color="auto"/>
              <w:right w:val="nil"/>
            </w:tcBorders>
            <w:noWrap/>
            <w:vAlign w:val="center"/>
            <w:hideMark/>
          </w:tcPr>
          <w:p w14:paraId="5AE945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34" w:type="pct"/>
            <w:tcBorders>
              <w:top w:val="single" w:sz="4" w:space="0" w:color="auto"/>
              <w:left w:val="nil"/>
              <w:bottom w:val="single" w:sz="4" w:space="0" w:color="auto"/>
              <w:right w:val="nil"/>
            </w:tcBorders>
            <w:noWrap/>
            <w:vAlign w:val="center"/>
            <w:hideMark/>
          </w:tcPr>
          <w:p w14:paraId="4217CB4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88" w:type="pct"/>
            <w:tcBorders>
              <w:top w:val="single" w:sz="4" w:space="0" w:color="auto"/>
              <w:left w:val="nil"/>
              <w:bottom w:val="single" w:sz="4" w:space="0" w:color="auto"/>
              <w:right w:val="nil"/>
            </w:tcBorders>
            <w:noWrap/>
            <w:vAlign w:val="center"/>
            <w:hideMark/>
          </w:tcPr>
          <w:p w14:paraId="25DEDE6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47" w:type="pct"/>
            <w:tcBorders>
              <w:top w:val="single" w:sz="4" w:space="0" w:color="auto"/>
              <w:left w:val="nil"/>
              <w:bottom w:val="single" w:sz="4" w:space="0" w:color="auto"/>
              <w:right w:val="nil"/>
            </w:tcBorders>
            <w:noWrap/>
            <w:vAlign w:val="center"/>
            <w:hideMark/>
          </w:tcPr>
          <w:p w14:paraId="7206ED4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A0605B5" w14:textId="77777777" w:rsidTr="003C2F5B">
        <w:trPr>
          <w:trHeight w:val="315"/>
        </w:trPr>
        <w:tc>
          <w:tcPr>
            <w:tcW w:w="1877" w:type="pct"/>
            <w:tcBorders>
              <w:top w:val="nil"/>
              <w:left w:val="nil"/>
              <w:bottom w:val="nil"/>
              <w:right w:val="nil"/>
            </w:tcBorders>
            <w:noWrap/>
            <w:vAlign w:val="bottom"/>
            <w:hideMark/>
          </w:tcPr>
          <w:p w14:paraId="1501608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54" w:type="pct"/>
            <w:tcBorders>
              <w:top w:val="nil"/>
              <w:left w:val="nil"/>
              <w:bottom w:val="nil"/>
              <w:right w:val="nil"/>
            </w:tcBorders>
            <w:noWrap/>
            <w:vAlign w:val="center"/>
            <w:hideMark/>
          </w:tcPr>
          <w:p w14:paraId="70E1529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1.14</w:t>
            </w:r>
          </w:p>
        </w:tc>
        <w:tc>
          <w:tcPr>
            <w:tcW w:w="934" w:type="pct"/>
            <w:tcBorders>
              <w:top w:val="nil"/>
              <w:left w:val="nil"/>
              <w:bottom w:val="nil"/>
              <w:right w:val="nil"/>
            </w:tcBorders>
            <w:noWrap/>
            <w:vAlign w:val="center"/>
            <w:hideMark/>
          </w:tcPr>
          <w:p w14:paraId="0F2B51F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0.82</w:t>
            </w:r>
          </w:p>
        </w:tc>
        <w:tc>
          <w:tcPr>
            <w:tcW w:w="988" w:type="pct"/>
            <w:tcBorders>
              <w:top w:val="nil"/>
              <w:left w:val="nil"/>
              <w:bottom w:val="nil"/>
              <w:right w:val="nil"/>
            </w:tcBorders>
            <w:noWrap/>
            <w:vAlign w:val="center"/>
            <w:hideMark/>
          </w:tcPr>
          <w:p w14:paraId="0BF5219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1.46</w:t>
            </w:r>
          </w:p>
        </w:tc>
        <w:tc>
          <w:tcPr>
            <w:tcW w:w="647" w:type="pct"/>
            <w:tcBorders>
              <w:top w:val="nil"/>
              <w:left w:val="nil"/>
              <w:bottom w:val="nil"/>
              <w:right w:val="nil"/>
            </w:tcBorders>
            <w:noWrap/>
            <w:vAlign w:val="center"/>
            <w:hideMark/>
          </w:tcPr>
          <w:p w14:paraId="561761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DD31A03" w14:textId="77777777" w:rsidTr="003C2F5B">
        <w:trPr>
          <w:trHeight w:val="315"/>
        </w:trPr>
        <w:tc>
          <w:tcPr>
            <w:tcW w:w="1877" w:type="pct"/>
            <w:tcBorders>
              <w:top w:val="nil"/>
              <w:left w:val="nil"/>
              <w:bottom w:val="nil"/>
              <w:right w:val="nil"/>
            </w:tcBorders>
            <w:noWrap/>
            <w:vAlign w:val="bottom"/>
            <w:hideMark/>
          </w:tcPr>
          <w:p w14:paraId="3415E66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54" w:type="pct"/>
            <w:tcBorders>
              <w:top w:val="nil"/>
              <w:left w:val="nil"/>
              <w:bottom w:val="nil"/>
              <w:right w:val="nil"/>
            </w:tcBorders>
            <w:noWrap/>
            <w:vAlign w:val="center"/>
            <w:hideMark/>
          </w:tcPr>
          <w:p w14:paraId="47346AE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934" w:type="pct"/>
            <w:tcBorders>
              <w:top w:val="nil"/>
              <w:left w:val="nil"/>
              <w:bottom w:val="nil"/>
              <w:right w:val="nil"/>
            </w:tcBorders>
            <w:noWrap/>
            <w:vAlign w:val="center"/>
            <w:hideMark/>
          </w:tcPr>
          <w:p w14:paraId="40F64BA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988" w:type="pct"/>
            <w:tcBorders>
              <w:top w:val="nil"/>
              <w:left w:val="nil"/>
              <w:bottom w:val="nil"/>
              <w:right w:val="nil"/>
            </w:tcBorders>
            <w:noWrap/>
            <w:vAlign w:val="center"/>
            <w:hideMark/>
          </w:tcPr>
          <w:p w14:paraId="43C12BC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0.20</w:t>
            </w:r>
          </w:p>
        </w:tc>
        <w:tc>
          <w:tcPr>
            <w:tcW w:w="647" w:type="pct"/>
            <w:tcBorders>
              <w:top w:val="nil"/>
              <w:left w:val="nil"/>
              <w:bottom w:val="nil"/>
              <w:right w:val="nil"/>
            </w:tcBorders>
            <w:noWrap/>
            <w:vAlign w:val="center"/>
            <w:hideMark/>
          </w:tcPr>
          <w:p w14:paraId="64B9FAB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0.061</w:t>
            </w:r>
          </w:p>
        </w:tc>
      </w:tr>
      <w:tr w:rsidR="00120B4F" w:rsidRPr="00BE5472" w14:paraId="4ACA7C07" w14:textId="77777777" w:rsidTr="003C2F5B">
        <w:trPr>
          <w:trHeight w:val="315"/>
        </w:trPr>
        <w:tc>
          <w:tcPr>
            <w:tcW w:w="1877" w:type="pct"/>
            <w:tcBorders>
              <w:top w:val="nil"/>
              <w:left w:val="nil"/>
              <w:bottom w:val="nil"/>
              <w:right w:val="nil"/>
            </w:tcBorders>
            <w:noWrap/>
            <w:vAlign w:val="bottom"/>
            <w:hideMark/>
          </w:tcPr>
          <w:p w14:paraId="3699CA6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54" w:type="pct"/>
            <w:tcBorders>
              <w:top w:val="nil"/>
              <w:left w:val="nil"/>
              <w:bottom w:val="nil"/>
              <w:right w:val="nil"/>
            </w:tcBorders>
            <w:noWrap/>
            <w:vAlign w:val="center"/>
            <w:hideMark/>
          </w:tcPr>
          <w:p w14:paraId="44F64E5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2.30</w:t>
            </w:r>
          </w:p>
        </w:tc>
        <w:tc>
          <w:tcPr>
            <w:tcW w:w="934" w:type="pct"/>
            <w:tcBorders>
              <w:top w:val="nil"/>
              <w:left w:val="nil"/>
              <w:bottom w:val="nil"/>
              <w:right w:val="nil"/>
            </w:tcBorders>
            <w:noWrap/>
            <w:vAlign w:val="center"/>
            <w:hideMark/>
          </w:tcPr>
          <w:p w14:paraId="3828750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1.44</w:t>
            </w:r>
          </w:p>
        </w:tc>
        <w:tc>
          <w:tcPr>
            <w:tcW w:w="988" w:type="pct"/>
            <w:tcBorders>
              <w:top w:val="nil"/>
              <w:left w:val="nil"/>
              <w:bottom w:val="nil"/>
              <w:right w:val="nil"/>
            </w:tcBorders>
            <w:noWrap/>
            <w:vAlign w:val="center"/>
            <w:hideMark/>
          </w:tcPr>
          <w:p w14:paraId="031DD5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3.15</w:t>
            </w:r>
          </w:p>
        </w:tc>
        <w:tc>
          <w:tcPr>
            <w:tcW w:w="647" w:type="pct"/>
            <w:tcBorders>
              <w:top w:val="nil"/>
              <w:left w:val="nil"/>
              <w:bottom w:val="nil"/>
              <w:right w:val="nil"/>
            </w:tcBorders>
            <w:noWrap/>
            <w:vAlign w:val="center"/>
            <w:hideMark/>
          </w:tcPr>
          <w:p w14:paraId="2A8BA87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19800B50" w14:textId="77777777" w:rsidTr="003C2F5B">
        <w:trPr>
          <w:trHeight w:val="315"/>
        </w:trPr>
        <w:tc>
          <w:tcPr>
            <w:tcW w:w="1877" w:type="pct"/>
            <w:tcBorders>
              <w:top w:val="nil"/>
              <w:left w:val="nil"/>
              <w:bottom w:val="nil"/>
              <w:right w:val="nil"/>
            </w:tcBorders>
            <w:noWrap/>
            <w:vAlign w:val="center"/>
            <w:hideMark/>
          </w:tcPr>
          <w:p w14:paraId="5504FC1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554" w:type="pct"/>
            <w:tcBorders>
              <w:top w:val="nil"/>
              <w:left w:val="nil"/>
              <w:bottom w:val="nil"/>
              <w:right w:val="nil"/>
            </w:tcBorders>
            <w:noWrap/>
            <w:vAlign w:val="center"/>
            <w:hideMark/>
          </w:tcPr>
          <w:p w14:paraId="3B491A7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-0.73</w:t>
            </w:r>
          </w:p>
        </w:tc>
        <w:tc>
          <w:tcPr>
            <w:tcW w:w="934" w:type="pct"/>
            <w:tcBorders>
              <w:top w:val="nil"/>
              <w:left w:val="nil"/>
              <w:bottom w:val="nil"/>
              <w:right w:val="nil"/>
            </w:tcBorders>
            <w:noWrap/>
            <w:vAlign w:val="center"/>
            <w:hideMark/>
          </w:tcPr>
          <w:p w14:paraId="7E88FB9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-1.40</w:t>
            </w:r>
          </w:p>
        </w:tc>
        <w:tc>
          <w:tcPr>
            <w:tcW w:w="988" w:type="pct"/>
            <w:tcBorders>
              <w:top w:val="nil"/>
              <w:left w:val="nil"/>
              <w:bottom w:val="nil"/>
              <w:right w:val="nil"/>
            </w:tcBorders>
            <w:noWrap/>
            <w:vAlign w:val="center"/>
            <w:hideMark/>
          </w:tcPr>
          <w:p w14:paraId="682941D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647" w:type="pct"/>
            <w:tcBorders>
              <w:top w:val="nil"/>
              <w:left w:val="nil"/>
              <w:bottom w:val="nil"/>
              <w:right w:val="nil"/>
            </w:tcBorders>
            <w:noWrap/>
            <w:vAlign w:val="center"/>
            <w:hideMark/>
          </w:tcPr>
          <w:p w14:paraId="11D0FC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0.032</w:t>
            </w:r>
          </w:p>
        </w:tc>
      </w:tr>
      <w:tr w:rsidR="00120B4F" w:rsidRPr="00BE5472" w14:paraId="2AD026AF" w14:textId="77777777" w:rsidTr="003C2F5B">
        <w:trPr>
          <w:trHeight w:val="315"/>
        </w:trPr>
        <w:tc>
          <w:tcPr>
            <w:tcW w:w="1877" w:type="pct"/>
            <w:tcBorders>
              <w:top w:val="nil"/>
              <w:left w:val="nil"/>
              <w:bottom w:val="nil"/>
              <w:right w:val="nil"/>
            </w:tcBorders>
            <w:noWrap/>
            <w:vAlign w:val="center"/>
            <w:hideMark/>
          </w:tcPr>
          <w:p w14:paraId="603EBBA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554" w:type="pct"/>
            <w:tcBorders>
              <w:top w:val="nil"/>
              <w:left w:val="nil"/>
              <w:bottom w:val="nil"/>
              <w:right w:val="nil"/>
            </w:tcBorders>
            <w:noWrap/>
            <w:vAlign w:val="center"/>
            <w:hideMark/>
          </w:tcPr>
          <w:p w14:paraId="61B2BDD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934" w:type="pct"/>
            <w:tcBorders>
              <w:top w:val="nil"/>
              <w:left w:val="nil"/>
              <w:bottom w:val="nil"/>
              <w:right w:val="nil"/>
            </w:tcBorders>
            <w:noWrap/>
            <w:vAlign w:val="center"/>
            <w:hideMark/>
          </w:tcPr>
          <w:p w14:paraId="212A448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988" w:type="pct"/>
            <w:tcBorders>
              <w:top w:val="nil"/>
              <w:left w:val="nil"/>
              <w:bottom w:val="nil"/>
              <w:right w:val="nil"/>
            </w:tcBorders>
            <w:noWrap/>
            <w:vAlign w:val="center"/>
            <w:hideMark/>
          </w:tcPr>
          <w:p w14:paraId="6D933A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c>
          <w:tcPr>
            <w:tcW w:w="647" w:type="pct"/>
            <w:tcBorders>
              <w:top w:val="nil"/>
              <w:left w:val="nil"/>
              <w:bottom w:val="nil"/>
              <w:right w:val="nil"/>
            </w:tcBorders>
            <w:noWrap/>
            <w:vAlign w:val="center"/>
            <w:hideMark/>
          </w:tcPr>
          <w:p w14:paraId="442A6E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0.435</w:t>
            </w:r>
          </w:p>
        </w:tc>
      </w:tr>
      <w:tr w:rsidR="00120B4F" w:rsidRPr="00BE5472" w14:paraId="04A355AB" w14:textId="77777777" w:rsidTr="003C2F5B">
        <w:trPr>
          <w:trHeight w:val="315"/>
        </w:trPr>
        <w:tc>
          <w:tcPr>
            <w:tcW w:w="1877" w:type="pct"/>
            <w:tcBorders>
              <w:top w:val="single" w:sz="4" w:space="0" w:color="auto"/>
              <w:left w:val="nil"/>
              <w:bottom w:val="nil"/>
              <w:right w:val="nil"/>
            </w:tcBorders>
            <w:noWrap/>
            <w:vAlign w:val="bottom"/>
            <w:hideMark/>
          </w:tcPr>
          <w:p w14:paraId="0E68C59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single" w:sz="4" w:space="0" w:color="auto"/>
              <w:left w:val="nil"/>
              <w:bottom w:val="nil"/>
              <w:right w:val="nil"/>
            </w:tcBorders>
            <w:noWrap/>
            <w:vAlign w:val="center"/>
            <w:hideMark/>
          </w:tcPr>
          <w:p w14:paraId="647201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w:t>
            </w:r>
          </w:p>
        </w:tc>
      </w:tr>
      <w:tr w:rsidR="00120B4F" w:rsidRPr="00BE5472" w14:paraId="6DD785D8" w14:textId="77777777" w:rsidTr="003C2F5B">
        <w:trPr>
          <w:trHeight w:val="315"/>
        </w:trPr>
        <w:tc>
          <w:tcPr>
            <w:tcW w:w="1877" w:type="pct"/>
            <w:tcBorders>
              <w:top w:val="nil"/>
              <w:left w:val="nil"/>
              <w:bottom w:val="nil"/>
              <w:right w:val="nil"/>
            </w:tcBorders>
            <w:noWrap/>
            <w:vAlign w:val="bottom"/>
            <w:hideMark/>
          </w:tcPr>
          <w:p w14:paraId="091A377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nil"/>
              <w:left w:val="nil"/>
              <w:bottom w:val="nil"/>
              <w:right w:val="nil"/>
            </w:tcBorders>
            <w:noWrap/>
            <w:vAlign w:val="center"/>
            <w:hideMark/>
          </w:tcPr>
          <w:p w14:paraId="4DCDDE5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w:t>
            </w:r>
          </w:p>
        </w:tc>
      </w:tr>
      <w:tr w:rsidR="00120B4F" w:rsidRPr="00BE5472" w14:paraId="6170B0D6" w14:textId="77777777" w:rsidTr="003C2F5B">
        <w:trPr>
          <w:trHeight w:val="315"/>
        </w:trPr>
        <w:tc>
          <w:tcPr>
            <w:tcW w:w="1877" w:type="pct"/>
            <w:tcBorders>
              <w:top w:val="nil"/>
              <w:left w:val="nil"/>
              <w:bottom w:val="nil"/>
              <w:right w:val="nil"/>
            </w:tcBorders>
            <w:noWrap/>
            <w:vAlign w:val="bottom"/>
            <w:hideMark/>
          </w:tcPr>
          <w:p w14:paraId="0036B24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3123" w:type="pct"/>
            <w:gridSpan w:val="4"/>
            <w:tcBorders>
              <w:top w:val="nil"/>
              <w:left w:val="nil"/>
              <w:bottom w:val="nil"/>
              <w:right w:val="nil"/>
            </w:tcBorders>
            <w:noWrap/>
            <w:vAlign w:val="center"/>
            <w:hideMark/>
          </w:tcPr>
          <w:p w14:paraId="4D62C6C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73F326B5" w14:textId="77777777" w:rsidTr="003C2F5B">
        <w:trPr>
          <w:trHeight w:val="315"/>
        </w:trPr>
        <w:tc>
          <w:tcPr>
            <w:tcW w:w="1877" w:type="pct"/>
            <w:tcBorders>
              <w:top w:val="nil"/>
              <w:left w:val="nil"/>
              <w:bottom w:val="nil"/>
              <w:right w:val="nil"/>
            </w:tcBorders>
            <w:noWrap/>
            <w:vAlign w:val="bottom"/>
            <w:hideMark/>
          </w:tcPr>
          <w:p w14:paraId="3B3CE33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3123" w:type="pct"/>
            <w:gridSpan w:val="4"/>
            <w:tcBorders>
              <w:top w:val="nil"/>
              <w:left w:val="nil"/>
              <w:bottom w:val="nil"/>
              <w:right w:val="nil"/>
            </w:tcBorders>
            <w:noWrap/>
            <w:vAlign w:val="center"/>
            <w:hideMark/>
          </w:tcPr>
          <w:p w14:paraId="29E5E7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52FF1225" w14:textId="77777777" w:rsidTr="003C2F5B">
        <w:trPr>
          <w:trHeight w:val="315"/>
        </w:trPr>
        <w:tc>
          <w:tcPr>
            <w:tcW w:w="1877" w:type="pct"/>
            <w:tcBorders>
              <w:top w:val="nil"/>
              <w:left w:val="nil"/>
              <w:bottom w:val="single" w:sz="4" w:space="0" w:color="auto"/>
              <w:right w:val="nil"/>
            </w:tcBorders>
            <w:noWrap/>
            <w:vAlign w:val="bottom"/>
            <w:hideMark/>
          </w:tcPr>
          <w:p w14:paraId="5220E23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3123" w:type="pct"/>
            <w:gridSpan w:val="4"/>
            <w:tcBorders>
              <w:top w:val="nil"/>
              <w:left w:val="nil"/>
              <w:bottom w:val="single" w:sz="4" w:space="0" w:color="auto"/>
              <w:right w:val="nil"/>
            </w:tcBorders>
            <w:noWrap/>
            <w:vAlign w:val="center"/>
            <w:hideMark/>
          </w:tcPr>
          <w:p w14:paraId="529256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1E67ED56" w14:textId="3D7C5BEB"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9603BF"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1408B232" w14:textId="0C9120F4"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 xml:space="preserve">Pomoću modela višerazinske regresijske analize </w:t>
      </w:r>
      <w:r w:rsidRPr="00BE5472">
        <w:rPr>
          <w:rFonts w:ascii="Times New Roman" w:hAnsi="Times New Roman" w:cs="Times New Roman"/>
          <w:b/>
          <w:bCs/>
          <w:kern w:val="2"/>
          <w:sz w:val="24"/>
          <w14:ligatures w14:val="standardContextual"/>
        </w:rPr>
        <w:t>utvrđena je statistički značajna razlika u</w:t>
      </w:r>
      <w:r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b/>
          <w:bCs/>
          <w:kern w:val="2"/>
          <w:sz w:val="24"/>
          <w14:ligatures w14:val="standardContextual"/>
        </w:rPr>
        <w:t>pokazatelju tekuće likvidnosti</w:t>
      </w:r>
      <w:r w:rsidRPr="00BE5472">
        <w:rPr>
          <w:rFonts w:ascii="Times New Roman" w:hAnsi="Times New Roman" w:cs="Times New Roman"/>
          <w:kern w:val="2"/>
          <w:sz w:val="24"/>
          <w14:ligatures w14:val="standardContextual"/>
        </w:rPr>
        <w:t xml:space="preserve"> između razdoblja prije i nakon preuzimanja poduzeća (B = -0.73,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[-1.40, -0.07], p = 0.032), nije utvrđen statistički značajan vremenski trend (B = 0.10,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[0.00, 0.20], p = .061) te nije utvrđena statistički značajna interakcija između statusa poduzeća i vremenskog trenda (B = 0.08,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[-0.12, 0.28], p = .435). Vrijednost regresijskog koeficijenta B = -0.73, upućuje da je nakon procesa preuzimanja </w:t>
      </w:r>
      <w:r w:rsidRPr="00BE5472">
        <w:rPr>
          <w:rFonts w:ascii="Times New Roman" w:hAnsi="Times New Roman" w:cs="Times New Roman"/>
          <w:b/>
          <w:bCs/>
          <w:kern w:val="2"/>
          <w:sz w:val="24"/>
          <w14:ligatures w14:val="standardContextual"/>
        </w:rPr>
        <w:t>pokazatelj tekuće</w:t>
      </w:r>
      <w:r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b/>
          <w:bCs/>
          <w:kern w:val="2"/>
          <w:sz w:val="24"/>
          <w14:ligatures w14:val="standardContextual"/>
        </w:rPr>
        <w:t>likvidnosti u prosjeku pao za 0.73 boda.</w:t>
      </w:r>
    </w:p>
    <w:p w14:paraId="2CA8D340" w14:textId="77777777" w:rsidR="00120B4F" w:rsidRPr="00BE5472" w:rsidRDefault="00120B4F" w:rsidP="00120B4F">
      <w:pPr>
        <w:rPr>
          <w:rFonts w:ascii="Times New Roman" w:hAnsi="Times New Roman" w:cs="Times New Roman"/>
          <w:b/>
          <w:bCs/>
          <w:kern w:val="2"/>
          <w:sz w:val="24"/>
          <w14:ligatures w14:val="standardContextual"/>
        </w:rPr>
      </w:pPr>
      <w:bookmarkStart w:id="217" w:name="_Toc182495670"/>
      <w:r w:rsidRPr="00BE5472">
        <w:rPr>
          <w:rFonts w:ascii="Times New Roman" w:hAnsi="Times New Roman" w:cs="Times New Roman"/>
          <w:b/>
          <w:bCs/>
          <w:kern w:val="2"/>
          <w:sz w:val="24"/>
          <w14:ligatures w14:val="standardContextual"/>
        </w:rPr>
        <w:lastRenderedPageBreak/>
        <w:t>Pokazatelj financijske stabilnosti</w:t>
      </w:r>
      <w:bookmarkEnd w:id="217"/>
    </w:p>
    <w:p w14:paraId="63BD02BC" w14:textId="7E52EAA0"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52</w:t>
      </w:r>
      <w:r w:rsidRPr="00BE5472">
        <w:rPr>
          <w:rFonts w:ascii="Times New Roman" w:hAnsi="Times New Roman" w:cs="Times New Roman"/>
          <w:kern w:val="2"/>
          <w:sz w:val="24"/>
          <w14:ligatures w14:val="standardContextual"/>
        </w:rPr>
        <w:t xml:space="preserve"> prikazani su rezultati testiranja razlike u visini pokazatelja financijske stabilnosti prije i nakon preuzimanja poduzeća. </w:t>
      </w:r>
    </w:p>
    <w:p w14:paraId="651EC0E2" w14:textId="4A5BCC5D" w:rsidR="00120B4F" w:rsidRPr="00E1098E" w:rsidRDefault="00E1098E" w:rsidP="00E1098E">
      <w:pPr>
        <w:pStyle w:val="Caption"/>
        <w:rPr>
          <w:rFonts w:ascii="Times New Roman" w:hAnsi="Times New Roman" w:cs="Times New Roman"/>
          <w:kern w:val="2"/>
          <w:sz w:val="24"/>
          <w:szCs w:val="24"/>
          <w14:ligatures w14:val="standardContextual"/>
        </w:rPr>
      </w:pPr>
      <w:bookmarkStart w:id="218" w:name="_Toc241865246"/>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52</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2F16C5" w:rsidRPr="00E1098E">
        <w:rPr>
          <w:rFonts w:ascii="Times New Roman" w:hAnsi="Times New Roman" w:cs="Times New Roman"/>
          <w:kern w:val="2"/>
          <w:sz w:val="24"/>
          <w:szCs w:val="24"/>
          <w14:ligatures w14:val="standardContextual"/>
        </w:rPr>
        <w:t>p</w:t>
      </w:r>
      <w:r w:rsidR="00120B4F" w:rsidRPr="00E1098E">
        <w:rPr>
          <w:rFonts w:ascii="Times New Roman" w:hAnsi="Times New Roman" w:cs="Times New Roman"/>
          <w:kern w:val="2"/>
          <w:sz w:val="24"/>
          <w:szCs w:val="24"/>
          <w14:ligatures w14:val="standardContextual"/>
        </w:rPr>
        <w:t>okazatelju financijske stabilnosti prije i nakon procesa preuzimanja poduzeća</w:t>
      </w:r>
      <w:bookmarkEnd w:id="218"/>
    </w:p>
    <w:tbl>
      <w:tblPr>
        <w:tblW w:w="5000" w:type="pct"/>
        <w:tblLook w:val="04A0" w:firstRow="1" w:lastRow="0" w:firstColumn="1" w:lastColumn="0" w:noHBand="0" w:noVBand="1"/>
      </w:tblPr>
      <w:tblGrid>
        <w:gridCol w:w="4062"/>
        <w:gridCol w:w="832"/>
        <w:gridCol w:w="1569"/>
        <w:gridCol w:w="1649"/>
        <w:gridCol w:w="917"/>
      </w:tblGrid>
      <w:tr w:rsidR="00120B4F" w:rsidRPr="00BE5472" w14:paraId="5EB6268B" w14:textId="77777777" w:rsidTr="003C2F5B">
        <w:trPr>
          <w:trHeight w:val="315"/>
        </w:trPr>
        <w:tc>
          <w:tcPr>
            <w:tcW w:w="2249" w:type="pct"/>
            <w:tcBorders>
              <w:top w:val="nil"/>
              <w:left w:val="nil"/>
              <w:bottom w:val="nil"/>
              <w:right w:val="nil"/>
            </w:tcBorders>
            <w:noWrap/>
            <w:vAlign w:val="bottom"/>
            <w:hideMark/>
          </w:tcPr>
          <w:p w14:paraId="67DA8F17"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46B0624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77B6764F" w14:textId="5559692A"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2F16C5"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2DE5A9F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1F424E9C"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0CF19D1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2C23E86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78976C9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642EC1E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70D10F3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3BEB8A5A" w14:textId="77777777" w:rsidTr="003C2F5B">
        <w:trPr>
          <w:trHeight w:val="315"/>
        </w:trPr>
        <w:tc>
          <w:tcPr>
            <w:tcW w:w="2249" w:type="pct"/>
            <w:tcBorders>
              <w:top w:val="nil"/>
              <w:left w:val="nil"/>
              <w:bottom w:val="nil"/>
              <w:right w:val="nil"/>
            </w:tcBorders>
            <w:noWrap/>
            <w:vAlign w:val="bottom"/>
            <w:hideMark/>
          </w:tcPr>
          <w:p w14:paraId="4DCE7A0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052C6A1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1.05</w:t>
            </w:r>
          </w:p>
        </w:tc>
        <w:tc>
          <w:tcPr>
            <w:tcW w:w="869" w:type="pct"/>
            <w:tcBorders>
              <w:top w:val="nil"/>
              <w:left w:val="nil"/>
              <w:bottom w:val="nil"/>
              <w:right w:val="nil"/>
            </w:tcBorders>
            <w:noWrap/>
            <w:vAlign w:val="center"/>
            <w:hideMark/>
          </w:tcPr>
          <w:p w14:paraId="13EDA38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0.95</w:t>
            </w:r>
          </w:p>
        </w:tc>
        <w:tc>
          <w:tcPr>
            <w:tcW w:w="913" w:type="pct"/>
            <w:tcBorders>
              <w:top w:val="nil"/>
              <w:left w:val="nil"/>
              <w:bottom w:val="nil"/>
              <w:right w:val="nil"/>
            </w:tcBorders>
            <w:noWrap/>
            <w:vAlign w:val="center"/>
            <w:hideMark/>
          </w:tcPr>
          <w:p w14:paraId="1EA7695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1.15</w:t>
            </w:r>
          </w:p>
        </w:tc>
        <w:tc>
          <w:tcPr>
            <w:tcW w:w="508" w:type="pct"/>
            <w:tcBorders>
              <w:top w:val="nil"/>
              <w:left w:val="nil"/>
              <w:bottom w:val="nil"/>
              <w:right w:val="nil"/>
            </w:tcBorders>
            <w:noWrap/>
            <w:vAlign w:val="center"/>
            <w:hideMark/>
          </w:tcPr>
          <w:p w14:paraId="17809B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0376F41C" w14:textId="77777777" w:rsidTr="003C2F5B">
        <w:trPr>
          <w:trHeight w:val="330"/>
        </w:trPr>
        <w:tc>
          <w:tcPr>
            <w:tcW w:w="2249" w:type="pct"/>
            <w:tcBorders>
              <w:top w:val="nil"/>
              <w:left w:val="nil"/>
              <w:bottom w:val="nil"/>
              <w:right w:val="nil"/>
            </w:tcBorders>
            <w:noWrap/>
            <w:vAlign w:val="bottom"/>
            <w:hideMark/>
          </w:tcPr>
          <w:p w14:paraId="562766B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409BD03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869" w:type="pct"/>
            <w:tcBorders>
              <w:top w:val="nil"/>
              <w:left w:val="nil"/>
              <w:bottom w:val="nil"/>
              <w:right w:val="nil"/>
            </w:tcBorders>
            <w:noWrap/>
            <w:vAlign w:val="center"/>
            <w:hideMark/>
          </w:tcPr>
          <w:p w14:paraId="348FE37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13" w:type="pct"/>
            <w:tcBorders>
              <w:top w:val="nil"/>
              <w:left w:val="nil"/>
              <w:bottom w:val="nil"/>
              <w:right w:val="nil"/>
            </w:tcBorders>
            <w:noWrap/>
            <w:vAlign w:val="center"/>
            <w:hideMark/>
          </w:tcPr>
          <w:p w14:paraId="0F160E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508" w:type="pct"/>
            <w:tcBorders>
              <w:top w:val="nil"/>
              <w:left w:val="nil"/>
              <w:bottom w:val="nil"/>
              <w:right w:val="nil"/>
            </w:tcBorders>
            <w:noWrap/>
            <w:vAlign w:val="center"/>
            <w:hideMark/>
          </w:tcPr>
          <w:p w14:paraId="5C249BB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0.915</w:t>
            </w:r>
          </w:p>
        </w:tc>
      </w:tr>
      <w:tr w:rsidR="00120B4F" w:rsidRPr="00BE5472" w14:paraId="78DDC0B7" w14:textId="77777777" w:rsidTr="003C2F5B">
        <w:trPr>
          <w:trHeight w:val="315"/>
        </w:trPr>
        <w:tc>
          <w:tcPr>
            <w:tcW w:w="2249" w:type="pct"/>
            <w:tcBorders>
              <w:top w:val="nil"/>
              <w:left w:val="nil"/>
              <w:bottom w:val="nil"/>
              <w:right w:val="nil"/>
            </w:tcBorders>
            <w:noWrap/>
            <w:vAlign w:val="bottom"/>
            <w:hideMark/>
          </w:tcPr>
          <w:p w14:paraId="057F78D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064C93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869" w:type="pct"/>
            <w:tcBorders>
              <w:top w:val="nil"/>
              <w:left w:val="nil"/>
              <w:bottom w:val="nil"/>
              <w:right w:val="nil"/>
            </w:tcBorders>
            <w:noWrap/>
            <w:vAlign w:val="center"/>
            <w:hideMark/>
          </w:tcPr>
          <w:p w14:paraId="42D486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-0.22</w:t>
            </w:r>
          </w:p>
        </w:tc>
        <w:tc>
          <w:tcPr>
            <w:tcW w:w="913" w:type="pct"/>
            <w:tcBorders>
              <w:top w:val="nil"/>
              <w:left w:val="nil"/>
              <w:bottom w:val="nil"/>
              <w:right w:val="nil"/>
            </w:tcBorders>
            <w:noWrap/>
            <w:vAlign w:val="center"/>
            <w:hideMark/>
          </w:tcPr>
          <w:p w14:paraId="6E406E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508" w:type="pct"/>
            <w:tcBorders>
              <w:top w:val="nil"/>
              <w:left w:val="nil"/>
              <w:bottom w:val="nil"/>
              <w:right w:val="nil"/>
            </w:tcBorders>
            <w:noWrap/>
            <w:vAlign w:val="center"/>
            <w:hideMark/>
          </w:tcPr>
          <w:p w14:paraId="38D9069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0.660</w:t>
            </w:r>
          </w:p>
        </w:tc>
      </w:tr>
      <w:tr w:rsidR="00120B4F" w:rsidRPr="00BE5472" w14:paraId="6CB6425E" w14:textId="77777777" w:rsidTr="003C2F5B">
        <w:trPr>
          <w:trHeight w:val="315"/>
        </w:trPr>
        <w:tc>
          <w:tcPr>
            <w:tcW w:w="2249" w:type="pct"/>
            <w:tcBorders>
              <w:top w:val="nil"/>
              <w:left w:val="nil"/>
              <w:bottom w:val="nil"/>
              <w:right w:val="nil"/>
            </w:tcBorders>
            <w:noWrap/>
            <w:vAlign w:val="center"/>
            <w:hideMark/>
          </w:tcPr>
          <w:p w14:paraId="6E3716B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526FCD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1.70</w:t>
            </w:r>
          </w:p>
        </w:tc>
        <w:tc>
          <w:tcPr>
            <w:tcW w:w="869" w:type="pct"/>
            <w:tcBorders>
              <w:top w:val="nil"/>
              <w:left w:val="nil"/>
              <w:bottom w:val="nil"/>
              <w:right w:val="nil"/>
            </w:tcBorders>
            <w:noWrap/>
            <w:vAlign w:val="center"/>
            <w:hideMark/>
          </w:tcPr>
          <w:p w14:paraId="262363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0.86</w:t>
            </w:r>
          </w:p>
        </w:tc>
        <w:tc>
          <w:tcPr>
            <w:tcW w:w="913" w:type="pct"/>
            <w:tcBorders>
              <w:top w:val="nil"/>
              <w:left w:val="nil"/>
              <w:bottom w:val="nil"/>
              <w:right w:val="nil"/>
            </w:tcBorders>
            <w:noWrap/>
            <w:vAlign w:val="center"/>
            <w:hideMark/>
          </w:tcPr>
          <w:p w14:paraId="369EBB4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2.55</w:t>
            </w:r>
          </w:p>
        </w:tc>
        <w:tc>
          <w:tcPr>
            <w:tcW w:w="508" w:type="pct"/>
            <w:tcBorders>
              <w:top w:val="nil"/>
              <w:left w:val="nil"/>
              <w:bottom w:val="nil"/>
              <w:right w:val="nil"/>
            </w:tcBorders>
            <w:noWrap/>
            <w:vAlign w:val="center"/>
            <w:hideMark/>
          </w:tcPr>
          <w:p w14:paraId="0282BDC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0.062</w:t>
            </w:r>
          </w:p>
        </w:tc>
      </w:tr>
      <w:tr w:rsidR="00120B4F" w:rsidRPr="00BE5472" w14:paraId="7A35C873" w14:textId="77777777" w:rsidTr="003C2F5B">
        <w:trPr>
          <w:trHeight w:val="360"/>
        </w:trPr>
        <w:tc>
          <w:tcPr>
            <w:tcW w:w="2249" w:type="pct"/>
            <w:tcBorders>
              <w:top w:val="nil"/>
              <w:left w:val="nil"/>
              <w:bottom w:val="nil"/>
              <w:right w:val="nil"/>
            </w:tcBorders>
            <w:noWrap/>
            <w:vAlign w:val="center"/>
            <w:hideMark/>
          </w:tcPr>
          <w:p w14:paraId="271D054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1F5FC88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869" w:type="pct"/>
            <w:tcBorders>
              <w:top w:val="nil"/>
              <w:left w:val="nil"/>
              <w:bottom w:val="nil"/>
              <w:right w:val="nil"/>
            </w:tcBorders>
            <w:noWrap/>
            <w:vAlign w:val="center"/>
            <w:hideMark/>
          </w:tcPr>
          <w:p w14:paraId="389C16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913" w:type="pct"/>
            <w:tcBorders>
              <w:top w:val="nil"/>
              <w:left w:val="nil"/>
              <w:bottom w:val="nil"/>
              <w:right w:val="nil"/>
            </w:tcBorders>
            <w:noWrap/>
            <w:vAlign w:val="center"/>
            <w:hideMark/>
          </w:tcPr>
          <w:p w14:paraId="57057BC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508" w:type="pct"/>
            <w:tcBorders>
              <w:top w:val="nil"/>
              <w:left w:val="nil"/>
              <w:bottom w:val="nil"/>
              <w:right w:val="nil"/>
            </w:tcBorders>
            <w:noWrap/>
            <w:vAlign w:val="center"/>
            <w:hideMark/>
          </w:tcPr>
          <w:p w14:paraId="086A89D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0.776</w:t>
            </w:r>
          </w:p>
        </w:tc>
      </w:tr>
      <w:tr w:rsidR="00120B4F" w:rsidRPr="00BE5472" w14:paraId="107F826B" w14:textId="77777777" w:rsidTr="003C2F5B">
        <w:trPr>
          <w:trHeight w:val="330"/>
        </w:trPr>
        <w:tc>
          <w:tcPr>
            <w:tcW w:w="2249" w:type="pct"/>
            <w:tcBorders>
              <w:top w:val="single" w:sz="4" w:space="0" w:color="auto"/>
              <w:left w:val="nil"/>
              <w:bottom w:val="nil"/>
              <w:right w:val="nil"/>
            </w:tcBorders>
            <w:noWrap/>
            <w:vAlign w:val="bottom"/>
            <w:hideMark/>
          </w:tcPr>
          <w:p w14:paraId="7C57E67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5330C19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0.43</w:t>
            </w:r>
          </w:p>
        </w:tc>
      </w:tr>
      <w:tr w:rsidR="00120B4F" w:rsidRPr="00BE5472" w14:paraId="0E3B487F" w14:textId="77777777" w:rsidTr="003C2F5B">
        <w:trPr>
          <w:trHeight w:val="315"/>
        </w:trPr>
        <w:tc>
          <w:tcPr>
            <w:tcW w:w="2249" w:type="pct"/>
            <w:tcBorders>
              <w:top w:val="nil"/>
              <w:left w:val="nil"/>
              <w:bottom w:val="nil"/>
              <w:right w:val="nil"/>
            </w:tcBorders>
            <w:noWrap/>
            <w:vAlign w:val="bottom"/>
            <w:hideMark/>
          </w:tcPr>
          <w:p w14:paraId="06BAFE1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4EB198A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w:t>
            </w:r>
          </w:p>
        </w:tc>
      </w:tr>
      <w:tr w:rsidR="00120B4F" w:rsidRPr="00BE5472" w14:paraId="0FFE4CC4" w14:textId="77777777" w:rsidTr="003C2F5B">
        <w:trPr>
          <w:trHeight w:val="315"/>
        </w:trPr>
        <w:tc>
          <w:tcPr>
            <w:tcW w:w="2249" w:type="pct"/>
            <w:tcBorders>
              <w:top w:val="nil"/>
              <w:left w:val="nil"/>
              <w:bottom w:val="nil"/>
              <w:right w:val="nil"/>
            </w:tcBorders>
            <w:noWrap/>
            <w:vAlign w:val="bottom"/>
            <w:hideMark/>
          </w:tcPr>
          <w:p w14:paraId="1358D83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526BE35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r>
      <w:tr w:rsidR="00120B4F" w:rsidRPr="00BE5472" w14:paraId="22CC3F93" w14:textId="77777777" w:rsidTr="003C2F5B">
        <w:trPr>
          <w:trHeight w:val="315"/>
        </w:trPr>
        <w:tc>
          <w:tcPr>
            <w:tcW w:w="2249" w:type="pct"/>
            <w:tcBorders>
              <w:top w:val="nil"/>
              <w:left w:val="nil"/>
              <w:bottom w:val="nil"/>
              <w:right w:val="nil"/>
            </w:tcBorders>
            <w:noWrap/>
            <w:vAlign w:val="bottom"/>
            <w:hideMark/>
          </w:tcPr>
          <w:p w14:paraId="29D3B6D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3A1A6CC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466AF0E4" w14:textId="77777777" w:rsidTr="003C2F5B">
        <w:trPr>
          <w:trHeight w:val="315"/>
        </w:trPr>
        <w:tc>
          <w:tcPr>
            <w:tcW w:w="2249" w:type="pct"/>
            <w:tcBorders>
              <w:top w:val="nil"/>
              <w:left w:val="nil"/>
              <w:bottom w:val="single" w:sz="4" w:space="0" w:color="auto"/>
              <w:right w:val="nil"/>
            </w:tcBorders>
            <w:noWrap/>
            <w:vAlign w:val="bottom"/>
            <w:hideMark/>
          </w:tcPr>
          <w:p w14:paraId="10AFBB1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40A99FF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0FA84814" w14:textId="29464433"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45E1D44C" w14:textId="5393B8F2"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financijske stabilnosti između razdoblja prije i nakon preuzimanja poduzeća (B = 1.70,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[ 0.06, 2.55], p = .062), nije utvrđen statistički značajan vremenski trend (B = 0.00,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0.02], p = .915), te nije utvrđena statistički značajna interakcija između statusa poduzeća i vremenskog trenda (B = 0.01,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[-0.06, 0.05], p = .776).</w:t>
      </w:r>
    </w:p>
    <w:p w14:paraId="039A47D2"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50C1FF75" w14:textId="77777777" w:rsidR="00120B4F" w:rsidRPr="00BE5472" w:rsidRDefault="00120B4F" w:rsidP="00120B4F">
      <w:pPr>
        <w:rPr>
          <w:rFonts w:ascii="Times New Roman" w:hAnsi="Times New Roman" w:cs="Times New Roman"/>
          <w:b/>
          <w:bCs/>
          <w:kern w:val="2"/>
          <w:sz w:val="24"/>
          <w14:ligatures w14:val="standardContextual"/>
        </w:rPr>
      </w:pPr>
      <w:bookmarkStart w:id="219" w:name="_Toc182495671"/>
      <w:r w:rsidRPr="00BE5472">
        <w:rPr>
          <w:rFonts w:ascii="Times New Roman" w:hAnsi="Times New Roman" w:cs="Times New Roman"/>
          <w:b/>
          <w:bCs/>
          <w:kern w:val="2"/>
          <w:sz w:val="24"/>
          <w14:ligatures w14:val="standardContextual"/>
        </w:rPr>
        <w:lastRenderedPageBreak/>
        <w:t>Koeficijent zaduženosti</w:t>
      </w:r>
      <w:bookmarkEnd w:id="219"/>
    </w:p>
    <w:p w14:paraId="3D71FFE0" w14:textId="6E0A7082"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53</w:t>
      </w:r>
      <w:r w:rsidRPr="00BE5472">
        <w:rPr>
          <w:rFonts w:ascii="Times New Roman" w:hAnsi="Times New Roman" w:cs="Times New Roman"/>
          <w:kern w:val="2"/>
          <w:sz w:val="24"/>
          <w14:ligatures w14:val="standardContextual"/>
        </w:rPr>
        <w:t xml:space="preserve"> prikazani su rezultati testiranja razlike u visini pokazatelja koeficijent zaduženosti prije i nakon preuzimanja poduzeća. </w:t>
      </w:r>
    </w:p>
    <w:p w14:paraId="5971FC15" w14:textId="32FCD018" w:rsidR="00120B4F" w:rsidRPr="00E1098E" w:rsidRDefault="00E1098E" w:rsidP="00E1098E">
      <w:pPr>
        <w:pStyle w:val="Caption"/>
        <w:rPr>
          <w:rFonts w:ascii="Times New Roman" w:hAnsi="Times New Roman" w:cs="Times New Roman"/>
          <w:kern w:val="2"/>
          <w:sz w:val="24"/>
          <w:szCs w:val="24"/>
          <w14:ligatures w14:val="standardContextual"/>
        </w:rPr>
      </w:pPr>
      <w:bookmarkStart w:id="220" w:name="_Toc241865247"/>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53</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CE7AC1" w:rsidRPr="00E1098E">
        <w:rPr>
          <w:rFonts w:ascii="Times New Roman" w:hAnsi="Times New Roman" w:cs="Times New Roman"/>
          <w:kern w:val="2"/>
          <w:sz w:val="24"/>
          <w:szCs w:val="24"/>
          <w14:ligatures w14:val="standardContextual"/>
        </w:rPr>
        <w:t>k</w:t>
      </w:r>
      <w:r w:rsidR="00120B4F" w:rsidRPr="00E1098E">
        <w:rPr>
          <w:rFonts w:ascii="Times New Roman" w:hAnsi="Times New Roman" w:cs="Times New Roman"/>
          <w:kern w:val="2"/>
          <w:sz w:val="24"/>
          <w:szCs w:val="24"/>
          <w14:ligatures w14:val="standardContextual"/>
        </w:rPr>
        <w:t>oeficijentu zaduženosti prije i nakon procesa preuzimanja poduzeća</w:t>
      </w:r>
      <w:bookmarkEnd w:id="220"/>
    </w:p>
    <w:tbl>
      <w:tblPr>
        <w:tblW w:w="5000" w:type="pct"/>
        <w:tblLook w:val="04A0" w:firstRow="1" w:lastRow="0" w:firstColumn="1" w:lastColumn="0" w:noHBand="0" w:noVBand="1"/>
      </w:tblPr>
      <w:tblGrid>
        <w:gridCol w:w="4062"/>
        <w:gridCol w:w="832"/>
        <w:gridCol w:w="1569"/>
        <w:gridCol w:w="1649"/>
        <w:gridCol w:w="917"/>
      </w:tblGrid>
      <w:tr w:rsidR="00120B4F" w:rsidRPr="00BE5472" w14:paraId="1E1A4291" w14:textId="77777777" w:rsidTr="003C2F5B">
        <w:trPr>
          <w:trHeight w:val="330"/>
        </w:trPr>
        <w:tc>
          <w:tcPr>
            <w:tcW w:w="2249" w:type="pct"/>
            <w:tcBorders>
              <w:top w:val="nil"/>
              <w:left w:val="nil"/>
              <w:bottom w:val="nil"/>
              <w:right w:val="nil"/>
            </w:tcBorders>
            <w:noWrap/>
            <w:vAlign w:val="bottom"/>
            <w:hideMark/>
          </w:tcPr>
          <w:p w14:paraId="04E084F4"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3459378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5DB3A99A" w14:textId="652B008A"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2F16C5"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507E73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4C8A87AB"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7078763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585CD98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7D11E21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321B623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5F9404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2FC6006F" w14:textId="77777777" w:rsidTr="003C2F5B">
        <w:trPr>
          <w:trHeight w:val="315"/>
        </w:trPr>
        <w:tc>
          <w:tcPr>
            <w:tcW w:w="2249" w:type="pct"/>
            <w:tcBorders>
              <w:top w:val="nil"/>
              <w:left w:val="nil"/>
              <w:bottom w:val="nil"/>
              <w:right w:val="nil"/>
            </w:tcBorders>
            <w:noWrap/>
            <w:vAlign w:val="bottom"/>
            <w:hideMark/>
          </w:tcPr>
          <w:p w14:paraId="7983839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455CE55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869" w:type="pct"/>
            <w:tcBorders>
              <w:top w:val="nil"/>
              <w:left w:val="nil"/>
              <w:bottom w:val="nil"/>
              <w:right w:val="nil"/>
            </w:tcBorders>
            <w:noWrap/>
            <w:vAlign w:val="center"/>
            <w:hideMark/>
          </w:tcPr>
          <w:p w14:paraId="17D81DF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w:t>
            </w:r>
          </w:p>
        </w:tc>
        <w:tc>
          <w:tcPr>
            <w:tcW w:w="913" w:type="pct"/>
            <w:tcBorders>
              <w:top w:val="nil"/>
              <w:left w:val="nil"/>
              <w:bottom w:val="nil"/>
              <w:right w:val="nil"/>
            </w:tcBorders>
            <w:noWrap/>
            <w:vAlign w:val="center"/>
            <w:hideMark/>
          </w:tcPr>
          <w:p w14:paraId="590360C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0.56</w:t>
            </w:r>
          </w:p>
        </w:tc>
        <w:tc>
          <w:tcPr>
            <w:tcW w:w="508" w:type="pct"/>
            <w:tcBorders>
              <w:top w:val="nil"/>
              <w:left w:val="nil"/>
              <w:bottom w:val="nil"/>
              <w:right w:val="nil"/>
            </w:tcBorders>
            <w:noWrap/>
            <w:vAlign w:val="center"/>
            <w:hideMark/>
          </w:tcPr>
          <w:p w14:paraId="71A3B0E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0B3CF162" w14:textId="77777777" w:rsidTr="003C2F5B">
        <w:trPr>
          <w:trHeight w:val="300"/>
        </w:trPr>
        <w:tc>
          <w:tcPr>
            <w:tcW w:w="2249" w:type="pct"/>
            <w:tcBorders>
              <w:top w:val="nil"/>
              <w:left w:val="nil"/>
              <w:bottom w:val="nil"/>
              <w:right w:val="nil"/>
            </w:tcBorders>
            <w:noWrap/>
            <w:vAlign w:val="bottom"/>
            <w:hideMark/>
          </w:tcPr>
          <w:p w14:paraId="5A0B617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01A7D6F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869" w:type="pct"/>
            <w:tcBorders>
              <w:top w:val="nil"/>
              <w:left w:val="nil"/>
              <w:bottom w:val="nil"/>
              <w:right w:val="nil"/>
            </w:tcBorders>
            <w:noWrap/>
            <w:vAlign w:val="center"/>
            <w:hideMark/>
          </w:tcPr>
          <w:p w14:paraId="1EEECAC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913" w:type="pct"/>
            <w:tcBorders>
              <w:top w:val="nil"/>
              <w:left w:val="nil"/>
              <w:bottom w:val="nil"/>
              <w:right w:val="nil"/>
            </w:tcBorders>
            <w:noWrap/>
            <w:vAlign w:val="center"/>
            <w:hideMark/>
          </w:tcPr>
          <w:p w14:paraId="49E5F0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508" w:type="pct"/>
            <w:tcBorders>
              <w:top w:val="nil"/>
              <w:left w:val="nil"/>
              <w:bottom w:val="nil"/>
              <w:right w:val="nil"/>
            </w:tcBorders>
            <w:noWrap/>
            <w:vAlign w:val="center"/>
            <w:hideMark/>
          </w:tcPr>
          <w:p w14:paraId="153E1F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0.241</w:t>
            </w:r>
          </w:p>
        </w:tc>
      </w:tr>
      <w:tr w:rsidR="00120B4F" w:rsidRPr="00BE5472" w14:paraId="121EBE40" w14:textId="77777777" w:rsidTr="003C2F5B">
        <w:trPr>
          <w:trHeight w:val="315"/>
        </w:trPr>
        <w:tc>
          <w:tcPr>
            <w:tcW w:w="2249" w:type="pct"/>
            <w:tcBorders>
              <w:top w:val="nil"/>
              <w:left w:val="nil"/>
              <w:bottom w:val="nil"/>
              <w:right w:val="nil"/>
            </w:tcBorders>
            <w:noWrap/>
            <w:vAlign w:val="bottom"/>
            <w:hideMark/>
          </w:tcPr>
          <w:p w14:paraId="3C04FF8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26CB264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869" w:type="pct"/>
            <w:tcBorders>
              <w:top w:val="nil"/>
              <w:left w:val="nil"/>
              <w:bottom w:val="nil"/>
              <w:right w:val="nil"/>
            </w:tcBorders>
            <w:noWrap/>
            <w:vAlign w:val="center"/>
            <w:hideMark/>
          </w:tcPr>
          <w:p w14:paraId="5A89060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913" w:type="pct"/>
            <w:tcBorders>
              <w:top w:val="nil"/>
              <w:left w:val="nil"/>
              <w:bottom w:val="nil"/>
              <w:right w:val="nil"/>
            </w:tcBorders>
            <w:noWrap/>
            <w:vAlign w:val="center"/>
            <w:hideMark/>
          </w:tcPr>
          <w:p w14:paraId="55BA15C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508" w:type="pct"/>
            <w:tcBorders>
              <w:top w:val="nil"/>
              <w:left w:val="nil"/>
              <w:bottom w:val="nil"/>
              <w:right w:val="nil"/>
            </w:tcBorders>
            <w:noWrap/>
            <w:vAlign w:val="center"/>
            <w:hideMark/>
          </w:tcPr>
          <w:p w14:paraId="5EE1A90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0.801</w:t>
            </w:r>
          </w:p>
        </w:tc>
      </w:tr>
      <w:tr w:rsidR="00120B4F" w:rsidRPr="00BE5472" w14:paraId="497B1B7D" w14:textId="77777777" w:rsidTr="003C2F5B">
        <w:trPr>
          <w:trHeight w:val="375"/>
        </w:trPr>
        <w:tc>
          <w:tcPr>
            <w:tcW w:w="2249" w:type="pct"/>
            <w:tcBorders>
              <w:top w:val="nil"/>
              <w:left w:val="nil"/>
              <w:bottom w:val="nil"/>
              <w:right w:val="nil"/>
            </w:tcBorders>
            <w:noWrap/>
            <w:vAlign w:val="center"/>
            <w:hideMark/>
          </w:tcPr>
          <w:p w14:paraId="40755A0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710B31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1.24</w:t>
            </w:r>
          </w:p>
        </w:tc>
        <w:tc>
          <w:tcPr>
            <w:tcW w:w="869" w:type="pct"/>
            <w:tcBorders>
              <w:top w:val="nil"/>
              <w:left w:val="nil"/>
              <w:bottom w:val="nil"/>
              <w:right w:val="nil"/>
            </w:tcBorders>
            <w:noWrap/>
            <w:vAlign w:val="center"/>
            <w:hideMark/>
          </w:tcPr>
          <w:p w14:paraId="556B8B5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913" w:type="pct"/>
            <w:tcBorders>
              <w:top w:val="nil"/>
              <w:left w:val="nil"/>
              <w:bottom w:val="nil"/>
              <w:right w:val="nil"/>
            </w:tcBorders>
            <w:noWrap/>
            <w:vAlign w:val="center"/>
            <w:hideMark/>
          </w:tcPr>
          <w:p w14:paraId="19CDF87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2.52</w:t>
            </w:r>
          </w:p>
        </w:tc>
        <w:tc>
          <w:tcPr>
            <w:tcW w:w="508" w:type="pct"/>
            <w:tcBorders>
              <w:top w:val="nil"/>
              <w:left w:val="nil"/>
              <w:bottom w:val="nil"/>
              <w:right w:val="nil"/>
            </w:tcBorders>
            <w:noWrap/>
            <w:vAlign w:val="center"/>
            <w:hideMark/>
          </w:tcPr>
          <w:p w14:paraId="0DC13E2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0.146</w:t>
            </w:r>
          </w:p>
        </w:tc>
      </w:tr>
      <w:tr w:rsidR="00120B4F" w:rsidRPr="00BE5472" w14:paraId="0164F560" w14:textId="77777777" w:rsidTr="003C2F5B">
        <w:trPr>
          <w:trHeight w:val="375"/>
        </w:trPr>
        <w:tc>
          <w:tcPr>
            <w:tcW w:w="2249" w:type="pct"/>
            <w:tcBorders>
              <w:top w:val="nil"/>
              <w:left w:val="nil"/>
              <w:bottom w:val="nil"/>
              <w:right w:val="nil"/>
            </w:tcBorders>
            <w:noWrap/>
            <w:vAlign w:val="center"/>
            <w:hideMark/>
          </w:tcPr>
          <w:p w14:paraId="12DA6DC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60B1CC7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869" w:type="pct"/>
            <w:tcBorders>
              <w:top w:val="nil"/>
              <w:left w:val="nil"/>
              <w:bottom w:val="nil"/>
              <w:right w:val="nil"/>
            </w:tcBorders>
            <w:noWrap/>
            <w:vAlign w:val="center"/>
            <w:hideMark/>
          </w:tcPr>
          <w:p w14:paraId="1FFF0B3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913" w:type="pct"/>
            <w:tcBorders>
              <w:top w:val="nil"/>
              <w:left w:val="nil"/>
              <w:bottom w:val="nil"/>
              <w:right w:val="nil"/>
            </w:tcBorders>
            <w:noWrap/>
            <w:vAlign w:val="center"/>
            <w:hideMark/>
          </w:tcPr>
          <w:p w14:paraId="165EFA9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508" w:type="pct"/>
            <w:tcBorders>
              <w:top w:val="nil"/>
              <w:left w:val="nil"/>
              <w:bottom w:val="nil"/>
              <w:right w:val="nil"/>
            </w:tcBorders>
            <w:noWrap/>
            <w:vAlign w:val="center"/>
            <w:hideMark/>
          </w:tcPr>
          <w:p w14:paraId="54C0BEC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0.031</w:t>
            </w:r>
          </w:p>
        </w:tc>
      </w:tr>
      <w:tr w:rsidR="00120B4F" w:rsidRPr="00BE5472" w14:paraId="3E4FDC80" w14:textId="77777777" w:rsidTr="003C2F5B">
        <w:trPr>
          <w:trHeight w:val="330"/>
        </w:trPr>
        <w:tc>
          <w:tcPr>
            <w:tcW w:w="2249" w:type="pct"/>
            <w:tcBorders>
              <w:top w:val="single" w:sz="4" w:space="0" w:color="auto"/>
              <w:left w:val="nil"/>
              <w:bottom w:val="nil"/>
              <w:right w:val="nil"/>
            </w:tcBorders>
            <w:noWrap/>
            <w:vAlign w:val="bottom"/>
            <w:hideMark/>
          </w:tcPr>
          <w:p w14:paraId="1926261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6790EFE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0.69</w:t>
            </w:r>
          </w:p>
        </w:tc>
      </w:tr>
      <w:tr w:rsidR="00120B4F" w:rsidRPr="00BE5472" w14:paraId="11C20A14" w14:textId="77777777" w:rsidTr="003C2F5B">
        <w:trPr>
          <w:trHeight w:val="315"/>
        </w:trPr>
        <w:tc>
          <w:tcPr>
            <w:tcW w:w="2249" w:type="pct"/>
            <w:tcBorders>
              <w:top w:val="nil"/>
              <w:left w:val="nil"/>
              <w:bottom w:val="nil"/>
              <w:right w:val="nil"/>
            </w:tcBorders>
            <w:noWrap/>
            <w:vAlign w:val="bottom"/>
            <w:hideMark/>
          </w:tcPr>
          <w:p w14:paraId="18CAF46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3D0F5F2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w:t>
            </w:r>
          </w:p>
        </w:tc>
      </w:tr>
      <w:tr w:rsidR="00120B4F" w:rsidRPr="00BE5472" w14:paraId="4F385074" w14:textId="77777777" w:rsidTr="003C2F5B">
        <w:trPr>
          <w:trHeight w:val="315"/>
        </w:trPr>
        <w:tc>
          <w:tcPr>
            <w:tcW w:w="2249" w:type="pct"/>
            <w:tcBorders>
              <w:top w:val="nil"/>
              <w:left w:val="nil"/>
              <w:bottom w:val="nil"/>
              <w:right w:val="nil"/>
            </w:tcBorders>
            <w:noWrap/>
            <w:vAlign w:val="bottom"/>
            <w:hideMark/>
          </w:tcPr>
          <w:p w14:paraId="5C09498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6B55A21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r>
      <w:tr w:rsidR="00120B4F" w:rsidRPr="00BE5472" w14:paraId="45BA26D4" w14:textId="77777777" w:rsidTr="003C2F5B">
        <w:trPr>
          <w:trHeight w:val="315"/>
        </w:trPr>
        <w:tc>
          <w:tcPr>
            <w:tcW w:w="2249" w:type="pct"/>
            <w:tcBorders>
              <w:top w:val="nil"/>
              <w:left w:val="nil"/>
              <w:bottom w:val="nil"/>
              <w:right w:val="nil"/>
            </w:tcBorders>
            <w:noWrap/>
            <w:vAlign w:val="bottom"/>
            <w:hideMark/>
          </w:tcPr>
          <w:p w14:paraId="3E7354F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698F9E5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296EFD26" w14:textId="77777777" w:rsidTr="003C2F5B">
        <w:trPr>
          <w:trHeight w:val="330"/>
        </w:trPr>
        <w:tc>
          <w:tcPr>
            <w:tcW w:w="2249" w:type="pct"/>
            <w:tcBorders>
              <w:top w:val="nil"/>
              <w:left w:val="nil"/>
              <w:bottom w:val="single" w:sz="4" w:space="0" w:color="auto"/>
              <w:right w:val="nil"/>
            </w:tcBorders>
            <w:noWrap/>
            <w:vAlign w:val="bottom"/>
            <w:hideMark/>
          </w:tcPr>
          <w:p w14:paraId="117067D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204C47E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21F2764B" w14:textId="23998EAB"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6DB0ECC4" w14:textId="6AA3E9E7"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koeficijent zaduženosti između razdoblja prije i nakon preuzimanja poduzeća (B = 1.24,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[-0.05, 2.52], p = .146), nije utvrđen statistički značajan vremenski trend (B = 0.01,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[0.00, 0.02], p = .241), ali je utvrđen </w:t>
      </w:r>
      <w:r w:rsidRPr="00BE5472">
        <w:rPr>
          <w:rFonts w:ascii="Times New Roman" w:hAnsi="Times New Roman" w:cs="Times New Roman"/>
          <w:b/>
          <w:bCs/>
          <w:kern w:val="2"/>
          <w:sz w:val="24"/>
          <w14:ligatures w14:val="standardContextual"/>
        </w:rPr>
        <w:t>statistički značajan interakcijski učinak između statusa poduzeća i vremenskog trenda</w:t>
      </w:r>
      <w:r w:rsidRPr="00BE5472">
        <w:rPr>
          <w:rFonts w:ascii="Times New Roman" w:hAnsi="Times New Roman" w:cs="Times New Roman"/>
          <w:kern w:val="2"/>
          <w:sz w:val="24"/>
          <w14:ligatures w14:val="standardContextual"/>
        </w:rPr>
        <w:t xml:space="preserve"> (B = -0.02,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[-0.04, 0.00], p = .031). Ovaj interakcijski učinak je nadalje objašnjen analizom jednostavnih nagiba, pomoću koje je utvrđeno da je koeficijent zaduženosti u razdoblju prije preuzimanja rasta u prosjeku 0.02 boda godišnje (B = 0.02,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 0.03], p = .035), dok vremenski trend nije utvrđen za period nakon preuzimanja poduzeća (B = 0.00,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0.01], p = .489</w:t>
      </w:r>
    </w:p>
    <w:p w14:paraId="37780D05" w14:textId="77777777"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13984F5D" w14:textId="77777777" w:rsidR="00120B4F" w:rsidRPr="00BE5472" w:rsidRDefault="00120B4F" w:rsidP="00120B4F">
      <w:pPr>
        <w:rPr>
          <w:rFonts w:ascii="Times New Roman" w:hAnsi="Times New Roman" w:cs="Times New Roman"/>
          <w:sz w:val="24"/>
          <w:szCs w:val="24"/>
        </w:rPr>
      </w:pPr>
      <w:bookmarkStart w:id="221" w:name="_Toc182495672"/>
      <w:r w:rsidRPr="00BE5472">
        <w:rPr>
          <w:rFonts w:ascii="Times New Roman" w:hAnsi="Times New Roman" w:cs="Times New Roman"/>
          <w:sz w:val="24"/>
          <w:szCs w:val="24"/>
        </w:rPr>
        <w:lastRenderedPageBreak/>
        <w:t>Slijede tržišni pokazatelji</w:t>
      </w:r>
      <w:bookmarkEnd w:id="221"/>
      <w:r w:rsidRPr="00BE5472">
        <w:rPr>
          <w:rFonts w:ascii="Times New Roman" w:hAnsi="Times New Roman" w:cs="Times New Roman"/>
          <w:sz w:val="24"/>
          <w:szCs w:val="24"/>
        </w:rPr>
        <w:t>.</w:t>
      </w:r>
    </w:p>
    <w:p w14:paraId="55294E64" w14:textId="77777777" w:rsidR="00120B4F" w:rsidRPr="00BE5472" w:rsidRDefault="00120B4F" w:rsidP="00120B4F">
      <w:pPr>
        <w:rPr>
          <w:rFonts w:ascii="Times New Roman" w:hAnsi="Times New Roman" w:cs="Times New Roman"/>
          <w:b/>
          <w:bCs/>
          <w:kern w:val="2"/>
          <w:sz w:val="24"/>
          <w14:ligatures w14:val="standardContextual"/>
        </w:rPr>
      </w:pPr>
      <w:bookmarkStart w:id="222" w:name="_Toc182495673"/>
      <w:r w:rsidRPr="00BE5472">
        <w:rPr>
          <w:rFonts w:ascii="Times New Roman" w:hAnsi="Times New Roman" w:cs="Times New Roman"/>
          <w:b/>
          <w:bCs/>
          <w:kern w:val="2"/>
          <w:sz w:val="24"/>
          <w14:ligatures w14:val="standardContextual"/>
        </w:rPr>
        <w:t>Tržišna vrijednost dionica</w:t>
      </w:r>
      <w:bookmarkEnd w:id="222"/>
    </w:p>
    <w:p w14:paraId="2CB14798" w14:textId="70422CFB"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4</w:t>
      </w:r>
      <w:r w:rsidRPr="00BE5472">
        <w:rPr>
          <w:rFonts w:ascii="Times New Roman" w:hAnsi="Times New Roman" w:cs="Times New Roman"/>
          <w:kern w:val="2"/>
          <w:sz w:val="24"/>
          <w14:ligatures w14:val="standardContextual"/>
        </w:rPr>
        <w:t xml:space="preserve"> prikazani su rezultati testiranja razlike u visini pokazatelja tržišna vrijednost dionica prije i nakon preuzimanja poduzeća. </w:t>
      </w:r>
    </w:p>
    <w:p w14:paraId="28144FF6" w14:textId="2CAD2897" w:rsidR="00120B4F" w:rsidRPr="00E1098E" w:rsidRDefault="00E1098E" w:rsidP="00E1098E">
      <w:pPr>
        <w:pStyle w:val="Caption"/>
        <w:rPr>
          <w:rFonts w:ascii="Times New Roman" w:hAnsi="Times New Roman" w:cs="Times New Roman"/>
          <w:kern w:val="2"/>
          <w:sz w:val="24"/>
          <w:szCs w:val="24"/>
          <w14:ligatures w14:val="standardContextual"/>
        </w:rPr>
      </w:pPr>
      <w:bookmarkStart w:id="223" w:name="_Toc241865248"/>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54</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2F16C5" w:rsidRPr="00E1098E">
        <w:rPr>
          <w:rFonts w:ascii="Times New Roman" w:hAnsi="Times New Roman" w:cs="Times New Roman"/>
          <w:kern w:val="2"/>
          <w:sz w:val="24"/>
          <w:szCs w:val="24"/>
          <w14:ligatures w14:val="standardContextual"/>
        </w:rPr>
        <w:t>t</w:t>
      </w:r>
      <w:r w:rsidR="00120B4F" w:rsidRPr="00E1098E">
        <w:rPr>
          <w:rFonts w:ascii="Times New Roman" w:hAnsi="Times New Roman" w:cs="Times New Roman"/>
          <w:kern w:val="2"/>
          <w:sz w:val="24"/>
          <w:szCs w:val="24"/>
          <w14:ligatures w14:val="standardContextual"/>
        </w:rPr>
        <w:t>ržišnoj vrijednosti dionica prije i nakon procesa preuzimanja poduzeća</w:t>
      </w:r>
      <w:bookmarkEnd w:id="223"/>
    </w:p>
    <w:tbl>
      <w:tblPr>
        <w:tblW w:w="5000" w:type="pct"/>
        <w:tblLook w:val="04A0" w:firstRow="1" w:lastRow="0" w:firstColumn="1" w:lastColumn="0" w:noHBand="0" w:noVBand="1"/>
      </w:tblPr>
      <w:tblGrid>
        <w:gridCol w:w="4062"/>
        <w:gridCol w:w="832"/>
        <w:gridCol w:w="1569"/>
        <w:gridCol w:w="1649"/>
        <w:gridCol w:w="917"/>
      </w:tblGrid>
      <w:tr w:rsidR="00120B4F" w:rsidRPr="00BE5472" w14:paraId="2B0500FB" w14:textId="77777777" w:rsidTr="003C2F5B">
        <w:trPr>
          <w:trHeight w:val="330"/>
        </w:trPr>
        <w:tc>
          <w:tcPr>
            <w:tcW w:w="2249" w:type="pct"/>
            <w:tcBorders>
              <w:top w:val="nil"/>
              <w:left w:val="nil"/>
              <w:bottom w:val="nil"/>
              <w:right w:val="nil"/>
            </w:tcBorders>
            <w:noWrap/>
            <w:vAlign w:val="bottom"/>
            <w:hideMark/>
          </w:tcPr>
          <w:p w14:paraId="2E4C5D9F"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42B05AA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029293DC" w14:textId="1E9E42E1"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2F16C5"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4C3F149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C7966B6" w14:textId="77777777" w:rsidTr="003C2F5B">
        <w:trPr>
          <w:trHeight w:val="330"/>
        </w:trPr>
        <w:tc>
          <w:tcPr>
            <w:tcW w:w="2249" w:type="pct"/>
            <w:tcBorders>
              <w:top w:val="single" w:sz="4" w:space="0" w:color="auto"/>
              <w:left w:val="nil"/>
              <w:bottom w:val="single" w:sz="4" w:space="0" w:color="auto"/>
              <w:right w:val="nil"/>
            </w:tcBorders>
            <w:noWrap/>
            <w:vAlign w:val="bottom"/>
            <w:hideMark/>
          </w:tcPr>
          <w:p w14:paraId="7A0362C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6EF1D5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4EA2C01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54B0A80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182B9E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7939BB5A" w14:textId="77777777" w:rsidTr="003C2F5B">
        <w:trPr>
          <w:trHeight w:val="315"/>
        </w:trPr>
        <w:tc>
          <w:tcPr>
            <w:tcW w:w="2249" w:type="pct"/>
            <w:tcBorders>
              <w:top w:val="nil"/>
              <w:left w:val="nil"/>
              <w:bottom w:val="nil"/>
              <w:right w:val="nil"/>
            </w:tcBorders>
            <w:noWrap/>
            <w:vAlign w:val="bottom"/>
            <w:hideMark/>
          </w:tcPr>
          <w:p w14:paraId="38662E5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430C410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7.73</w:t>
            </w:r>
          </w:p>
        </w:tc>
        <w:tc>
          <w:tcPr>
            <w:tcW w:w="869" w:type="pct"/>
            <w:tcBorders>
              <w:top w:val="nil"/>
              <w:left w:val="nil"/>
              <w:bottom w:val="nil"/>
              <w:right w:val="nil"/>
            </w:tcBorders>
            <w:noWrap/>
            <w:vAlign w:val="center"/>
            <w:hideMark/>
          </w:tcPr>
          <w:p w14:paraId="482794B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7.61</w:t>
            </w:r>
          </w:p>
        </w:tc>
        <w:tc>
          <w:tcPr>
            <w:tcW w:w="913" w:type="pct"/>
            <w:tcBorders>
              <w:top w:val="nil"/>
              <w:left w:val="nil"/>
              <w:bottom w:val="nil"/>
              <w:right w:val="nil"/>
            </w:tcBorders>
            <w:noWrap/>
            <w:vAlign w:val="center"/>
            <w:hideMark/>
          </w:tcPr>
          <w:p w14:paraId="31801A6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7.85</w:t>
            </w:r>
          </w:p>
        </w:tc>
        <w:tc>
          <w:tcPr>
            <w:tcW w:w="508" w:type="pct"/>
            <w:tcBorders>
              <w:top w:val="nil"/>
              <w:left w:val="nil"/>
              <w:bottom w:val="nil"/>
              <w:right w:val="nil"/>
            </w:tcBorders>
            <w:noWrap/>
            <w:vAlign w:val="center"/>
            <w:hideMark/>
          </w:tcPr>
          <w:p w14:paraId="1A819B9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8B8DC16" w14:textId="77777777" w:rsidTr="003C2F5B">
        <w:trPr>
          <w:trHeight w:val="330"/>
        </w:trPr>
        <w:tc>
          <w:tcPr>
            <w:tcW w:w="2249" w:type="pct"/>
            <w:tcBorders>
              <w:top w:val="nil"/>
              <w:left w:val="nil"/>
              <w:bottom w:val="nil"/>
              <w:right w:val="nil"/>
            </w:tcBorders>
            <w:noWrap/>
            <w:vAlign w:val="bottom"/>
            <w:hideMark/>
          </w:tcPr>
          <w:p w14:paraId="36D555F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314EEE4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869" w:type="pct"/>
            <w:tcBorders>
              <w:top w:val="nil"/>
              <w:left w:val="nil"/>
              <w:bottom w:val="nil"/>
              <w:right w:val="nil"/>
            </w:tcBorders>
            <w:noWrap/>
            <w:vAlign w:val="center"/>
            <w:hideMark/>
          </w:tcPr>
          <w:p w14:paraId="3C17A0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13" w:type="pct"/>
            <w:tcBorders>
              <w:top w:val="nil"/>
              <w:left w:val="nil"/>
              <w:bottom w:val="nil"/>
              <w:right w:val="nil"/>
            </w:tcBorders>
            <w:noWrap/>
            <w:vAlign w:val="center"/>
            <w:hideMark/>
          </w:tcPr>
          <w:p w14:paraId="716B0F7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508" w:type="pct"/>
            <w:tcBorders>
              <w:top w:val="nil"/>
              <w:left w:val="nil"/>
              <w:bottom w:val="nil"/>
              <w:right w:val="nil"/>
            </w:tcBorders>
            <w:noWrap/>
            <w:vAlign w:val="center"/>
            <w:hideMark/>
          </w:tcPr>
          <w:p w14:paraId="333D10C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1E9ECDDA" w14:textId="77777777" w:rsidTr="003C2F5B">
        <w:trPr>
          <w:trHeight w:val="315"/>
        </w:trPr>
        <w:tc>
          <w:tcPr>
            <w:tcW w:w="2249" w:type="pct"/>
            <w:tcBorders>
              <w:top w:val="nil"/>
              <w:left w:val="nil"/>
              <w:bottom w:val="nil"/>
              <w:right w:val="nil"/>
            </w:tcBorders>
            <w:noWrap/>
            <w:vAlign w:val="bottom"/>
            <w:hideMark/>
          </w:tcPr>
          <w:p w14:paraId="76E00A4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0BF6971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869" w:type="pct"/>
            <w:tcBorders>
              <w:top w:val="nil"/>
              <w:left w:val="nil"/>
              <w:bottom w:val="nil"/>
              <w:right w:val="nil"/>
            </w:tcBorders>
            <w:noWrap/>
            <w:vAlign w:val="center"/>
            <w:hideMark/>
          </w:tcPr>
          <w:p w14:paraId="0E1007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913" w:type="pct"/>
            <w:tcBorders>
              <w:top w:val="nil"/>
              <w:left w:val="nil"/>
              <w:bottom w:val="nil"/>
              <w:right w:val="nil"/>
            </w:tcBorders>
            <w:noWrap/>
            <w:vAlign w:val="center"/>
            <w:hideMark/>
          </w:tcPr>
          <w:p w14:paraId="17F238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508" w:type="pct"/>
            <w:tcBorders>
              <w:top w:val="nil"/>
              <w:left w:val="nil"/>
              <w:bottom w:val="nil"/>
              <w:right w:val="nil"/>
            </w:tcBorders>
            <w:noWrap/>
            <w:vAlign w:val="center"/>
            <w:hideMark/>
          </w:tcPr>
          <w:p w14:paraId="4261023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0.885</w:t>
            </w:r>
          </w:p>
        </w:tc>
      </w:tr>
      <w:tr w:rsidR="00120B4F" w:rsidRPr="00BE5472" w14:paraId="00E4C79D" w14:textId="77777777" w:rsidTr="003C2F5B">
        <w:trPr>
          <w:trHeight w:val="420"/>
        </w:trPr>
        <w:tc>
          <w:tcPr>
            <w:tcW w:w="2249" w:type="pct"/>
            <w:tcBorders>
              <w:top w:val="nil"/>
              <w:left w:val="nil"/>
              <w:bottom w:val="nil"/>
              <w:right w:val="nil"/>
            </w:tcBorders>
            <w:noWrap/>
            <w:vAlign w:val="center"/>
            <w:hideMark/>
          </w:tcPr>
          <w:p w14:paraId="4D4BDDD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7289688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1.04</w:t>
            </w:r>
          </w:p>
        </w:tc>
        <w:tc>
          <w:tcPr>
            <w:tcW w:w="869" w:type="pct"/>
            <w:tcBorders>
              <w:top w:val="nil"/>
              <w:left w:val="nil"/>
              <w:bottom w:val="nil"/>
              <w:right w:val="nil"/>
            </w:tcBorders>
            <w:noWrap/>
            <w:vAlign w:val="center"/>
            <w:hideMark/>
          </w:tcPr>
          <w:p w14:paraId="1C7CC9F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1.00</w:t>
            </w:r>
          </w:p>
        </w:tc>
        <w:tc>
          <w:tcPr>
            <w:tcW w:w="913" w:type="pct"/>
            <w:tcBorders>
              <w:top w:val="nil"/>
              <w:left w:val="nil"/>
              <w:bottom w:val="nil"/>
              <w:right w:val="nil"/>
            </w:tcBorders>
            <w:noWrap/>
            <w:vAlign w:val="center"/>
            <w:hideMark/>
          </w:tcPr>
          <w:p w14:paraId="7A5C82A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1.07</w:t>
            </w:r>
          </w:p>
        </w:tc>
        <w:tc>
          <w:tcPr>
            <w:tcW w:w="508" w:type="pct"/>
            <w:tcBorders>
              <w:top w:val="nil"/>
              <w:left w:val="nil"/>
              <w:bottom w:val="nil"/>
              <w:right w:val="nil"/>
            </w:tcBorders>
            <w:noWrap/>
            <w:vAlign w:val="center"/>
            <w:hideMark/>
          </w:tcPr>
          <w:p w14:paraId="4A0D723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52AAE45B" w14:textId="77777777" w:rsidTr="003C2F5B">
        <w:trPr>
          <w:trHeight w:val="390"/>
        </w:trPr>
        <w:tc>
          <w:tcPr>
            <w:tcW w:w="2249" w:type="pct"/>
            <w:tcBorders>
              <w:top w:val="nil"/>
              <w:left w:val="nil"/>
              <w:bottom w:val="nil"/>
              <w:right w:val="nil"/>
            </w:tcBorders>
            <w:noWrap/>
            <w:vAlign w:val="center"/>
            <w:hideMark/>
          </w:tcPr>
          <w:p w14:paraId="63CA74A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68EA015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869" w:type="pct"/>
            <w:tcBorders>
              <w:top w:val="nil"/>
              <w:left w:val="nil"/>
              <w:bottom w:val="nil"/>
              <w:right w:val="nil"/>
            </w:tcBorders>
            <w:noWrap/>
            <w:vAlign w:val="center"/>
            <w:hideMark/>
          </w:tcPr>
          <w:p w14:paraId="744311C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913" w:type="pct"/>
            <w:tcBorders>
              <w:top w:val="nil"/>
              <w:left w:val="nil"/>
              <w:bottom w:val="nil"/>
              <w:right w:val="nil"/>
            </w:tcBorders>
            <w:noWrap/>
            <w:vAlign w:val="center"/>
            <w:hideMark/>
          </w:tcPr>
          <w:p w14:paraId="4C0E7DC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508" w:type="pct"/>
            <w:tcBorders>
              <w:top w:val="nil"/>
              <w:left w:val="nil"/>
              <w:bottom w:val="nil"/>
              <w:right w:val="nil"/>
            </w:tcBorders>
            <w:noWrap/>
            <w:vAlign w:val="center"/>
            <w:hideMark/>
          </w:tcPr>
          <w:p w14:paraId="62FB02E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7E5B22EE" w14:textId="77777777" w:rsidTr="003C2F5B">
        <w:trPr>
          <w:trHeight w:val="330"/>
        </w:trPr>
        <w:tc>
          <w:tcPr>
            <w:tcW w:w="2249" w:type="pct"/>
            <w:tcBorders>
              <w:top w:val="single" w:sz="4" w:space="0" w:color="auto"/>
              <w:left w:val="nil"/>
              <w:bottom w:val="nil"/>
              <w:right w:val="nil"/>
            </w:tcBorders>
            <w:noWrap/>
            <w:vAlign w:val="bottom"/>
            <w:hideMark/>
          </w:tcPr>
          <w:p w14:paraId="010756B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hideMark/>
          </w:tcPr>
          <w:p w14:paraId="11978F24" w14:textId="77777777" w:rsidR="00120B4F" w:rsidRPr="00BE5472" w:rsidRDefault="00120B4F" w:rsidP="003C2F5B">
            <w:pPr>
              <w:spacing w:after="0" w:line="360" w:lineRule="auto"/>
              <w:jc w:val="center"/>
              <w:rPr>
                <w:rFonts w:ascii="Times New Roman" w:eastAsia="Times New Roman" w:hAnsi="Times New Roman" w:cs="Times New Roman"/>
                <w:color w:val="FF0000"/>
                <w:sz w:val="24"/>
                <w:szCs w:val="24"/>
                <w:lang w:eastAsia="hr-HR"/>
              </w:rPr>
            </w:pPr>
            <w:r w:rsidRPr="00BE5472">
              <w:rPr>
                <w:rFonts w:ascii="Times New Roman" w:hAnsi="Times New Roman" w:cs="Times New Roman"/>
                <w:kern w:val="2"/>
                <w:sz w:val="24"/>
                <w14:ligatures w14:val="standardContextual"/>
              </w:rPr>
              <w:t>0.63</w:t>
            </w:r>
          </w:p>
        </w:tc>
      </w:tr>
      <w:tr w:rsidR="00120B4F" w:rsidRPr="00BE5472" w14:paraId="414112CA" w14:textId="77777777" w:rsidTr="003C2F5B">
        <w:trPr>
          <w:trHeight w:val="315"/>
        </w:trPr>
        <w:tc>
          <w:tcPr>
            <w:tcW w:w="2249" w:type="pct"/>
            <w:tcBorders>
              <w:top w:val="nil"/>
              <w:left w:val="nil"/>
              <w:bottom w:val="nil"/>
              <w:right w:val="nil"/>
            </w:tcBorders>
            <w:noWrap/>
            <w:vAlign w:val="bottom"/>
            <w:hideMark/>
          </w:tcPr>
          <w:p w14:paraId="0957FB6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hideMark/>
          </w:tcPr>
          <w:p w14:paraId="0F54BF71" w14:textId="77777777" w:rsidR="00120B4F" w:rsidRPr="00BE5472" w:rsidRDefault="00120B4F" w:rsidP="003C2F5B">
            <w:pPr>
              <w:spacing w:after="0" w:line="360" w:lineRule="auto"/>
              <w:jc w:val="center"/>
              <w:rPr>
                <w:rFonts w:ascii="Times New Roman" w:eastAsia="Times New Roman" w:hAnsi="Times New Roman" w:cs="Times New Roman"/>
                <w:color w:val="FF0000"/>
                <w:sz w:val="24"/>
                <w:szCs w:val="24"/>
                <w:lang w:eastAsia="hr-HR"/>
              </w:rPr>
            </w:pPr>
            <w:r w:rsidRPr="00BE5472">
              <w:rPr>
                <w:rFonts w:ascii="Times New Roman" w:hAnsi="Times New Roman" w:cs="Times New Roman"/>
                <w:kern w:val="2"/>
                <w:sz w:val="24"/>
                <w14:ligatures w14:val="standardContextual"/>
              </w:rPr>
              <w:t>0.47</w:t>
            </w:r>
          </w:p>
        </w:tc>
      </w:tr>
      <w:tr w:rsidR="00120B4F" w:rsidRPr="00BE5472" w14:paraId="12CC4348" w14:textId="77777777" w:rsidTr="003C2F5B">
        <w:trPr>
          <w:trHeight w:val="315"/>
        </w:trPr>
        <w:tc>
          <w:tcPr>
            <w:tcW w:w="2249" w:type="pct"/>
            <w:tcBorders>
              <w:top w:val="nil"/>
              <w:left w:val="nil"/>
              <w:bottom w:val="nil"/>
              <w:right w:val="nil"/>
            </w:tcBorders>
            <w:noWrap/>
            <w:vAlign w:val="bottom"/>
            <w:hideMark/>
          </w:tcPr>
          <w:p w14:paraId="787AA6D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145EC58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0.62</w:t>
            </w:r>
          </w:p>
        </w:tc>
      </w:tr>
      <w:tr w:rsidR="00120B4F" w:rsidRPr="00BE5472" w14:paraId="72BEBE2C" w14:textId="77777777" w:rsidTr="003C2F5B">
        <w:trPr>
          <w:trHeight w:val="315"/>
        </w:trPr>
        <w:tc>
          <w:tcPr>
            <w:tcW w:w="2249" w:type="pct"/>
            <w:tcBorders>
              <w:top w:val="nil"/>
              <w:left w:val="nil"/>
              <w:bottom w:val="nil"/>
              <w:right w:val="nil"/>
            </w:tcBorders>
            <w:noWrap/>
            <w:vAlign w:val="bottom"/>
            <w:hideMark/>
          </w:tcPr>
          <w:p w14:paraId="413DCAF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7AA04D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5857EFEB" w14:textId="77777777" w:rsidTr="003C2F5B">
        <w:trPr>
          <w:trHeight w:val="330"/>
        </w:trPr>
        <w:tc>
          <w:tcPr>
            <w:tcW w:w="2249" w:type="pct"/>
            <w:tcBorders>
              <w:top w:val="nil"/>
              <w:left w:val="nil"/>
              <w:bottom w:val="single" w:sz="4" w:space="0" w:color="auto"/>
              <w:right w:val="nil"/>
            </w:tcBorders>
            <w:noWrap/>
            <w:vAlign w:val="bottom"/>
            <w:hideMark/>
          </w:tcPr>
          <w:p w14:paraId="1A92889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028F8E6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409C0209" w14:textId="7D93635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3C06E0D2" w14:textId="4D95A28C"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Pomoću modela višerazinske linearne regresijske analize utvrđeno je da </w:t>
      </w:r>
      <w:r w:rsidRPr="00BE5472">
        <w:rPr>
          <w:rFonts w:ascii="Times New Roman" w:hAnsi="Times New Roman" w:cs="Times New Roman"/>
          <w:b/>
          <w:bCs/>
          <w:kern w:val="2"/>
          <w:sz w:val="24"/>
          <w14:ligatures w14:val="standardContextual"/>
        </w:rPr>
        <w:t>postoji statistički značajna razlika u pokazatelju tržišna vrijednost dionica</w:t>
      </w:r>
      <w:r w:rsidRPr="00BE5472">
        <w:rPr>
          <w:rFonts w:ascii="Times New Roman" w:hAnsi="Times New Roman" w:cs="Times New Roman"/>
          <w:kern w:val="2"/>
          <w:sz w:val="24"/>
          <w14:ligatures w14:val="standardContextual"/>
        </w:rPr>
        <w:t xml:space="preserve"> između razdoblja prije i nakon preuzimanja poduzeća (B = 1.04,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[1.00, 1.07], p &lt; .001), pri čemu je tržišna vrijednost nakon preuzimanja bila u prosjeku viša za 1.04 boda, izraženo na logaritamskoj skali, odnosno  183</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veća nakon preuzimanja. Nadalje,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0.03,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[0.01, 0.04], p &lt; .001), pri čemu je pokazano da </w:t>
      </w:r>
      <w:r w:rsidRPr="00BE5472">
        <w:rPr>
          <w:rFonts w:ascii="Times New Roman" w:hAnsi="Times New Roman" w:cs="Times New Roman"/>
          <w:b/>
          <w:bCs/>
          <w:kern w:val="2"/>
          <w:sz w:val="24"/>
          <w14:ligatures w14:val="standardContextual"/>
        </w:rPr>
        <w:t>tržišna vrijednost dionica u prosjeku raste 0.03 boda na godišnjoj razini,</w:t>
      </w:r>
      <w:r w:rsidRPr="00BE5472">
        <w:rPr>
          <w:rFonts w:ascii="Times New Roman" w:hAnsi="Times New Roman" w:cs="Times New Roman"/>
          <w:kern w:val="2"/>
          <w:sz w:val="24"/>
          <w14:ligatures w14:val="standardContextual"/>
        </w:rPr>
        <w:t xml:space="preserve"> kada je tržišna vrijednost dionica izražena na logaritamskoj skali, odnosno 3.05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godišnje. Pored toga, utvrđen je i statistički značajan interakcijski učinak između statusa poduzeća i vremenskog trenda (B = -0.05,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[-0.07, -0.02], p &lt; .001). Pri tome je tržišna vrijednost dionica u funkciji vremena značajno rasla za 0.05 bodova na logaritamskoj skali godišnje prije preuzimanja (B = 0.05,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0.08], p &lt; .001), odnosno 5.1</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godišnje, dok u periodu nakon preuzimanja nije utvrđen značajan vremenski trend (B = 0.01,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0.02], p = .562).</w:t>
      </w:r>
    </w:p>
    <w:p w14:paraId="6EEBB20D" w14:textId="77777777" w:rsidR="00120B4F" w:rsidRPr="00BE5472" w:rsidRDefault="00120B4F" w:rsidP="00120B4F">
      <w:pPr>
        <w:rPr>
          <w:rFonts w:ascii="Times New Roman" w:hAnsi="Times New Roman" w:cs="Times New Roman"/>
          <w:b/>
          <w:bCs/>
          <w:kern w:val="2"/>
          <w:sz w:val="24"/>
          <w14:ligatures w14:val="standardContextual"/>
        </w:rPr>
      </w:pPr>
      <w:bookmarkStart w:id="224" w:name="_Toc182495674"/>
      <w:r w:rsidRPr="00BE5472">
        <w:rPr>
          <w:rFonts w:ascii="Times New Roman" w:hAnsi="Times New Roman" w:cs="Times New Roman"/>
          <w:b/>
          <w:bCs/>
          <w:kern w:val="2"/>
          <w:sz w:val="24"/>
          <w14:ligatures w14:val="standardContextual"/>
        </w:rPr>
        <w:lastRenderedPageBreak/>
        <w:t>Dobit po dionici</w:t>
      </w:r>
      <w:bookmarkEnd w:id="224"/>
    </w:p>
    <w:p w14:paraId="631A8DCA" w14:textId="52CFD631"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5</w:t>
      </w:r>
      <w:r w:rsidRPr="00BE5472">
        <w:rPr>
          <w:rFonts w:ascii="Times New Roman" w:hAnsi="Times New Roman" w:cs="Times New Roman"/>
          <w:kern w:val="2"/>
          <w:sz w:val="24"/>
          <w14:ligatures w14:val="standardContextual"/>
        </w:rPr>
        <w:t xml:space="preserve"> prikazani su rezultati testiranja razlike u visini pokazatelja dobit po dionici prije i nakon preuzimanja poduzeća. </w:t>
      </w:r>
    </w:p>
    <w:p w14:paraId="0CBE5BF9" w14:textId="235E7160" w:rsidR="00120B4F" w:rsidRPr="00E1098E" w:rsidRDefault="00E1098E" w:rsidP="00E1098E">
      <w:pPr>
        <w:pStyle w:val="Caption"/>
        <w:rPr>
          <w:rFonts w:ascii="Times New Roman" w:hAnsi="Times New Roman" w:cs="Times New Roman"/>
          <w:kern w:val="2"/>
          <w:sz w:val="24"/>
          <w:szCs w:val="24"/>
          <w14:ligatures w14:val="standardContextual"/>
        </w:rPr>
      </w:pPr>
      <w:bookmarkStart w:id="225" w:name="_Toc241865249"/>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55</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2F16C5" w:rsidRPr="00E1098E">
        <w:rPr>
          <w:rFonts w:ascii="Times New Roman" w:hAnsi="Times New Roman" w:cs="Times New Roman"/>
          <w:kern w:val="2"/>
          <w:sz w:val="24"/>
          <w:szCs w:val="24"/>
          <w14:ligatures w14:val="standardContextual"/>
        </w:rPr>
        <w:t>d</w:t>
      </w:r>
      <w:r w:rsidR="00120B4F" w:rsidRPr="00E1098E">
        <w:rPr>
          <w:rFonts w:ascii="Times New Roman" w:hAnsi="Times New Roman" w:cs="Times New Roman"/>
          <w:kern w:val="2"/>
          <w:sz w:val="24"/>
          <w:szCs w:val="24"/>
          <w14:ligatures w14:val="standardContextual"/>
        </w:rPr>
        <w:t>obiti po dionici prije i nakon procesa preuzimanja poduzeća</w:t>
      </w:r>
      <w:bookmarkEnd w:id="225"/>
    </w:p>
    <w:tbl>
      <w:tblPr>
        <w:tblW w:w="5000" w:type="pct"/>
        <w:tblLook w:val="04A0" w:firstRow="1" w:lastRow="0" w:firstColumn="1" w:lastColumn="0" w:noHBand="0" w:noVBand="1"/>
      </w:tblPr>
      <w:tblGrid>
        <w:gridCol w:w="4061"/>
        <w:gridCol w:w="836"/>
        <w:gridCol w:w="1569"/>
        <w:gridCol w:w="1649"/>
        <w:gridCol w:w="914"/>
      </w:tblGrid>
      <w:tr w:rsidR="00120B4F" w:rsidRPr="00BE5472" w14:paraId="745AF8FC" w14:textId="77777777" w:rsidTr="003C2F5B">
        <w:trPr>
          <w:trHeight w:val="315"/>
        </w:trPr>
        <w:tc>
          <w:tcPr>
            <w:tcW w:w="2249" w:type="pct"/>
            <w:tcBorders>
              <w:top w:val="nil"/>
              <w:left w:val="nil"/>
              <w:bottom w:val="nil"/>
              <w:right w:val="nil"/>
            </w:tcBorders>
            <w:noWrap/>
            <w:vAlign w:val="bottom"/>
            <w:hideMark/>
          </w:tcPr>
          <w:p w14:paraId="7DDB0DE9"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3" w:type="pct"/>
            <w:tcBorders>
              <w:top w:val="single" w:sz="4" w:space="0" w:color="auto"/>
              <w:left w:val="nil"/>
              <w:bottom w:val="nil"/>
              <w:right w:val="nil"/>
            </w:tcBorders>
            <w:noWrap/>
            <w:vAlign w:val="center"/>
            <w:hideMark/>
          </w:tcPr>
          <w:p w14:paraId="57B1952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52B426ED" w14:textId="403DA560"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2F16C5"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6" w:type="pct"/>
            <w:tcBorders>
              <w:top w:val="single" w:sz="4" w:space="0" w:color="auto"/>
              <w:left w:val="nil"/>
              <w:bottom w:val="nil"/>
              <w:right w:val="nil"/>
            </w:tcBorders>
            <w:noWrap/>
            <w:vAlign w:val="center"/>
            <w:hideMark/>
          </w:tcPr>
          <w:p w14:paraId="6446348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B4B8640" w14:textId="77777777" w:rsidTr="003C2F5B">
        <w:trPr>
          <w:trHeight w:val="315"/>
        </w:trPr>
        <w:tc>
          <w:tcPr>
            <w:tcW w:w="2249" w:type="pct"/>
            <w:tcBorders>
              <w:top w:val="single" w:sz="4" w:space="0" w:color="auto"/>
              <w:left w:val="nil"/>
              <w:bottom w:val="single" w:sz="4" w:space="0" w:color="auto"/>
              <w:right w:val="nil"/>
            </w:tcBorders>
            <w:noWrap/>
            <w:vAlign w:val="bottom"/>
            <w:hideMark/>
          </w:tcPr>
          <w:p w14:paraId="610ECDB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3" w:type="pct"/>
            <w:tcBorders>
              <w:top w:val="single" w:sz="4" w:space="0" w:color="auto"/>
              <w:left w:val="nil"/>
              <w:bottom w:val="single" w:sz="4" w:space="0" w:color="auto"/>
              <w:right w:val="nil"/>
            </w:tcBorders>
            <w:noWrap/>
            <w:vAlign w:val="center"/>
            <w:hideMark/>
          </w:tcPr>
          <w:p w14:paraId="0FF79E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298C7D1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0DA6F07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6" w:type="pct"/>
            <w:tcBorders>
              <w:top w:val="single" w:sz="4" w:space="0" w:color="auto"/>
              <w:left w:val="nil"/>
              <w:bottom w:val="single" w:sz="4" w:space="0" w:color="auto"/>
              <w:right w:val="nil"/>
            </w:tcBorders>
            <w:noWrap/>
            <w:vAlign w:val="center"/>
            <w:hideMark/>
          </w:tcPr>
          <w:p w14:paraId="5862A47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2C26FFFA" w14:textId="77777777" w:rsidTr="003C2F5B">
        <w:trPr>
          <w:trHeight w:val="315"/>
        </w:trPr>
        <w:tc>
          <w:tcPr>
            <w:tcW w:w="2249" w:type="pct"/>
            <w:tcBorders>
              <w:top w:val="nil"/>
              <w:left w:val="nil"/>
              <w:bottom w:val="nil"/>
              <w:right w:val="nil"/>
            </w:tcBorders>
            <w:noWrap/>
            <w:vAlign w:val="bottom"/>
            <w:hideMark/>
          </w:tcPr>
          <w:p w14:paraId="7B6A21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3" w:type="pct"/>
            <w:tcBorders>
              <w:top w:val="nil"/>
              <w:left w:val="nil"/>
              <w:bottom w:val="nil"/>
              <w:right w:val="nil"/>
            </w:tcBorders>
            <w:noWrap/>
            <w:vAlign w:val="center"/>
            <w:hideMark/>
          </w:tcPr>
          <w:p w14:paraId="3185238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55.98</w:t>
            </w:r>
          </w:p>
        </w:tc>
        <w:tc>
          <w:tcPr>
            <w:tcW w:w="869" w:type="pct"/>
            <w:tcBorders>
              <w:top w:val="nil"/>
              <w:left w:val="nil"/>
              <w:bottom w:val="nil"/>
              <w:right w:val="nil"/>
            </w:tcBorders>
            <w:noWrap/>
            <w:vAlign w:val="center"/>
            <w:hideMark/>
          </w:tcPr>
          <w:p w14:paraId="5BB11C0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29.00</w:t>
            </w:r>
          </w:p>
        </w:tc>
        <w:tc>
          <w:tcPr>
            <w:tcW w:w="913" w:type="pct"/>
            <w:tcBorders>
              <w:top w:val="nil"/>
              <w:left w:val="nil"/>
              <w:bottom w:val="nil"/>
              <w:right w:val="nil"/>
            </w:tcBorders>
            <w:noWrap/>
            <w:vAlign w:val="center"/>
            <w:hideMark/>
          </w:tcPr>
          <w:p w14:paraId="348E246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82.96</w:t>
            </w:r>
          </w:p>
        </w:tc>
        <w:tc>
          <w:tcPr>
            <w:tcW w:w="506" w:type="pct"/>
            <w:tcBorders>
              <w:top w:val="nil"/>
              <w:left w:val="nil"/>
              <w:bottom w:val="nil"/>
              <w:right w:val="nil"/>
            </w:tcBorders>
            <w:noWrap/>
            <w:vAlign w:val="center"/>
            <w:hideMark/>
          </w:tcPr>
          <w:p w14:paraId="4C17125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0.004</w:t>
            </w:r>
          </w:p>
        </w:tc>
      </w:tr>
      <w:tr w:rsidR="00120B4F" w:rsidRPr="00BE5472" w14:paraId="4B66B6B7" w14:textId="77777777" w:rsidTr="003C2F5B">
        <w:trPr>
          <w:trHeight w:val="315"/>
        </w:trPr>
        <w:tc>
          <w:tcPr>
            <w:tcW w:w="2249" w:type="pct"/>
            <w:tcBorders>
              <w:top w:val="nil"/>
              <w:left w:val="nil"/>
              <w:bottom w:val="nil"/>
              <w:right w:val="nil"/>
            </w:tcBorders>
            <w:noWrap/>
            <w:vAlign w:val="bottom"/>
            <w:hideMark/>
          </w:tcPr>
          <w:p w14:paraId="6F36DD0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3" w:type="pct"/>
            <w:tcBorders>
              <w:top w:val="nil"/>
              <w:left w:val="nil"/>
              <w:bottom w:val="nil"/>
              <w:right w:val="nil"/>
            </w:tcBorders>
            <w:noWrap/>
            <w:vAlign w:val="center"/>
            <w:hideMark/>
          </w:tcPr>
          <w:p w14:paraId="26CA532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-7.82</w:t>
            </w:r>
          </w:p>
        </w:tc>
        <w:tc>
          <w:tcPr>
            <w:tcW w:w="869" w:type="pct"/>
            <w:tcBorders>
              <w:top w:val="nil"/>
              <w:left w:val="nil"/>
              <w:bottom w:val="nil"/>
              <w:right w:val="nil"/>
            </w:tcBorders>
            <w:noWrap/>
            <w:vAlign w:val="center"/>
            <w:hideMark/>
          </w:tcPr>
          <w:p w14:paraId="3AE3B69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-15.2</w:t>
            </w:r>
          </w:p>
        </w:tc>
        <w:tc>
          <w:tcPr>
            <w:tcW w:w="913" w:type="pct"/>
            <w:tcBorders>
              <w:top w:val="nil"/>
              <w:left w:val="nil"/>
              <w:bottom w:val="nil"/>
              <w:right w:val="nil"/>
            </w:tcBorders>
            <w:noWrap/>
            <w:vAlign w:val="center"/>
            <w:hideMark/>
          </w:tcPr>
          <w:p w14:paraId="4CE068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-0.44</w:t>
            </w:r>
          </w:p>
        </w:tc>
        <w:tc>
          <w:tcPr>
            <w:tcW w:w="506" w:type="pct"/>
            <w:tcBorders>
              <w:top w:val="nil"/>
              <w:left w:val="nil"/>
              <w:bottom w:val="nil"/>
              <w:right w:val="nil"/>
            </w:tcBorders>
            <w:noWrap/>
            <w:vAlign w:val="center"/>
            <w:hideMark/>
          </w:tcPr>
          <w:p w14:paraId="581C29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0.038</w:t>
            </w:r>
          </w:p>
        </w:tc>
      </w:tr>
      <w:tr w:rsidR="00120B4F" w:rsidRPr="00BE5472" w14:paraId="6B6797F6" w14:textId="77777777" w:rsidTr="003C2F5B">
        <w:trPr>
          <w:trHeight w:val="315"/>
        </w:trPr>
        <w:tc>
          <w:tcPr>
            <w:tcW w:w="2249" w:type="pct"/>
            <w:tcBorders>
              <w:top w:val="nil"/>
              <w:left w:val="nil"/>
              <w:bottom w:val="nil"/>
              <w:right w:val="nil"/>
            </w:tcBorders>
            <w:noWrap/>
            <w:vAlign w:val="bottom"/>
            <w:hideMark/>
          </w:tcPr>
          <w:p w14:paraId="3E7C751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3" w:type="pct"/>
            <w:tcBorders>
              <w:top w:val="nil"/>
              <w:left w:val="nil"/>
              <w:bottom w:val="nil"/>
              <w:right w:val="nil"/>
            </w:tcBorders>
            <w:noWrap/>
            <w:vAlign w:val="center"/>
            <w:hideMark/>
          </w:tcPr>
          <w:p w14:paraId="47A552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74.09</w:t>
            </w:r>
          </w:p>
        </w:tc>
        <w:tc>
          <w:tcPr>
            <w:tcW w:w="869" w:type="pct"/>
            <w:tcBorders>
              <w:top w:val="nil"/>
              <w:left w:val="nil"/>
              <w:bottom w:val="nil"/>
              <w:right w:val="nil"/>
            </w:tcBorders>
            <w:noWrap/>
            <w:vAlign w:val="center"/>
            <w:hideMark/>
          </w:tcPr>
          <w:p w14:paraId="2C5A82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41.55</w:t>
            </w:r>
          </w:p>
        </w:tc>
        <w:tc>
          <w:tcPr>
            <w:tcW w:w="913" w:type="pct"/>
            <w:tcBorders>
              <w:top w:val="nil"/>
              <w:left w:val="nil"/>
              <w:bottom w:val="nil"/>
              <w:right w:val="nil"/>
            </w:tcBorders>
            <w:noWrap/>
            <w:vAlign w:val="center"/>
            <w:hideMark/>
          </w:tcPr>
          <w:p w14:paraId="27576EA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106.64</w:t>
            </w:r>
          </w:p>
        </w:tc>
        <w:tc>
          <w:tcPr>
            <w:tcW w:w="506" w:type="pct"/>
            <w:tcBorders>
              <w:top w:val="nil"/>
              <w:left w:val="nil"/>
              <w:bottom w:val="nil"/>
              <w:right w:val="nil"/>
            </w:tcBorders>
            <w:noWrap/>
            <w:vAlign w:val="center"/>
            <w:hideMark/>
          </w:tcPr>
          <w:p w14:paraId="603BA64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0.018</w:t>
            </w:r>
          </w:p>
        </w:tc>
      </w:tr>
      <w:tr w:rsidR="00120B4F" w:rsidRPr="00BE5472" w14:paraId="66F5B2A5" w14:textId="77777777" w:rsidTr="003C2F5B">
        <w:trPr>
          <w:trHeight w:val="315"/>
        </w:trPr>
        <w:tc>
          <w:tcPr>
            <w:tcW w:w="2249" w:type="pct"/>
            <w:tcBorders>
              <w:top w:val="nil"/>
              <w:left w:val="nil"/>
              <w:bottom w:val="nil"/>
              <w:right w:val="nil"/>
            </w:tcBorders>
            <w:noWrap/>
            <w:vAlign w:val="center"/>
            <w:hideMark/>
          </w:tcPr>
          <w:p w14:paraId="003D96D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3" w:type="pct"/>
            <w:tcBorders>
              <w:top w:val="nil"/>
              <w:left w:val="nil"/>
              <w:bottom w:val="nil"/>
              <w:right w:val="nil"/>
            </w:tcBorders>
            <w:noWrap/>
            <w:vAlign w:val="center"/>
            <w:hideMark/>
          </w:tcPr>
          <w:p w14:paraId="55D104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43.24</w:t>
            </w:r>
          </w:p>
        </w:tc>
        <w:tc>
          <w:tcPr>
            <w:tcW w:w="869" w:type="pct"/>
            <w:tcBorders>
              <w:top w:val="nil"/>
              <w:left w:val="nil"/>
              <w:bottom w:val="nil"/>
              <w:right w:val="nil"/>
            </w:tcBorders>
            <w:noWrap/>
            <w:vAlign w:val="center"/>
            <w:hideMark/>
          </w:tcPr>
          <w:p w14:paraId="4EB8FE9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-5.97</w:t>
            </w:r>
          </w:p>
        </w:tc>
        <w:tc>
          <w:tcPr>
            <w:tcW w:w="913" w:type="pct"/>
            <w:tcBorders>
              <w:top w:val="nil"/>
              <w:left w:val="nil"/>
              <w:bottom w:val="nil"/>
              <w:right w:val="nil"/>
            </w:tcBorders>
            <w:noWrap/>
            <w:vAlign w:val="center"/>
            <w:hideMark/>
          </w:tcPr>
          <w:p w14:paraId="2A0B637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92.46</w:t>
            </w:r>
          </w:p>
        </w:tc>
        <w:tc>
          <w:tcPr>
            <w:tcW w:w="506" w:type="pct"/>
            <w:tcBorders>
              <w:top w:val="nil"/>
              <w:left w:val="nil"/>
              <w:bottom w:val="nil"/>
              <w:right w:val="nil"/>
            </w:tcBorders>
            <w:noWrap/>
            <w:vAlign w:val="center"/>
            <w:hideMark/>
          </w:tcPr>
          <w:p w14:paraId="11F45F3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0.084</w:t>
            </w:r>
          </w:p>
        </w:tc>
      </w:tr>
      <w:tr w:rsidR="00120B4F" w:rsidRPr="00BE5472" w14:paraId="75C6C812" w14:textId="77777777" w:rsidTr="003C2F5B">
        <w:trPr>
          <w:trHeight w:val="315"/>
        </w:trPr>
        <w:tc>
          <w:tcPr>
            <w:tcW w:w="2249" w:type="pct"/>
            <w:tcBorders>
              <w:top w:val="nil"/>
              <w:left w:val="nil"/>
              <w:bottom w:val="nil"/>
              <w:right w:val="nil"/>
            </w:tcBorders>
            <w:noWrap/>
            <w:vAlign w:val="center"/>
            <w:hideMark/>
          </w:tcPr>
          <w:p w14:paraId="7AD352D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3" w:type="pct"/>
            <w:tcBorders>
              <w:top w:val="nil"/>
              <w:left w:val="nil"/>
              <w:bottom w:val="nil"/>
              <w:right w:val="nil"/>
            </w:tcBorders>
            <w:noWrap/>
            <w:vAlign w:val="center"/>
            <w:hideMark/>
          </w:tcPr>
          <w:p w14:paraId="181DAEF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-10.97</w:t>
            </w:r>
          </w:p>
        </w:tc>
        <w:tc>
          <w:tcPr>
            <w:tcW w:w="869" w:type="pct"/>
            <w:tcBorders>
              <w:top w:val="nil"/>
              <w:left w:val="nil"/>
              <w:bottom w:val="nil"/>
              <w:right w:val="nil"/>
            </w:tcBorders>
            <w:noWrap/>
            <w:vAlign w:val="center"/>
            <w:hideMark/>
          </w:tcPr>
          <w:p w14:paraId="45CEF24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-24.92</w:t>
            </w:r>
          </w:p>
        </w:tc>
        <w:tc>
          <w:tcPr>
            <w:tcW w:w="913" w:type="pct"/>
            <w:tcBorders>
              <w:top w:val="nil"/>
              <w:left w:val="nil"/>
              <w:bottom w:val="nil"/>
              <w:right w:val="nil"/>
            </w:tcBorders>
            <w:noWrap/>
            <w:vAlign w:val="center"/>
            <w:hideMark/>
          </w:tcPr>
          <w:p w14:paraId="2F30995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2.99</w:t>
            </w:r>
          </w:p>
        </w:tc>
        <w:tc>
          <w:tcPr>
            <w:tcW w:w="506" w:type="pct"/>
            <w:tcBorders>
              <w:top w:val="nil"/>
              <w:left w:val="nil"/>
              <w:bottom w:val="nil"/>
              <w:right w:val="nil"/>
            </w:tcBorders>
            <w:noWrap/>
            <w:vAlign w:val="center"/>
            <w:hideMark/>
          </w:tcPr>
          <w:p w14:paraId="7678078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0.121</w:t>
            </w:r>
          </w:p>
        </w:tc>
      </w:tr>
      <w:tr w:rsidR="00120B4F" w:rsidRPr="00BE5472" w14:paraId="549D3C6B" w14:textId="77777777" w:rsidTr="003C2F5B">
        <w:trPr>
          <w:trHeight w:val="315"/>
        </w:trPr>
        <w:tc>
          <w:tcPr>
            <w:tcW w:w="2249" w:type="pct"/>
            <w:tcBorders>
              <w:top w:val="single" w:sz="4" w:space="0" w:color="auto"/>
              <w:left w:val="nil"/>
              <w:bottom w:val="nil"/>
              <w:right w:val="nil"/>
            </w:tcBorders>
            <w:noWrap/>
            <w:vAlign w:val="bottom"/>
            <w:hideMark/>
          </w:tcPr>
          <w:p w14:paraId="65F6538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35F0093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0.58</w:t>
            </w:r>
          </w:p>
        </w:tc>
      </w:tr>
      <w:tr w:rsidR="00120B4F" w:rsidRPr="00BE5472" w14:paraId="787D3F40" w14:textId="77777777" w:rsidTr="003C2F5B">
        <w:trPr>
          <w:trHeight w:val="315"/>
        </w:trPr>
        <w:tc>
          <w:tcPr>
            <w:tcW w:w="2249" w:type="pct"/>
            <w:tcBorders>
              <w:top w:val="nil"/>
              <w:left w:val="nil"/>
              <w:bottom w:val="nil"/>
              <w:right w:val="nil"/>
            </w:tcBorders>
            <w:noWrap/>
            <w:vAlign w:val="bottom"/>
            <w:hideMark/>
          </w:tcPr>
          <w:p w14:paraId="2F23C7B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0AB2629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w:t>
            </w:r>
          </w:p>
        </w:tc>
      </w:tr>
      <w:tr w:rsidR="00120B4F" w:rsidRPr="00BE5472" w14:paraId="20D76611" w14:textId="77777777" w:rsidTr="003C2F5B">
        <w:trPr>
          <w:trHeight w:val="315"/>
        </w:trPr>
        <w:tc>
          <w:tcPr>
            <w:tcW w:w="2249" w:type="pct"/>
            <w:tcBorders>
              <w:top w:val="nil"/>
              <w:left w:val="nil"/>
              <w:bottom w:val="nil"/>
              <w:right w:val="nil"/>
            </w:tcBorders>
            <w:noWrap/>
            <w:vAlign w:val="bottom"/>
            <w:hideMark/>
          </w:tcPr>
          <w:p w14:paraId="77F078E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5F5A28A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w:t>
            </w:r>
          </w:p>
        </w:tc>
      </w:tr>
      <w:tr w:rsidR="00120B4F" w:rsidRPr="00BE5472" w14:paraId="4FED044D" w14:textId="77777777" w:rsidTr="003C2F5B">
        <w:trPr>
          <w:trHeight w:val="315"/>
        </w:trPr>
        <w:tc>
          <w:tcPr>
            <w:tcW w:w="2249" w:type="pct"/>
            <w:tcBorders>
              <w:top w:val="nil"/>
              <w:left w:val="nil"/>
              <w:bottom w:val="nil"/>
              <w:right w:val="nil"/>
            </w:tcBorders>
            <w:noWrap/>
            <w:vAlign w:val="bottom"/>
            <w:hideMark/>
          </w:tcPr>
          <w:p w14:paraId="02735F4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1F1A52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31F3E40F" w14:textId="77777777" w:rsidTr="003C2F5B">
        <w:trPr>
          <w:trHeight w:val="315"/>
        </w:trPr>
        <w:tc>
          <w:tcPr>
            <w:tcW w:w="2249" w:type="pct"/>
            <w:tcBorders>
              <w:top w:val="nil"/>
              <w:left w:val="nil"/>
              <w:bottom w:val="single" w:sz="4" w:space="0" w:color="auto"/>
              <w:right w:val="nil"/>
            </w:tcBorders>
            <w:noWrap/>
            <w:vAlign w:val="bottom"/>
            <w:hideMark/>
          </w:tcPr>
          <w:p w14:paraId="52CAEE8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4E2D110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7480E019" w14:textId="0D12B852"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0F221852" w14:textId="79F4AFC7"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dobit po dionici između razdoblja prije i nakon preuzimanja poduzeća (B = 43.24,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 -5.97, 97.46], p = .084).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-7.82,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[-15.20, -0.44], p = .038), pri čemu se pokazalo da dobit po dionici u prosjeku svake godine opada za 7.82 kn. Nadalje, nije utvrđena statistički značajna interakcija između statusa poduzeća i vremenskog trenda (B = -10.97,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[-12.92, 2.99], p = .121).</w:t>
      </w:r>
    </w:p>
    <w:p w14:paraId="2A0BB15F" w14:textId="77777777" w:rsidR="00120B4F" w:rsidRPr="00BE5472" w:rsidRDefault="00120B4F" w:rsidP="00490975">
      <w:pPr>
        <w:rPr>
          <w:rFonts w:ascii="Times New Roman" w:hAnsi="Times New Roman" w:cs="Times New Roman"/>
          <w:b/>
          <w:bCs/>
          <w:kern w:val="2"/>
          <w:sz w:val="24"/>
          <w14:ligatures w14:val="standardContextual"/>
        </w:rPr>
      </w:pPr>
      <w:bookmarkStart w:id="226" w:name="_Toc182495675"/>
      <w:r w:rsidRPr="00BE5472">
        <w:rPr>
          <w:rFonts w:ascii="Times New Roman" w:hAnsi="Times New Roman" w:cs="Times New Roman"/>
          <w:b/>
          <w:bCs/>
          <w:kern w:val="2"/>
          <w:sz w:val="24"/>
          <w14:ligatures w14:val="standardContextual"/>
        </w:rPr>
        <w:lastRenderedPageBreak/>
        <w:t>Dividenda po dionici</w:t>
      </w:r>
      <w:bookmarkEnd w:id="226"/>
    </w:p>
    <w:p w14:paraId="1DA04A1A" w14:textId="103360A9"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6</w:t>
      </w:r>
      <w:r w:rsidRPr="00BE5472">
        <w:rPr>
          <w:rFonts w:ascii="Times New Roman" w:hAnsi="Times New Roman" w:cs="Times New Roman"/>
          <w:kern w:val="2"/>
          <w:sz w:val="24"/>
          <w14:ligatures w14:val="standardContextual"/>
        </w:rPr>
        <w:t xml:space="preserve"> prikazani su rezultati testiranja razlike u visini pokazatelja dividenda po dionici prije i nakon preuzimanja poduzeća. </w:t>
      </w:r>
    </w:p>
    <w:p w14:paraId="294790F4" w14:textId="3AA21C8B" w:rsidR="00120B4F" w:rsidRPr="00E1098E" w:rsidRDefault="00E1098E" w:rsidP="00E1098E">
      <w:pPr>
        <w:pStyle w:val="Caption"/>
        <w:rPr>
          <w:rFonts w:ascii="Times New Roman" w:hAnsi="Times New Roman" w:cs="Times New Roman"/>
          <w:kern w:val="2"/>
          <w:sz w:val="24"/>
          <w:szCs w:val="24"/>
          <w14:ligatures w14:val="standardContextual"/>
        </w:rPr>
      </w:pPr>
      <w:bookmarkStart w:id="227" w:name="_Toc241865250"/>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56</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2F16C5" w:rsidRPr="00E1098E">
        <w:rPr>
          <w:rFonts w:ascii="Times New Roman" w:hAnsi="Times New Roman" w:cs="Times New Roman"/>
          <w:kern w:val="2"/>
          <w:sz w:val="24"/>
          <w:szCs w:val="24"/>
          <w14:ligatures w14:val="standardContextual"/>
        </w:rPr>
        <w:t>d</w:t>
      </w:r>
      <w:r w:rsidR="00120B4F" w:rsidRPr="00E1098E">
        <w:rPr>
          <w:rFonts w:ascii="Times New Roman" w:hAnsi="Times New Roman" w:cs="Times New Roman"/>
          <w:kern w:val="2"/>
          <w:sz w:val="24"/>
          <w:szCs w:val="24"/>
          <w14:ligatures w14:val="standardContextual"/>
        </w:rPr>
        <w:t>ividendi po dionici prije i nakon procesa preuzimanja poduzeća</w:t>
      </w:r>
      <w:bookmarkEnd w:id="227"/>
    </w:p>
    <w:tbl>
      <w:tblPr>
        <w:tblW w:w="5000" w:type="pct"/>
        <w:tblLook w:val="04A0" w:firstRow="1" w:lastRow="0" w:firstColumn="1" w:lastColumn="0" w:noHBand="0" w:noVBand="1"/>
      </w:tblPr>
      <w:tblGrid>
        <w:gridCol w:w="4061"/>
        <w:gridCol w:w="836"/>
        <w:gridCol w:w="1569"/>
        <w:gridCol w:w="1649"/>
        <w:gridCol w:w="914"/>
      </w:tblGrid>
      <w:tr w:rsidR="00120B4F" w:rsidRPr="00BE5472" w14:paraId="30ACA7BA" w14:textId="77777777" w:rsidTr="003C2F5B">
        <w:trPr>
          <w:trHeight w:val="315"/>
        </w:trPr>
        <w:tc>
          <w:tcPr>
            <w:tcW w:w="2249" w:type="pct"/>
            <w:tcBorders>
              <w:top w:val="nil"/>
              <w:left w:val="nil"/>
              <w:bottom w:val="nil"/>
              <w:right w:val="nil"/>
            </w:tcBorders>
            <w:noWrap/>
            <w:vAlign w:val="bottom"/>
            <w:hideMark/>
          </w:tcPr>
          <w:p w14:paraId="39909B63"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3" w:type="pct"/>
            <w:tcBorders>
              <w:top w:val="single" w:sz="4" w:space="0" w:color="auto"/>
              <w:left w:val="nil"/>
              <w:bottom w:val="nil"/>
              <w:right w:val="nil"/>
            </w:tcBorders>
            <w:noWrap/>
            <w:vAlign w:val="center"/>
            <w:hideMark/>
          </w:tcPr>
          <w:p w14:paraId="7BA5E80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26C31DD3" w14:textId="48DB31FB"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2F16C5"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6" w:type="pct"/>
            <w:tcBorders>
              <w:top w:val="single" w:sz="4" w:space="0" w:color="auto"/>
              <w:left w:val="nil"/>
              <w:bottom w:val="nil"/>
              <w:right w:val="nil"/>
            </w:tcBorders>
            <w:noWrap/>
            <w:vAlign w:val="center"/>
            <w:hideMark/>
          </w:tcPr>
          <w:p w14:paraId="265BF4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09EC9896" w14:textId="77777777" w:rsidTr="003C2F5B">
        <w:trPr>
          <w:trHeight w:val="315"/>
        </w:trPr>
        <w:tc>
          <w:tcPr>
            <w:tcW w:w="2249" w:type="pct"/>
            <w:tcBorders>
              <w:top w:val="single" w:sz="4" w:space="0" w:color="auto"/>
              <w:left w:val="nil"/>
              <w:bottom w:val="single" w:sz="4" w:space="0" w:color="auto"/>
              <w:right w:val="nil"/>
            </w:tcBorders>
            <w:noWrap/>
            <w:vAlign w:val="bottom"/>
            <w:hideMark/>
          </w:tcPr>
          <w:p w14:paraId="6AAB4A7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3" w:type="pct"/>
            <w:tcBorders>
              <w:top w:val="single" w:sz="4" w:space="0" w:color="auto"/>
              <w:left w:val="nil"/>
              <w:bottom w:val="single" w:sz="4" w:space="0" w:color="auto"/>
              <w:right w:val="nil"/>
            </w:tcBorders>
            <w:noWrap/>
            <w:vAlign w:val="center"/>
            <w:hideMark/>
          </w:tcPr>
          <w:p w14:paraId="48554E9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0BB3CA2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0B5ED37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6" w:type="pct"/>
            <w:tcBorders>
              <w:top w:val="single" w:sz="4" w:space="0" w:color="auto"/>
              <w:left w:val="nil"/>
              <w:bottom w:val="single" w:sz="4" w:space="0" w:color="auto"/>
              <w:right w:val="nil"/>
            </w:tcBorders>
            <w:noWrap/>
            <w:vAlign w:val="center"/>
            <w:hideMark/>
          </w:tcPr>
          <w:p w14:paraId="4FE471B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0FF929C1" w14:textId="77777777" w:rsidTr="003C2F5B">
        <w:trPr>
          <w:trHeight w:val="315"/>
        </w:trPr>
        <w:tc>
          <w:tcPr>
            <w:tcW w:w="2249" w:type="pct"/>
            <w:tcBorders>
              <w:top w:val="nil"/>
              <w:left w:val="nil"/>
              <w:bottom w:val="nil"/>
              <w:right w:val="nil"/>
            </w:tcBorders>
            <w:noWrap/>
            <w:vAlign w:val="bottom"/>
            <w:hideMark/>
          </w:tcPr>
          <w:p w14:paraId="54A6710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3" w:type="pct"/>
            <w:tcBorders>
              <w:top w:val="nil"/>
              <w:left w:val="nil"/>
              <w:bottom w:val="nil"/>
              <w:right w:val="nil"/>
            </w:tcBorders>
            <w:noWrap/>
            <w:vAlign w:val="center"/>
            <w:hideMark/>
          </w:tcPr>
          <w:p w14:paraId="104C19A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6.85</w:t>
            </w:r>
          </w:p>
        </w:tc>
        <w:tc>
          <w:tcPr>
            <w:tcW w:w="869" w:type="pct"/>
            <w:tcBorders>
              <w:top w:val="nil"/>
              <w:left w:val="nil"/>
              <w:bottom w:val="nil"/>
              <w:right w:val="nil"/>
            </w:tcBorders>
            <w:noWrap/>
            <w:vAlign w:val="center"/>
            <w:hideMark/>
          </w:tcPr>
          <w:p w14:paraId="527FEC6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-13.56</w:t>
            </w:r>
          </w:p>
        </w:tc>
        <w:tc>
          <w:tcPr>
            <w:tcW w:w="913" w:type="pct"/>
            <w:tcBorders>
              <w:top w:val="nil"/>
              <w:left w:val="nil"/>
              <w:bottom w:val="nil"/>
              <w:right w:val="nil"/>
            </w:tcBorders>
            <w:noWrap/>
            <w:vAlign w:val="center"/>
            <w:hideMark/>
          </w:tcPr>
          <w:p w14:paraId="109D577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27.26</w:t>
            </w:r>
          </w:p>
        </w:tc>
        <w:tc>
          <w:tcPr>
            <w:tcW w:w="506" w:type="pct"/>
            <w:tcBorders>
              <w:top w:val="nil"/>
              <w:left w:val="nil"/>
              <w:bottom w:val="nil"/>
              <w:right w:val="nil"/>
            </w:tcBorders>
            <w:noWrap/>
            <w:vAlign w:val="center"/>
            <w:hideMark/>
          </w:tcPr>
          <w:p w14:paraId="7F30D8C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0.497</w:t>
            </w:r>
          </w:p>
        </w:tc>
      </w:tr>
      <w:tr w:rsidR="00120B4F" w:rsidRPr="00BE5472" w14:paraId="260E00F7" w14:textId="77777777" w:rsidTr="003C2F5B">
        <w:trPr>
          <w:trHeight w:val="315"/>
        </w:trPr>
        <w:tc>
          <w:tcPr>
            <w:tcW w:w="2249" w:type="pct"/>
            <w:tcBorders>
              <w:top w:val="nil"/>
              <w:left w:val="nil"/>
              <w:bottom w:val="nil"/>
              <w:right w:val="nil"/>
            </w:tcBorders>
            <w:noWrap/>
            <w:vAlign w:val="bottom"/>
            <w:hideMark/>
          </w:tcPr>
          <w:p w14:paraId="64C3947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3" w:type="pct"/>
            <w:tcBorders>
              <w:top w:val="nil"/>
              <w:left w:val="nil"/>
              <w:bottom w:val="nil"/>
              <w:right w:val="nil"/>
            </w:tcBorders>
            <w:noWrap/>
            <w:vAlign w:val="center"/>
            <w:hideMark/>
          </w:tcPr>
          <w:p w14:paraId="3E23CB1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5.01</w:t>
            </w:r>
          </w:p>
        </w:tc>
        <w:tc>
          <w:tcPr>
            <w:tcW w:w="869" w:type="pct"/>
            <w:tcBorders>
              <w:top w:val="nil"/>
              <w:left w:val="nil"/>
              <w:bottom w:val="nil"/>
              <w:right w:val="nil"/>
            </w:tcBorders>
            <w:noWrap/>
            <w:vAlign w:val="center"/>
            <w:hideMark/>
          </w:tcPr>
          <w:p w14:paraId="7E33D34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-1.52</w:t>
            </w:r>
          </w:p>
        </w:tc>
        <w:tc>
          <w:tcPr>
            <w:tcW w:w="913" w:type="pct"/>
            <w:tcBorders>
              <w:top w:val="nil"/>
              <w:left w:val="nil"/>
              <w:bottom w:val="nil"/>
              <w:right w:val="nil"/>
            </w:tcBorders>
            <w:noWrap/>
            <w:vAlign w:val="center"/>
            <w:hideMark/>
          </w:tcPr>
          <w:p w14:paraId="253C358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11.53</w:t>
            </w:r>
          </w:p>
        </w:tc>
        <w:tc>
          <w:tcPr>
            <w:tcW w:w="506" w:type="pct"/>
            <w:tcBorders>
              <w:top w:val="nil"/>
              <w:left w:val="nil"/>
              <w:bottom w:val="nil"/>
              <w:right w:val="nil"/>
            </w:tcBorders>
            <w:noWrap/>
            <w:vAlign w:val="center"/>
            <w:hideMark/>
          </w:tcPr>
          <w:p w14:paraId="11DEA93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0.127</w:t>
            </w:r>
          </w:p>
        </w:tc>
      </w:tr>
      <w:tr w:rsidR="00120B4F" w:rsidRPr="00BE5472" w14:paraId="5B3615DE" w14:textId="77777777" w:rsidTr="003C2F5B">
        <w:trPr>
          <w:trHeight w:val="315"/>
        </w:trPr>
        <w:tc>
          <w:tcPr>
            <w:tcW w:w="2249" w:type="pct"/>
            <w:tcBorders>
              <w:top w:val="nil"/>
              <w:left w:val="nil"/>
              <w:bottom w:val="nil"/>
              <w:right w:val="nil"/>
            </w:tcBorders>
            <w:noWrap/>
            <w:vAlign w:val="bottom"/>
            <w:hideMark/>
          </w:tcPr>
          <w:p w14:paraId="0247CBB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3" w:type="pct"/>
            <w:tcBorders>
              <w:top w:val="nil"/>
              <w:left w:val="nil"/>
              <w:bottom w:val="nil"/>
              <w:right w:val="nil"/>
            </w:tcBorders>
            <w:noWrap/>
            <w:vAlign w:val="center"/>
            <w:hideMark/>
          </w:tcPr>
          <w:p w14:paraId="175FDA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32.23</w:t>
            </w:r>
          </w:p>
        </w:tc>
        <w:tc>
          <w:tcPr>
            <w:tcW w:w="869" w:type="pct"/>
            <w:tcBorders>
              <w:top w:val="nil"/>
              <w:left w:val="nil"/>
              <w:bottom w:val="nil"/>
              <w:right w:val="nil"/>
            </w:tcBorders>
            <w:noWrap/>
            <w:vAlign w:val="center"/>
            <w:hideMark/>
          </w:tcPr>
          <w:p w14:paraId="534DDC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12.76</w:t>
            </w:r>
          </w:p>
        </w:tc>
        <w:tc>
          <w:tcPr>
            <w:tcW w:w="913" w:type="pct"/>
            <w:tcBorders>
              <w:top w:val="nil"/>
              <w:left w:val="nil"/>
              <w:bottom w:val="nil"/>
              <w:right w:val="nil"/>
            </w:tcBorders>
            <w:noWrap/>
            <w:vAlign w:val="center"/>
            <w:hideMark/>
          </w:tcPr>
          <w:p w14:paraId="6D12263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51.70</w:t>
            </w:r>
          </w:p>
        </w:tc>
        <w:tc>
          <w:tcPr>
            <w:tcW w:w="506" w:type="pct"/>
            <w:tcBorders>
              <w:top w:val="nil"/>
              <w:left w:val="nil"/>
              <w:bottom w:val="nil"/>
              <w:right w:val="nil"/>
            </w:tcBorders>
            <w:noWrap/>
            <w:vAlign w:val="center"/>
            <w:hideMark/>
          </w:tcPr>
          <w:p w14:paraId="6C502F5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0.002</w:t>
            </w:r>
          </w:p>
        </w:tc>
      </w:tr>
      <w:tr w:rsidR="00120B4F" w:rsidRPr="00BE5472" w14:paraId="10CB4CDC" w14:textId="77777777" w:rsidTr="003C2F5B">
        <w:trPr>
          <w:trHeight w:val="315"/>
        </w:trPr>
        <w:tc>
          <w:tcPr>
            <w:tcW w:w="2249" w:type="pct"/>
            <w:tcBorders>
              <w:top w:val="nil"/>
              <w:left w:val="nil"/>
              <w:bottom w:val="nil"/>
              <w:right w:val="nil"/>
            </w:tcBorders>
            <w:noWrap/>
            <w:vAlign w:val="center"/>
            <w:hideMark/>
          </w:tcPr>
          <w:p w14:paraId="44F1D51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3" w:type="pct"/>
            <w:tcBorders>
              <w:top w:val="nil"/>
              <w:left w:val="nil"/>
              <w:bottom w:val="nil"/>
              <w:right w:val="nil"/>
            </w:tcBorders>
            <w:noWrap/>
            <w:vAlign w:val="center"/>
            <w:hideMark/>
          </w:tcPr>
          <w:p w14:paraId="0C87CA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-12.33</w:t>
            </w:r>
          </w:p>
        </w:tc>
        <w:tc>
          <w:tcPr>
            <w:tcW w:w="869" w:type="pct"/>
            <w:tcBorders>
              <w:top w:val="nil"/>
              <w:left w:val="nil"/>
              <w:bottom w:val="nil"/>
              <w:right w:val="nil"/>
            </w:tcBorders>
            <w:noWrap/>
            <w:vAlign w:val="center"/>
            <w:hideMark/>
          </w:tcPr>
          <w:p w14:paraId="507D4F8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-53.96</w:t>
            </w:r>
          </w:p>
        </w:tc>
        <w:tc>
          <w:tcPr>
            <w:tcW w:w="913" w:type="pct"/>
            <w:tcBorders>
              <w:top w:val="nil"/>
              <w:left w:val="nil"/>
              <w:bottom w:val="nil"/>
              <w:right w:val="nil"/>
            </w:tcBorders>
            <w:noWrap/>
            <w:vAlign w:val="center"/>
            <w:hideMark/>
          </w:tcPr>
          <w:p w14:paraId="7260DB6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29.30</w:t>
            </w:r>
          </w:p>
        </w:tc>
        <w:tc>
          <w:tcPr>
            <w:tcW w:w="506" w:type="pct"/>
            <w:tcBorders>
              <w:top w:val="nil"/>
              <w:left w:val="nil"/>
              <w:bottom w:val="nil"/>
              <w:right w:val="nil"/>
            </w:tcBorders>
            <w:noWrap/>
            <w:vAlign w:val="center"/>
            <w:hideMark/>
          </w:tcPr>
          <w:p w14:paraId="08CF390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0.549</w:t>
            </w:r>
          </w:p>
        </w:tc>
      </w:tr>
      <w:tr w:rsidR="00120B4F" w:rsidRPr="00BE5472" w14:paraId="32EC3319" w14:textId="77777777" w:rsidTr="003C2F5B">
        <w:trPr>
          <w:trHeight w:val="315"/>
        </w:trPr>
        <w:tc>
          <w:tcPr>
            <w:tcW w:w="2249" w:type="pct"/>
            <w:tcBorders>
              <w:top w:val="nil"/>
              <w:left w:val="nil"/>
              <w:bottom w:val="nil"/>
              <w:right w:val="nil"/>
            </w:tcBorders>
            <w:noWrap/>
            <w:vAlign w:val="center"/>
            <w:hideMark/>
          </w:tcPr>
          <w:p w14:paraId="625057C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3" w:type="pct"/>
            <w:tcBorders>
              <w:top w:val="nil"/>
              <w:left w:val="nil"/>
              <w:bottom w:val="nil"/>
              <w:right w:val="nil"/>
            </w:tcBorders>
            <w:noWrap/>
            <w:vAlign w:val="center"/>
            <w:hideMark/>
          </w:tcPr>
          <w:p w14:paraId="3F4569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9.37</w:t>
            </w:r>
          </w:p>
        </w:tc>
        <w:tc>
          <w:tcPr>
            <w:tcW w:w="869" w:type="pct"/>
            <w:tcBorders>
              <w:top w:val="nil"/>
              <w:left w:val="nil"/>
              <w:bottom w:val="nil"/>
              <w:right w:val="nil"/>
            </w:tcBorders>
            <w:noWrap/>
            <w:vAlign w:val="center"/>
            <w:hideMark/>
          </w:tcPr>
          <w:p w14:paraId="64E9800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-3.38</w:t>
            </w:r>
          </w:p>
        </w:tc>
        <w:tc>
          <w:tcPr>
            <w:tcW w:w="913" w:type="pct"/>
            <w:tcBorders>
              <w:top w:val="nil"/>
              <w:left w:val="nil"/>
              <w:bottom w:val="nil"/>
              <w:right w:val="nil"/>
            </w:tcBorders>
            <w:noWrap/>
            <w:vAlign w:val="center"/>
            <w:hideMark/>
          </w:tcPr>
          <w:p w14:paraId="6CE0ECF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22.11</w:t>
            </w:r>
          </w:p>
        </w:tc>
        <w:tc>
          <w:tcPr>
            <w:tcW w:w="506" w:type="pct"/>
            <w:tcBorders>
              <w:top w:val="nil"/>
              <w:left w:val="nil"/>
              <w:bottom w:val="nil"/>
              <w:right w:val="nil"/>
            </w:tcBorders>
            <w:noWrap/>
            <w:vAlign w:val="center"/>
            <w:hideMark/>
          </w:tcPr>
          <w:p w14:paraId="0BF0E0C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0.143</w:t>
            </w:r>
          </w:p>
        </w:tc>
      </w:tr>
      <w:tr w:rsidR="00120B4F" w:rsidRPr="00BE5472" w14:paraId="094CF1B5" w14:textId="77777777" w:rsidTr="003C2F5B">
        <w:trPr>
          <w:trHeight w:val="315"/>
        </w:trPr>
        <w:tc>
          <w:tcPr>
            <w:tcW w:w="2249" w:type="pct"/>
            <w:tcBorders>
              <w:top w:val="single" w:sz="4" w:space="0" w:color="auto"/>
              <w:left w:val="nil"/>
              <w:bottom w:val="nil"/>
              <w:right w:val="nil"/>
            </w:tcBorders>
            <w:noWrap/>
            <w:vAlign w:val="bottom"/>
            <w:hideMark/>
          </w:tcPr>
          <w:p w14:paraId="2A7102C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4C8444B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w:t>
            </w:r>
          </w:p>
        </w:tc>
      </w:tr>
      <w:tr w:rsidR="00120B4F" w:rsidRPr="00BE5472" w14:paraId="568C27E2" w14:textId="77777777" w:rsidTr="003C2F5B">
        <w:trPr>
          <w:trHeight w:val="315"/>
        </w:trPr>
        <w:tc>
          <w:tcPr>
            <w:tcW w:w="2249" w:type="pct"/>
            <w:tcBorders>
              <w:top w:val="nil"/>
              <w:left w:val="nil"/>
              <w:bottom w:val="nil"/>
              <w:right w:val="nil"/>
            </w:tcBorders>
            <w:noWrap/>
            <w:vAlign w:val="bottom"/>
            <w:hideMark/>
          </w:tcPr>
          <w:p w14:paraId="67E15C5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4BA00F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w:t>
            </w:r>
          </w:p>
        </w:tc>
      </w:tr>
      <w:tr w:rsidR="00120B4F" w:rsidRPr="00BE5472" w14:paraId="3A01C87E" w14:textId="77777777" w:rsidTr="003C2F5B">
        <w:trPr>
          <w:trHeight w:val="315"/>
        </w:trPr>
        <w:tc>
          <w:tcPr>
            <w:tcW w:w="2249" w:type="pct"/>
            <w:tcBorders>
              <w:top w:val="nil"/>
              <w:left w:val="nil"/>
              <w:bottom w:val="nil"/>
              <w:right w:val="nil"/>
            </w:tcBorders>
            <w:noWrap/>
            <w:vAlign w:val="bottom"/>
            <w:hideMark/>
          </w:tcPr>
          <w:p w14:paraId="59E2EA3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713FDCA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6F2B37F9" w14:textId="77777777" w:rsidTr="003C2F5B">
        <w:trPr>
          <w:trHeight w:val="315"/>
        </w:trPr>
        <w:tc>
          <w:tcPr>
            <w:tcW w:w="2249" w:type="pct"/>
            <w:tcBorders>
              <w:top w:val="nil"/>
              <w:left w:val="nil"/>
              <w:bottom w:val="nil"/>
              <w:right w:val="nil"/>
            </w:tcBorders>
            <w:noWrap/>
            <w:vAlign w:val="bottom"/>
            <w:hideMark/>
          </w:tcPr>
          <w:p w14:paraId="7175561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3D75E6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4C9DCE57" w14:textId="77777777" w:rsidTr="003C2F5B">
        <w:trPr>
          <w:trHeight w:val="315"/>
        </w:trPr>
        <w:tc>
          <w:tcPr>
            <w:tcW w:w="2249" w:type="pct"/>
            <w:tcBorders>
              <w:top w:val="nil"/>
              <w:left w:val="nil"/>
              <w:bottom w:val="single" w:sz="4" w:space="0" w:color="auto"/>
              <w:right w:val="nil"/>
            </w:tcBorders>
            <w:noWrap/>
            <w:vAlign w:val="bottom"/>
            <w:hideMark/>
          </w:tcPr>
          <w:p w14:paraId="680F30E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29D432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w:t>
            </w:r>
          </w:p>
        </w:tc>
      </w:tr>
    </w:tbl>
    <w:p w14:paraId="5D01B94B" w14:textId="100E6EF5"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262E5C59" w14:textId="2B65190B"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dividenda po dionici između razdoblja prije i nakon preuzimanja poduzeća (B = -12.33, 95</w:t>
      </w:r>
      <w:r w:rsidR="002F16C5"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[ 53.96, 29.30], p = .549), nije utvrđen statistički značajan vremenski trend (B = 5.01, 95%  CI [-1.52, 11.53], p = .127), te nije utvrđena statistički značajna interakcija između statusa poduzeća i vremenskog trenda (B = 9.37, 95%  CI [-3.38, 22.11], p = .143).</w:t>
      </w:r>
    </w:p>
    <w:p w14:paraId="5B997D99" w14:textId="77777777" w:rsidR="00120B4F" w:rsidRPr="00BE5472" w:rsidRDefault="00120B4F" w:rsidP="00120B4F">
      <w:pPr>
        <w:spacing w:line="360" w:lineRule="auto"/>
        <w:rPr>
          <w:rFonts w:ascii="Times New Roman" w:hAnsi="Times New Roman" w:cs="Times New Roman"/>
          <w:kern w:val="2"/>
          <w:sz w:val="24"/>
          <w14:ligatures w14:val="standardContextual"/>
        </w:rPr>
      </w:pPr>
    </w:p>
    <w:p w14:paraId="2A744A6C"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4A57E408" w14:textId="77777777" w:rsidR="00120B4F" w:rsidRPr="00BE5472" w:rsidRDefault="00120B4F" w:rsidP="00490975">
      <w:pPr>
        <w:rPr>
          <w:rFonts w:ascii="Times New Roman" w:hAnsi="Times New Roman" w:cs="Times New Roman"/>
          <w:b/>
          <w:bCs/>
          <w:kern w:val="2"/>
          <w:sz w:val="24"/>
          <w14:ligatures w14:val="standardContextual"/>
        </w:rPr>
      </w:pPr>
      <w:bookmarkStart w:id="228" w:name="_Toc182495676"/>
      <w:r w:rsidRPr="00BE5472">
        <w:rPr>
          <w:rFonts w:ascii="Times New Roman" w:hAnsi="Times New Roman" w:cs="Times New Roman"/>
          <w:b/>
          <w:bCs/>
          <w:kern w:val="2"/>
          <w:sz w:val="24"/>
          <w14:ligatures w14:val="standardContextual"/>
        </w:rPr>
        <w:lastRenderedPageBreak/>
        <w:t>Tržišni udio</w:t>
      </w:r>
      <w:bookmarkEnd w:id="228"/>
    </w:p>
    <w:p w14:paraId="28D3D5BC" w14:textId="62EDAC9F"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7</w:t>
      </w:r>
      <w:r w:rsidRPr="00BE5472">
        <w:rPr>
          <w:rFonts w:ascii="Times New Roman" w:hAnsi="Times New Roman" w:cs="Times New Roman"/>
          <w:kern w:val="2"/>
          <w:sz w:val="24"/>
          <w14:ligatures w14:val="standardContextual"/>
        </w:rPr>
        <w:t xml:space="preserve"> prikazani su rezultati testiranja razlike u visini pokazatelja tržišni udio prije i nakon preuzimanja poduzeća. </w:t>
      </w:r>
    </w:p>
    <w:p w14:paraId="61BB4411" w14:textId="3764734D" w:rsidR="00120B4F" w:rsidRPr="00E1098E" w:rsidRDefault="00E1098E" w:rsidP="00E1098E">
      <w:pPr>
        <w:pStyle w:val="Caption"/>
        <w:rPr>
          <w:rFonts w:ascii="Times New Roman" w:hAnsi="Times New Roman" w:cs="Times New Roman"/>
          <w:kern w:val="2"/>
          <w:sz w:val="24"/>
          <w:szCs w:val="24"/>
          <w14:ligatures w14:val="standardContextual"/>
        </w:rPr>
      </w:pPr>
      <w:bookmarkStart w:id="229" w:name="_Toc24186525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57</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07037B" w:rsidRPr="00E1098E">
        <w:rPr>
          <w:rFonts w:ascii="Times New Roman" w:hAnsi="Times New Roman" w:cs="Times New Roman"/>
          <w:kern w:val="2"/>
          <w:sz w:val="24"/>
          <w:szCs w:val="24"/>
          <w14:ligatures w14:val="standardContextual"/>
        </w:rPr>
        <w:t>t</w:t>
      </w:r>
      <w:r w:rsidR="00120B4F" w:rsidRPr="00E1098E">
        <w:rPr>
          <w:rFonts w:ascii="Times New Roman" w:hAnsi="Times New Roman" w:cs="Times New Roman"/>
          <w:kern w:val="2"/>
          <w:sz w:val="24"/>
          <w:szCs w:val="24"/>
          <w14:ligatures w14:val="standardContextual"/>
        </w:rPr>
        <w:t>ržišnom udjelu prije i nakon procesa preuzimanja poduzeća</w:t>
      </w:r>
      <w:bookmarkEnd w:id="229"/>
    </w:p>
    <w:tbl>
      <w:tblPr>
        <w:tblW w:w="5000" w:type="pct"/>
        <w:tblLook w:val="04A0" w:firstRow="1" w:lastRow="0" w:firstColumn="1" w:lastColumn="0" w:noHBand="0" w:noVBand="1"/>
      </w:tblPr>
      <w:tblGrid>
        <w:gridCol w:w="4062"/>
        <w:gridCol w:w="832"/>
        <w:gridCol w:w="1569"/>
        <w:gridCol w:w="1649"/>
        <w:gridCol w:w="917"/>
      </w:tblGrid>
      <w:tr w:rsidR="00120B4F" w:rsidRPr="00BE5472" w14:paraId="196FD432" w14:textId="77777777" w:rsidTr="003C2F5B">
        <w:trPr>
          <w:trHeight w:val="315"/>
        </w:trPr>
        <w:tc>
          <w:tcPr>
            <w:tcW w:w="2249" w:type="pct"/>
            <w:tcBorders>
              <w:top w:val="nil"/>
              <w:left w:val="nil"/>
              <w:bottom w:val="nil"/>
              <w:right w:val="nil"/>
            </w:tcBorders>
            <w:noWrap/>
            <w:vAlign w:val="bottom"/>
            <w:hideMark/>
          </w:tcPr>
          <w:p w14:paraId="682F37E9"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461" w:type="pct"/>
            <w:tcBorders>
              <w:top w:val="single" w:sz="4" w:space="0" w:color="auto"/>
              <w:left w:val="nil"/>
              <w:bottom w:val="nil"/>
              <w:right w:val="nil"/>
            </w:tcBorders>
            <w:noWrap/>
            <w:vAlign w:val="center"/>
            <w:hideMark/>
          </w:tcPr>
          <w:p w14:paraId="7680C98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782" w:type="pct"/>
            <w:gridSpan w:val="2"/>
            <w:tcBorders>
              <w:top w:val="single" w:sz="4" w:space="0" w:color="auto"/>
              <w:left w:val="nil"/>
              <w:bottom w:val="nil"/>
              <w:right w:val="nil"/>
            </w:tcBorders>
            <w:noWrap/>
            <w:vAlign w:val="center"/>
            <w:hideMark/>
          </w:tcPr>
          <w:p w14:paraId="45BFF864" w14:textId="607E865F"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633289"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508" w:type="pct"/>
            <w:tcBorders>
              <w:top w:val="single" w:sz="4" w:space="0" w:color="auto"/>
              <w:left w:val="nil"/>
              <w:bottom w:val="nil"/>
              <w:right w:val="nil"/>
            </w:tcBorders>
            <w:noWrap/>
            <w:vAlign w:val="center"/>
            <w:hideMark/>
          </w:tcPr>
          <w:p w14:paraId="70A8DE9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4C7961E3" w14:textId="77777777" w:rsidTr="003C2F5B">
        <w:trPr>
          <w:trHeight w:val="315"/>
        </w:trPr>
        <w:tc>
          <w:tcPr>
            <w:tcW w:w="2249" w:type="pct"/>
            <w:tcBorders>
              <w:top w:val="single" w:sz="4" w:space="0" w:color="auto"/>
              <w:left w:val="nil"/>
              <w:bottom w:val="single" w:sz="4" w:space="0" w:color="auto"/>
              <w:right w:val="nil"/>
            </w:tcBorders>
            <w:noWrap/>
            <w:vAlign w:val="bottom"/>
            <w:hideMark/>
          </w:tcPr>
          <w:p w14:paraId="722C428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461" w:type="pct"/>
            <w:tcBorders>
              <w:top w:val="single" w:sz="4" w:space="0" w:color="auto"/>
              <w:left w:val="nil"/>
              <w:bottom w:val="single" w:sz="4" w:space="0" w:color="auto"/>
              <w:right w:val="nil"/>
            </w:tcBorders>
            <w:noWrap/>
            <w:vAlign w:val="center"/>
            <w:hideMark/>
          </w:tcPr>
          <w:p w14:paraId="270110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869" w:type="pct"/>
            <w:tcBorders>
              <w:top w:val="single" w:sz="4" w:space="0" w:color="auto"/>
              <w:left w:val="nil"/>
              <w:bottom w:val="single" w:sz="4" w:space="0" w:color="auto"/>
              <w:right w:val="nil"/>
            </w:tcBorders>
            <w:noWrap/>
            <w:vAlign w:val="center"/>
            <w:hideMark/>
          </w:tcPr>
          <w:p w14:paraId="6ECFE3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13" w:type="pct"/>
            <w:tcBorders>
              <w:top w:val="single" w:sz="4" w:space="0" w:color="auto"/>
              <w:left w:val="nil"/>
              <w:bottom w:val="single" w:sz="4" w:space="0" w:color="auto"/>
              <w:right w:val="nil"/>
            </w:tcBorders>
            <w:noWrap/>
            <w:vAlign w:val="center"/>
            <w:hideMark/>
          </w:tcPr>
          <w:p w14:paraId="386A0A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508" w:type="pct"/>
            <w:tcBorders>
              <w:top w:val="single" w:sz="4" w:space="0" w:color="auto"/>
              <w:left w:val="nil"/>
              <w:bottom w:val="single" w:sz="4" w:space="0" w:color="auto"/>
              <w:right w:val="nil"/>
            </w:tcBorders>
            <w:noWrap/>
            <w:vAlign w:val="center"/>
            <w:hideMark/>
          </w:tcPr>
          <w:p w14:paraId="571E9C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9855F42" w14:textId="77777777" w:rsidTr="003C2F5B">
        <w:trPr>
          <w:trHeight w:val="315"/>
        </w:trPr>
        <w:tc>
          <w:tcPr>
            <w:tcW w:w="2249" w:type="pct"/>
            <w:tcBorders>
              <w:top w:val="nil"/>
              <w:left w:val="nil"/>
              <w:bottom w:val="nil"/>
              <w:right w:val="nil"/>
            </w:tcBorders>
            <w:noWrap/>
            <w:vAlign w:val="bottom"/>
            <w:hideMark/>
          </w:tcPr>
          <w:p w14:paraId="67AD225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461" w:type="pct"/>
            <w:tcBorders>
              <w:top w:val="nil"/>
              <w:left w:val="nil"/>
              <w:bottom w:val="nil"/>
              <w:right w:val="nil"/>
            </w:tcBorders>
            <w:noWrap/>
            <w:vAlign w:val="center"/>
            <w:hideMark/>
          </w:tcPr>
          <w:p w14:paraId="780B84D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7.89</w:t>
            </w:r>
          </w:p>
        </w:tc>
        <w:tc>
          <w:tcPr>
            <w:tcW w:w="869" w:type="pct"/>
            <w:tcBorders>
              <w:top w:val="nil"/>
              <w:left w:val="nil"/>
              <w:bottom w:val="nil"/>
              <w:right w:val="nil"/>
            </w:tcBorders>
            <w:noWrap/>
            <w:vAlign w:val="center"/>
            <w:hideMark/>
          </w:tcPr>
          <w:p w14:paraId="6CF474D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4.04</w:t>
            </w:r>
          </w:p>
        </w:tc>
        <w:tc>
          <w:tcPr>
            <w:tcW w:w="913" w:type="pct"/>
            <w:tcBorders>
              <w:top w:val="nil"/>
              <w:left w:val="nil"/>
              <w:bottom w:val="nil"/>
              <w:right w:val="nil"/>
            </w:tcBorders>
            <w:noWrap/>
            <w:vAlign w:val="center"/>
            <w:hideMark/>
          </w:tcPr>
          <w:p w14:paraId="793327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11.74</w:t>
            </w:r>
          </w:p>
        </w:tc>
        <w:tc>
          <w:tcPr>
            <w:tcW w:w="508" w:type="pct"/>
            <w:tcBorders>
              <w:top w:val="nil"/>
              <w:left w:val="nil"/>
              <w:bottom w:val="nil"/>
              <w:right w:val="nil"/>
            </w:tcBorders>
            <w:noWrap/>
            <w:vAlign w:val="center"/>
            <w:hideMark/>
          </w:tcPr>
          <w:p w14:paraId="3A75F0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0.019</w:t>
            </w:r>
          </w:p>
        </w:tc>
      </w:tr>
      <w:tr w:rsidR="00120B4F" w:rsidRPr="00BE5472" w14:paraId="7C7D186A" w14:textId="77777777" w:rsidTr="003C2F5B">
        <w:trPr>
          <w:trHeight w:val="315"/>
        </w:trPr>
        <w:tc>
          <w:tcPr>
            <w:tcW w:w="2249" w:type="pct"/>
            <w:tcBorders>
              <w:top w:val="nil"/>
              <w:left w:val="nil"/>
              <w:bottom w:val="nil"/>
              <w:right w:val="nil"/>
            </w:tcBorders>
            <w:noWrap/>
            <w:vAlign w:val="bottom"/>
            <w:hideMark/>
          </w:tcPr>
          <w:p w14:paraId="6CA43B5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461" w:type="pct"/>
            <w:tcBorders>
              <w:top w:val="nil"/>
              <w:left w:val="nil"/>
              <w:bottom w:val="nil"/>
              <w:right w:val="nil"/>
            </w:tcBorders>
            <w:noWrap/>
            <w:vAlign w:val="center"/>
            <w:hideMark/>
          </w:tcPr>
          <w:p w14:paraId="73858D0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869" w:type="pct"/>
            <w:tcBorders>
              <w:top w:val="nil"/>
              <w:left w:val="nil"/>
              <w:bottom w:val="nil"/>
              <w:right w:val="nil"/>
            </w:tcBorders>
            <w:noWrap/>
            <w:vAlign w:val="center"/>
            <w:hideMark/>
          </w:tcPr>
          <w:p w14:paraId="65808C0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-0.59</w:t>
            </w:r>
          </w:p>
        </w:tc>
        <w:tc>
          <w:tcPr>
            <w:tcW w:w="913" w:type="pct"/>
            <w:tcBorders>
              <w:top w:val="nil"/>
              <w:left w:val="nil"/>
              <w:bottom w:val="nil"/>
              <w:right w:val="nil"/>
            </w:tcBorders>
            <w:noWrap/>
            <w:vAlign w:val="center"/>
            <w:hideMark/>
          </w:tcPr>
          <w:p w14:paraId="0F88C8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0.39</w:t>
            </w:r>
          </w:p>
        </w:tc>
        <w:tc>
          <w:tcPr>
            <w:tcW w:w="508" w:type="pct"/>
            <w:tcBorders>
              <w:top w:val="nil"/>
              <w:left w:val="nil"/>
              <w:bottom w:val="nil"/>
              <w:right w:val="nil"/>
            </w:tcBorders>
            <w:noWrap/>
            <w:vAlign w:val="center"/>
            <w:hideMark/>
          </w:tcPr>
          <w:p w14:paraId="0D8D30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0.672</w:t>
            </w:r>
          </w:p>
        </w:tc>
      </w:tr>
      <w:tr w:rsidR="00120B4F" w:rsidRPr="00BE5472" w14:paraId="4598A0E9" w14:textId="77777777" w:rsidTr="003C2F5B">
        <w:trPr>
          <w:trHeight w:val="315"/>
        </w:trPr>
        <w:tc>
          <w:tcPr>
            <w:tcW w:w="2249" w:type="pct"/>
            <w:tcBorders>
              <w:top w:val="nil"/>
              <w:left w:val="nil"/>
              <w:bottom w:val="nil"/>
              <w:right w:val="nil"/>
            </w:tcBorders>
            <w:noWrap/>
            <w:vAlign w:val="bottom"/>
            <w:hideMark/>
          </w:tcPr>
          <w:p w14:paraId="661E88F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461" w:type="pct"/>
            <w:tcBorders>
              <w:top w:val="nil"/>
              <w:left w:val="nil"/>
              <w:bottom w:val="nil"/>
              <w:right w:val="nil"/>
            </w:tcBorders>
            <w:noWrap/>
            <w:vAlign w:val="center"/>
            <w:hideMark/>
          </w:tcPr>
          <w:p w14:paraId="3C78C89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21.45</w:t>
            </w:r>
          </w:p>
        </w:tc>
        <w:tc>
          <w:tcPr>
            <w:tcW w:w="869" w:type="pct"/>
            <w:tcBorders>
              <w:top w:val="nil"/>
              <w:left w:val="nil"/>
              <w:bottom w:val="nil"/>
              <w:right w:val="nil"/>
            </w:tcBorders>
            <w:noWrap/>
            <w:vAlign w:val="center"/>
            <w:hideMark/>
          </w:tcPr>
          <w:p w14:paraId="00B41B6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10.41</w:t>
            </w:r>
          </w:p>
        </w:tc>
        <w:tc>
          <w:tcPr>
            <w:tcW w:w="913" w:type="pct"/>
            <w:tcBorders>
              <w:top w:val="nil"/>
              <w:left w:val="nil"/>
              <w:bottom w:val="nil"/>
              <w:right w:val="nil"/>
            </w:tcBorders>
            <w:noWrap/>
            <w:vAlign w:val="center"/>
            <w:hideMark/>
          </w:tcPr>
          <w:p w14:paraId="188D04E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32.49</w:t>
            </w:r>
          </w:p>
        </w:tc>
        <w:tc>
          <w:tcPr>
            <w:tcW w:w="508" w:type="pct"/>
            <w:tcBorders>
              <w:top w:val="nil"/>
              <w:left w:val="nil"/>
              <w:bottom w:val="nil"/>
              <w:right w:val="nil"/>
            </w:tcBorders>
            <w:noWrap/>
            <w:vAlign w:val="center"/>
            <w:hideMark/>
          </w:tcPr>
          <w:p w14:paraId="750115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0.030</w:t>
            </w:r>
          </w:p>
        </w:tc>
      </w:tr>
      <w:tr w:rsidR="00120B4F" w:rsidRPr="00BE5472" w14:paraId="4315178B" w14:textId="77777777" w:rsidTr="003C2F5B">
        <w:trPr>
          <w:trHeight w:val="315"/>
        </w:trPr>
        <w:tc>
          <w:tcPr>
            <w:tcW w:w="2249" w:type="pct"/>
            <w:tcBorders>
              <w:top w:val="nil"/>
              <w:left w:val="nil"/>
              <w:bottom w:val="nil"/>
              <w:right w:val="nil"/>
            </w:tcBorders>
            <w:noWrap/>
            <w:vAlign w:val="center"/>
            <w:hideMark/>
          </w:tcPr>
          <w:p w14:paraId="0B61E17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461" w:type="pct"/>
            <w:tcBorders>
              <w:top w:val="nil"/>
              <w:left w:val="nil"/>
              <w:bottom w:val="nil"/>
              <w:right w:val="nil"/>
            </w:tcBorders>
            <w:noWrap/>
            <w:vAlign w:val="center"/>
            <w:hideMark/>
          </w:tcPr>
          <w:p w14:paraId="45143FE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-1.13</w:t>
            </w:r>
          </w:p>
        </w:tc>
        <w:tc>
          <w:tcPr>
            <w:tcW w:w="869" w:type="pct"/>
            <w:tcBorders>
              <w:top w:val="nil"/>
              <w:left w:val="nil"/>
              <w:bottom w:val="nil"/>
              <w:right w:val="nil"/>
            </w:tcBorders>
            <w:noWrap/>
            <w:vAlign w:val="center"/>
            <w:hideMark/>
          </w:tcPr>
          <w:p w14:paraId="34E3F2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-4.46</w:t>
            </w:r>
          </w:p>
        </w:tc>
        <w:tc>
          <w:tcPr>
            <w:tcW w:w="913" w:type="pct"/>
            <w:tcBorders>
              <w:top w:val="nil"/>
              <w:left w:val="nil"/>
              <w:bottom w:val="nil"/>
              <w:right w:val="nil"/>
            </w:tcBorders>
            <w:noWrap/>
            <w:vAlign w:val="center"/>
            <w:hideMark/>
          </w:tcPr>
          <w:p w14:paraId="27DF09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2.20</w:t>
            </w:r>
          </w:p>
        </w:tc>
        <w:tc>
          <w:tcPr>
            <w:tcW w:w="508" w:type="pct"/>
            <w:tcBorders>
              <w:top w:val="nil"/>
              <w:left w:val="nil"/>
              <w:bottom w:val="nil"/>
              <w:right w:val="nil"/>
            </w:tcBorders>
            <w:noWrap/>
            <w:vAlign w:val="center"/>
            <w:hideMark/>
          </w:tcPr>
          <w:p w14:paraId="328C152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0.499</w:t>
            </w:r>
          </w:p>
        </w:tc>
      </w:tr>
      <w:tr w:rsidR="00120B4F" w:rsidRPr="00BE5472" w14:paraId="0DE79896" w14:textId="77777777" w:rsidTr="003C2F5B">
        <w:trPr>
          <w:trHeight w:val="315"/>
        </w:trPr>
        <w:tc>
          <w:tcPr>
            <w:tcW w:w="2249" w:type="pct"/>
            <w:tcBorders>
              <w:top w:val="nil"/>
              <w:left w:val="nil"/>
              <w:bottom w:val="nil"/>
              <w:right w:val="nil"/>
            </w:tcBorders>
            <w:noWrap/>
            <w:vAlign w:val="center"/>
            <w:hideMark/>
          </w:tcPr>
          <w:p w14:paraId="1B35122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461" w:type="pct"/>
            <w:tcBorders>
              <w:top w:val="nil"/>
              <w:left w:val="nil"/>
              <w:bottom w:val="nil"/>
              <w:right w:val="nil"/>
            </w:tcBorders>
            <w:noWrap/>
            <w:vAlign w:val="center"/>
            <w:hideMark/>
          </w:tcPr>
          <w:p w14:paraId="5E072AA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c>
          <w:tcPr>
            <w:tcW w:w="869" w:type="pct"/>
            <w:tcBorders>
              <w:top w:val="nil"/>
              <w:left w:val="nil"/>
              <w:bottom w:val="nil"/>
              <w:right w:val="nil"/>
            </w:tcBorders>
            <w:noWrap/>
            <w:vAlign w:val="center"/>
            <w:hideMark/>
          </w:tcPr>
          <w:p w14:paraId="53FC2E7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-1.18</w:t>
            </w:r>
          </w:p>
        </w:tc>
        <w:tc>
          <w:tcPr>
            <w:tcW w:w="913" w:type="pct"/>
            <w:tcBorders>
              <w:top w:val="nil"/>
              <w:left w:val="nil"/>
              <w:bottom w:val="nil"/>
              <w:right w:val="nil"/>
            </w:tcBorders>
            <w:noWrap/>
            <w:vAlign w:val="center"/>
            <w:hideMark/>
          </w:tcPr>
          <w:p w14:paraId="0C90923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0.62</w:t>
            </w:r>
          </w:p>
        </w:tc>
        <w:tc>
          <w:tcPr>
            <w:tcW w:w="508" w:type="pct"/>
            <w:tcBorders>
              <w:top w:val="nil"/>
              <w:left w:val="nil"/>
              <w:bottom w:val="nil"/>
              <w:right w:val="nil"/>
            </w:tcBorders>
            <w:noWrap/>
            <w:vAlign w:val="center"/>
            <w:hideMark/>
          </w:tcPr>
          <w:p w14:paraId="2145CD7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0.533</w:t>
            </w:r>
          </w:p>
        </w:tc>
      </w:tr>
      <w:tr w:rsidR="00120B4F" w:rsidRPr="00BE5472" w14:paraId="2DFE1FA8" w14:textId="77777777" w:rsidTr="003C2F5B">
        <w:trPr>
          <w:trHeight w:val="315"/>
        </w:trPr>
        <w:tc>
          <w:tcPr>
            <w:tcW w:w="2249" w:type="pct"/>
            <w:tcBorders>
              <w:top w:val="single" w:sz="4" w:space="0" w:color="auto"/>
              <w:left w:val="nil"/>
              <w:bottom w:val="nil"/>
              <w:right w:val="nil"/>
            </w:tcBorders>
            <w:noWrap/>
            <w:vAlign w:val="bottom"/>
            <w:hideMark/>
          </w:tcPr>
          <w:p w14:paraId="08D563E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single" w:sz="4" w:space="0" w:color="auto"/>
              <w:left w:val="nil"/>
              <w:bottom w:val="nil"/>
              <w:right w:val="nil"/>
            </w:tcBorders>
            <w:noWrap/>
            <w:vAlign w:val="center"/>
            <w:hideMark/>
          </w:tcPr>
          <w:p w14:paraId="7D65306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0.86</w:t>
            </w:r>
          </w:p>
        </w:tc>
      </w:tr>
      <w:tr w:rsidR="00120B4F" w:rsidRPr="00BE5472" w14:paraId="0B74941D" w14:textId="77777777" w:rsidTr="003C2F5B">
        <w:trPr>
          <w:trHeight w:val="315"/>
        </w:trPr>
        <w:tc>
          <w:tcPr>
            <w:tcW w:w="2249" w:type="pct"/>
            <w:tcBorders>
              <w:top w:val="nil"/>
              <w:left w:val="nil"/>
              <w:bottom w:val="nil"/>
              <w:right w:val="nil"/>
            </w:tcBorders>
            <w:noWrap/>
            <w:vAlign w:val="bottom"/>
            <w:hideMark/>
          </w:tcPr>
          <w:p w14:paraId="091133D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751" w:type="pct"/>
            <w:gridSpan w:val="4"/>
            <w:tcBorders>
              <w:top w:val="nil"/>
              <w:left w:val="nil"/>
              <w:bottom w:val="nil"/>
              <w:right w:val="nil"/>
            </w:tcBorders>
            <w:noWrap/>
            <w:vAlign w:val="center"/>
            <w:hideMark/>
          </w:tcPr>
          <w:p w14:paraId="73FEA7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0.66</w:t>
            </w:r>
          </w:p>
        </w:tc>
      </w:tr>
      <w:tr w:rsidR="00120B4F" w:rsidRPr="00BE5472" w14:paraId="1204AFDB" w14:textId="77777777" w:rsidTr="003C2F5B">
        <w:trPr>
          <w:trHeight w:val="315"/>
        </w:trPr>
        <w:tc>
          <w:tcPr>
            <w:tcW w:w="2249" w:type="pct"/>
            <w:tcBorders>
              <w:top w:val="nil"/>
              <w:left w:val="nil"/>
              <w:bottom w:val="nil"/>
              <w:right w:val="nil"/>
            </w:tcBorders>
            <w:noWrap/>
            <w:vAlign w:val="bottom"/>
            <w:hideMark/>
          </w:tcPr>
          <w:p w14:paraId="1262C96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751" w:type="pct"/>
            <w:gridSpan w:val="4"/>
            <w:tcBorders>
              <w:top w:val="nil"/>
              <w:left w:val="nil"/>
              <w:bottom w:val="nil"/>
              <w:right w:val="nil"/>
            </w:tcBorders>
            <w:noWrap/>
            <w:vAlign w:val="center"/>
            <w:hideMark/>
          </w:tcPr>
          <w:p w14:paraId="72D5E0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0.59</w:t>
            </w:r>
          </w:p>
        </w:tc>
      </w:tr>
      <w:tr w:rsidR="00120B4F" w:rsidRPr="00BE5472" w14:paraId="23C225E8" w14:textId="77777777" w:rsidTr="003C2F5B">
        <w:trPr>
          <w:trHeight w:val="315"/>
        </w:trPr>
        <w:tc>
          <w:tcPr>
            <w:tcW w:w="2249" w:type="pct"/>
            <w:tcBorders>
              <w:top w:val="nil"/>
              <w:left w:val="nil"/>
              <w:bottom w:val="nil"/>
              <w:right w:val="nil"/>
            </w:tcBorders>
            <w:noWrap/>
            <w:vAlign w:val="bottom"/>
            <w:hideMark/>
          </w:tcPr>
          <w:p w14:paraId="58DB11E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751" w:type="pct"/>
            <w:gridSpan w:val="4"/>
            <w:tcBorders>
              <w:top w:val="nil"/>
              <w:left w:val="nil"/>
              <w:bottom w:val="nil"/>
              <w:right w:val="nil"/>
            </w:tcBorders>
            <w:noWrap/>
            <w:vAlign w:val="center"/>
            <w:hideMark/>
          </w:tcPr>
          <w:p w14:paraId="674A2D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74346301" w14:textId="77777777" w:rsidTr="003C2F5B">
        <w:trPr>
          <w:trHeight w:val="315"/>
        </w:trPr>
        <w:tc>
          <w:tcPr>
            <w:tcW w:w="2249" w:type="pct"/>
            <w:tcBorders>
              <w:top w:val="nil"/>
              <w:left w:val="nil"/>
              <w:bottom w:val="single" w:sz="4" w:space="0" w:color="auto"/>
              <w:right w:val="nil"/>
            </w:tcBorders>
            <w:noWrap/>
            <w:vAlign w:val="bottom"/>
            <w:hideMark/>
          </w:tcPr>
          <w:p w14:paraId="6A350B2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751" w:type="pct"/>
            <w:gridSpan w:val="4"/>
            <w:tcBorders>
              <w:top w:val="nil"/>
              <w:left w:val="nil"/>
              <w:bottom w:val="single" w:sz="4" w:space="0" w:color="auto"/>
              <w:right w:val="nil"/>
            </w:tcBorders>
            <w:noWrap/>
            <w:vAlign w:val="center"/>
            <w:hideMark/>
          </w:tcPr>
          <w:p w14:paraId="0FF990C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18C72476" w14:textId="0D4B90DF"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2ACE8987" w14:textId="03B44B79"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tržišni udio između razdoblja prije i nakon preuzimanja poduzeća (B = -1.13,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[-4.46, 2.20], p = .499), nije utvrđen statistički značajan vremenski trend (B = -0.10,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[-0.59, 39], p = .672), te nije utvrđena statistički značajna interakcija između statusa poduzeća i vremenskog trenda (B = -0.28,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[-1.18, 0.62], p = .533).</w:t>
      </w:r>
    </w:p>
    <w:p w14:paraId="507EBE88" w14:textId="77777777" w:rsidR="00120B4F" w:rsidRPr="00BE5472" w:rsidRDefault="00120B4F" w:rsidP="00120B4F">
      <w:pPr>
        <w:spacing w:line="360" w:lineRule="auto"/>
        <w:rPr>
          <w:rFonts w:ascii="Times New Roman" w:hAnsi="Times New Roman" w:cs="Times New Roman"/>
          <w:kern w:val="2"/>
          <w:sz w:val="24"/>
          <w14:ligatures w14:val="standardContextual"/>
        </w:rPr>
      </w:pPr>
    </w:p>
    <w:p w14:paraId="296053FB"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6F827F39" w14:textId="77777777" w:rsidR="00120B4F" w:rsidRPr="00BE5472" w:rsidRDefault="00120B4F" w:rsidP="00490975">
      <w:pPr>
        <w:rPr>
          <w:rFonts w:ascii="Times New Roman" w:hAnsi="Times New Roman" w:cs="Times New Roman"/>
          <w:b/>
          <w:bCs/>
          <w:kern w:val="2"/>
          <w:sz w:val="24"/>
          <w14:ligatures w14:val="standardContextual"/>
        </w:rPr>
      </w:pPr>
      <w:bookmarkStart w:id="230" w:name="_Toc182495677"/>
      <w:r w:rsidRPr="00BE5472">
        <w:rPr>
          <w:rFonts w:ascii="Times New Roman" w:hAnsi="Times New Roman" w:cs="Times New Roman"/>
          <w:b/>
          <w:bCs/>
          <w:kern w:val="2"/>
          <w:sz w:val="24"/>
          <w14:ligatures w14:val="standardContextual"/>
        </w:rPr>
        <w:lastRenderedPageBreak/>
        <w:t>MVA</w:t>
      </w:r>
      <w:bookmarkEnd w:id="230"/>
    </w:p>
    <w:p w14:paraId="7C57B300" w14:textId="652F42EA"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8</w:t>
      </w:r>
      <w:r w:rsidRPr="00BE5472">
        <w:rPr>
          <w:rFonts w:ascii="Times New Roman" w:hAnsi="Times New Roman" w:cs="Times New Roman"/>
          <w:kern w:val="2"/>
          <w:sz w:val="24"/>
          <w14:ligatures w14:val="standardContextual"/>
        </w:rPr>
        <w:t xml:space="preserve"> prikazani su rezultati testiranja razlike u visini pokazatelja MVA</w:t>
      </w:r>
      <w:r w:rsidR="0007037B" w:rsidRPr="00BE5472">
        <w:rPr>
          <w:rFonts w:ascii="Times New Roman" w:hAnsi="Times New Roman" w:cs="Times New Roman"/>
          <w:kern w:val="2"/>
          <w:sz w:val="24"/>
          <w14:ligatures w14:val="standardContextual"/>
        </w:rPr>
        <w:t>-e</w:t>
      </w:r>
      <w:r w:rsidRPr="00BE5472">
        <w:rPr>
          <w:rFonts w:ascii="Times New Roman" w:hAnsi="Times New Roman" w:cs="Times New Roman"/>
          <w:kern w:val="2"/>
          <w:sz w:val="24"/>
          <w14:ligatures w14:val="standardContextual"/>
        </w:rPr>
        <w:t xml:space="preserve"> prije i nakon preuzimanja poduzeća. </w:t>
      </w:r>
    </w:p>
    <w:p w14:paraId="4B7B0C99" w14:textId="56A06913" w:rsidR="00120B4F" w:rsidRPr="00E1098E" w:rsidRDefault="00E1098E" w:rsidP="00E1098E">
      <w:pPr>
        <w:pStyle w:val="Caption"/>
        <w:rPr>
          <w:rFonts w:ascii="Times New Roman" w:hAnsi="Times New Roman" w:cs="Times New Roman"/>
          <w:kern w:val="2"/>
          <w:sz w:val="24"/>
          <w:szCs w:val="24"/>
          <w14:ligatures w14:val="standardContextual"/>
        </w:rPr>
      </w:pPr>
      <w:bookmarkStart w:id="231" w:name="_Toc241865252"/>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58</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MVA</w:t>
      </w:r>
      <w:r w:rsidR="0007037B" w:rsidRPr="00E1098E">
        <w:rPr>
          <w:rFonts w:ascii="Times New Roman" w:hAnsi="Times New Roman" w:cs="Times New Roman"/>
          <w:kern w:val="2"/>
          <w:sz w:val="24"/>
          <w:szCs w:val="24"/>
          <w14:ligatures w14:val="standardContextual"/>
        </w:rPr>
        <w:t>-i</w:t>
      </w:r>
      <w:r w:rsidR="00120B4F" w:rsidRPr="00E1098E">
        <w:rPr>
          <w:rFonts w:ascii="Times New Roman" w:hAnsi="Times New Roman" w:cs="Times New Roman"/>
          <w:kern w:val="2"/>
          <w:sz w:val="24"/>
          <w:szCs w:val="24"/>
          <w14:ligatures w14:val="standardContextual"/>
        </w:rPr>
        <w:t xml:space="preserve"> prije i nakon procesa preuzimanja poduzeća</w:t>
      </w:r>
      <w:bookmarkEnd w:id="231"/>
    </w:p>
    <w:tbl>
      <w:tblPr>
        <w:tblW w:w="5000" w:type="pct"/>
        <w:tblLook w:val="04A0" w:firstRow="1" w:lastRow="0" w:firstColumn="1" w:lastColumn="0" w:noHBand="0" w:noVBand="1"/>
      </w:tblPr>
      <w:tblGrid>
        <w:gridCol w:w="4061"/>
        <w:gridCol w:w="832"/>
        <w:gridCol w:w="1569"/>
        <w:gridCol w:w="1649"/>
        <w:gridCol w:w="918"/>
      </w:tblGrid>
      <w:tr w:rsidR="00120B4F" w:rsidRPr="00BE5472" w14:paraId="144778C8" w14:textId="77777777" w:rsidTr="003C2F5B">
        <w:trPr>
          <w:trHeight w:val="330"/>
        </w:trPr>
        <w:tc>
          <w:tcPr>
            <w:tcW w:w="1877" w:type="pct"/>
            <w:tcBorders>
              <w:top w:val="nil"/>
              <w:left w:val="nil"/>
              <w:bottom w:val="nil"/>
              <w:right w:val="nil"/>
            </w:tcBorders>
            <w:noWrap/>
            <w:vAlign w:val="bottom"/>
            <w:hideMark/>
          </w:tcPr>
          <w:p w14:paraId="4A9F1E53"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54" w:type="pct"/>
            <w:tcBorders>
              <w:top w:val="single" w:sz="4" w:space="0" w:color="auto"/>
              <w:left w:val="nil"/>
              <w:bottom w:val="nil"/>
              <w:right w:val="nil"/>
            </w:tcBorders>
            <w:noWrap/>
            <w:vAlign w:val="center"/>
            <w:hideMark/>
          </w:tcPr>
          <w:p w14:paraId="555B40B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922" w:type="pct"/>
            <w:gridSpan w:val="2"/>
            <w:tcBorders>
              <w:top w:val="single" w:sz="4" w:space="0" w:color="auto"/>
              <w:left w:val="nil"/>
              <w:bottom w:val="nil"/>
              <w:right w:val="nil"/>
            </w:tcBorders>
            <w:noWrap/>
            <w:vAlign w:val="center"/>
            <w:hideMark/>
          </w:tcPr>
          <w:p w14:paraId="28CDF81B" w14:textId="5D83A30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47" w:type="pct"/>
            <w:tcBorders>
              <w:top w:val="single" w:sz="4" w:space="0" w:color="auto"/>
              <w:left w:val="nil"/>
              <w:bottom w:val="nil"/>
              <w:right w:val="nil"/>
            </w:tcBorders>
            <w:noWrap/>
            <w:vAlign w:val="center"/>
            <w:hideMark/>
          </w:tcPr>
          <w:p w14:paraId="00B3FEE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275D4DB" w14:textId="77777777" w:rsidTr="003C2F5B">
        <w:trPr>
          <w:trHeight w:val="330"/>
        </w:trPr>
        <w:tc>
          <w:tcPr>
            <w:tcW w:w="1877" w:type="pct"/>
            <w:tcBorders>
              <w:top w:val="single" w:sz="4" w:space="0" w:color="auto"/>
              <w:left w:val="nil"/>
              <w:bottom w:val="single" w:sz="4" w:space="0" w:color="auto"/>
              <w:right w:val="nil"/>
            </w:tcBorders>
            <w:noWrap/>
            <w:vAlign w:val="bottom"/>
            <w:hideMark/>
          </w:tcPr>
          <w:p w14:paraId="14F14A5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54" w:type="pct"/>
            <w:tcBorders>
              <w:top w:val="single" w:sz="4" w:space="0" w:color="auto"/>
              <w:left w:val="nil"/>
              <w:bottom w:val="single" w:sz="4" w:space="0" w:color="auto"/>
              <w:right w:val="nil"/>
            </w:tcBorders>
            <w:noWrap/>
            <w:vAlign w:val="center"/>
            <w:hideMark/>
          </w:tcPr>
          <w:p w14:paraId="07BE3EC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34" w:type="pct"/>
            <w:tcBorders>
              <w:top w:val="single" w:sz="4" w:space="0" w:color="auto"/>
              <w:left w:val="nil"/>
              <w:bottom w:val="single" w:sz="4" w:space="0" w:color="auto"/>
              <w:right w:val="nil"/>
            </w:tcBorders>
            <w:noWrap/>
            <w:vAlign w:val="center"/>
            <w:hideMark/>
          </w:tcPr>
          <w:p w14:paraId="287BB6A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88" w:type="pct"/>
            <w:tcBorders>
              <w:top w:val="single" w:sz="4" w:space="0" w:color="auto"/>
              <w:left w:val="nil"/>
              <w:bottom w:val="single" w:sz="4" w:space="0" w:color="auto"/>
              <w:right w:val="nil"/>
            </w:tcBorders>
            <w:noWrap/>
            <w:vAlign w:val="center"/>
            <w:hideMark/>
          </w:tcPr>
          <w:p w14:paraId="2D1A9F5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47" w:type="pct"/>
            <w:tcBorders>
              <w:top w:val="single" w:sz="4" w:space="0" w:color="auto"/>
              <w:left w:val="nil"/>
              <w:bottom w:val="single" w:sz="4" w:space="0" w:color="auto"/>
              <w:right w:val="nil"/>
            </w:tcBorders>
            <w:noWrap/>
            <w:vAlign w:val="center"/>
            <w:hideMark/>
          </w:tcPr>
          <w:p w14:paraId="715E87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4F837266" w14:textId="77777777" w:rsidTr="003C2F5B">
        <w:trPr>
          <w:trHeight w:val="315"/>
        </w:trPr>
        <w:tc>
          <w:tcPr>
            <w:tcW w:w="1877" w:type="pct"/>
            <w:tcBorders>
              <w:top w:val="nil"/>
              <w:left w:val="nil"/>
              <w:bottom w:val="nil"/>
              <w:right w:val="nil"/>
            </w:tcBorders>
            <w:noWrap/>
            <w:vAlign w:val="bottom"/>
            <w:hideMark/>
          </w:tcPr>
          <w:p w14:paraId="0D73BAA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54" w:type="pct"/>
            <w:tcBorders>
              <w:top w:val="nil"/>
              <w:left w:val="nil"/>
              <w:bottom w:val="nil"/>
              <w:right w:val="nil"/>
            </w:tcBorders>
            <w:noWrap/>
            <w:vAlign w:val="center"/>
            <w:hideMark/>
          </w:tcPr>
          <w:p w14:paraId="2BCBDA5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4.24</w:t>
            </w:r>
          </w:p>
        </w:tc>
        <w:tc>
          <w:tcPr>
            <w:tcW w:w="934" w:type="pct"/>
            <w:tcBorders>
              <w:top w:val="nil"/>
              <w:left w:val="nil"/>
              <w:bottom w:val="nil"/>
              <w:right w:val="nil"/>
            </w:tcBorders>
            <w:noWrap/>
            <w:vAlign w:val="center"/>
            <w:hideMark/>
          </w:tcPr>
          <w:p w14:paraId="46839D8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-3.49</w:t>
            </w:r>
          </w:p>
        </w:tc>
        <w:tc>
          <w:tcPr>
            <w:tcW w:w="988" w:type="pct"/>
            <w:tcBorders>
              <w:top w:val="nil"/>
              <w:left w:val="nil"/>
              <w:bottom w:val="nil"/>
              <w:right w:val="nil"/>
            </w:tcBorders>
            <w:noWrap/>
            <w:vAlign w:val="center"/>
            <w:hideMark/>
          </w:tcPr>
          <w:p w14:paraId="424057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11.98</w:t>
            </w:r>
          </w:p>
        </w:tc>
        <w:tc>
          <w:tcPr>
            <w:tcW w:w="647" w:type="pct"/>
            <w:tcBorders>
              <w:top w:val="nil"/>
              <w:left w:val="nil"/>
              <w:bottom w:val="nil"/>
              <w:right w:val="nil"/>
            </w:tcBorders>
            <w:noWrap/>
            <w:vAlign w:val="center"/>
            <w:hideMark/>
          </w:tcPr>
          <w:p w14:paraId="3956BC5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0.347</w:t>
            </w:r>
          </w:p>
        </w:tc>
      </w:tr>
      <w:tr w:rsidR="00120B4F" w:rsidRPr="00BE5472" w14:paraId="6E3902EF" w14:textId="77777777" w:rsidTr="003C2F5B">
        <w:trPr>
          <w:trHeight w:val="300"/>
        </w:trPr>
        <w:tc>
          <w:tcPr>
            <w:tcW w:w="1877" w:type="pct"/>
            <w:tcBorders>
              <w:top w:val="nil"/>
              <w:left w:val="nil"/>
              <w:bottom w:val="nil"/>
              <w:right w:val="nil"/>
            </w:tcBorders>
            <w:noWrap/>
            <w:vAlign w:val="bottom"/>
            <w:hideMark/>
          </w:tcPr>
          <w:p w14:paraId="00C8A06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54" w:type="pct"/>
            <w:tcBorders>
              <w:top w:val="nil"/>
              <w:left w:val="nil"/>
              <w:bottom w:val="nil"/>
              <w:right w:val="nil"/>
            </w:tcBorders>
            <w:noWrap/>
            <w:vAlign w:val="center"/>
            <w:hideMark/>
          </w:tcPr>
          <w:p w14:paraId="2BBD5D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0.55</w:t>
            </w:r>
          </w:p>
        </w:tc>
        <w:tc>
          <w:tcPr>
            <w:tcW w:w="934" w:type="pct"/>
            <w:tcBorders>
              <w:top w:val="nil"/>
              <w:left w:val="nil"/>
              <w:bottom w:val="nil"/>
              <w:right w:val="nil"/>
            </w:tcBorders>
            <w:noWrap/>
            <w:vAlign w:val="center"/>
            <w:hideMark/>
          </w:tcPr>
          <w:p w14:paraId="1AAEC94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988" w:type="pct"/>
            <w:tcBorders>
              <w:top w:val="nil"/>
              <w:left w:val="nil"/>
              <w:bottom w:val="nil"/>
              <w:right w:val="nil"/>
            </w:tcBorders>
            <w:noWrap/>
            <w:vAlign w:val="center"/>
            <w:hideMark/>
          </w:tcPr>
          <w:p w14:paraId="3E6B644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1.07</w:t>
            </w:r>
          </w:p>
        </w:tc>
        <w:tc>
          <w:tcPr>
            <w:tcW w:w="647" w:type="pct"/>
            <w:tcBorders>
              <w:top w:val="nil"/>
              <w:left w:val="nil"/>
              <w:bottom w:val="nil"/>
              <w:right w:val="nil"/>
            </w:tcBorders>
            <w:noWrap/>
            <w:vAlign w:val="center"/>
            <w:hideMark/>
          </w:tcPr>
          <w:p w14:paraId="38F370B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0.036</w:t>
            </w:r>
          </w:p>
        </w:tc>
      </w:tr>
      <w:tr w:rsidR="00120B4F" w:rsidRPr="00BE5472" w14:paraId="5C3E775A" w14:textId="77777777" w:rsidTr="003C2F5B">
        <w:trPr>
          <w:trHeight w:val="315"/>
        </w:trPr>
        <w:tc>
          <w:tcPr>
            <w:tcW w:w="1877" w:type="pct"/>
            <w:tcBorders>
              <w:top w:val="nil"/>
              <w:left w:val="nil"/>
              <w:bottom w:val="nil"/>
              <w:right w:val="nil"/>
            </w:tcBorders>
            <w:noWrap/>
            <w:vAlign w:val="bottom"/>
            <w:hideMark/>
          </w:tcPr>
          <w:p w14:paraId="1C3289D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54" w:type="pct"/>
            <w:tcBorders>
              <w:top w:val="nil"/>
              <w:left w:val="nil"/>
              <w:bottom w:val="nil"/>
              <w:right w:val="nil"/>
            </w:tcBorders>
            <w:noWrap/>
            <w:vAlign w:val="center"/>
            <w:hideMark/>
          </w:tcPr>
          <w:p w14:paraId="59DE5F5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-0.44</w:t>
            </w:r>
          </w:p>
        </w:tc>
        <w:tc>
          <w:tcPr>
            <w:tcW w:w="934" w:type="pct"/>
            <w:tcBorders>
              <w:top w:val="nil"/>
              <w:left w:val="nil"/>
              <w:bottom w:val="nil"/>
              <w:right w:val="nil"/>
            </w:tcBorders>
            <w:noWrap/>
            <w:vAlign w:val="center"/>
            <w:hideMark/>
          </w:tcPr>
          <w:p w14:paraId="42FD21F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-3.96</w:t>
            </w:r>
          </w:p>
        </w:tc>
        <w:tc>
          <w:tcPr>
            <w:tcW w:w="988" w:type="pct"/>
            <w:tcBorders>
              <w:top w:val="nil"/>
              <w:left w:val="nil"/>
              <w:bottom w:val="nil"/>
              <w:right w:val="nil"/>
            </w:tcBorders>
            <w:noWrap/>
            <w:vAlign w:val="center"/>
            <w:hideMark/>
          </w:tcPr>
          <w:p w14:paraId="040DD1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3.08</w:t>
            </w:r>
          </w:p>
        </w:tc>
        <w:tc>
          <w:tcPr>
            <w:tcW w:w="647" w:type="pct"/>
            <w:tcBorders>
              <w:top w:val="nil"/>
              <w:left w:val="nil"/>
              <w:bottom w:val="nil"/>
              <w:right w:val="nil"/>
            </w:tcBorders>
            <w:noWrap/>
            <w:vAlign w:val="center"/>
            <w:hideMark/>
          </w:tcPr>
          <w:p w14:paraId="21267AB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0.801</w:t>
            </w:r>
          </w:p>
        </w:tc>
      </w:tr>
      <w:tr w:rsidR="00120B4F" w:rsidRPr="00BE5472" w14:paraId="78A2444A" w14:textId="77777777" w:rsidTr="003C2F5B">
        <w:trPr>
          <w:trHeight w:val="360"/>
        </w:trPr>
        <w:tc>
          <w:tcPr>
            <w:tcW w:w="1877" w:type="pct"/>
            <w:tcBorders>
              <w:top w:val="nil"/>
              <w:left w:val="nil"/>
              <w:bottom w:val="nil"/>
              <w:right w:val="nil"/>
            </w:tcBorders>
            <w:noWrap/>
            <w:vAlign w:val="center"/>
            <w:hideMark/>
          </w:tcPr>
          <w:p w14:paraId="63758C5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Status poduzeća (ref. prije preuzimanja)</w:t>
            </w:r>
          </w:p>
        </w:tc>
        <w:tc>
          <w:tcPr>
            <w:tcW w:w="554" w:type="pct"/>
            <w:tcBorders>
              <w:top w:val="nil"/>
              <w:left w:val="nil"/>
              <w:bottom w:val="nil"/>
              <w:right w:val="nil"/>
            </w:tcBorders>
            <w:noWrap/>
            <w:vAlign w:val="center"/>
            <w:hideMark/>
          </w:tcPr>
          <w:p w14:paraId="2F96AF5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934" w:type="pct"/>
            <w:tcBorders>
              <w:top w:val="nil"/>
              <w:left w:val="nil"/>
              <w:bottom w:val="nil"/>
              <w:right w:val="nil"/>
            </w:tcBorders>
            <w:noWrap/>
            <w:vAlign w:val="center"/>
            <w:hideMark/>
          </w:tcPr>
          <w:p w14:paraId="42D26B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-2.36</w:t>
            </w:r>
          </w:p>
        </w:tc>
        <w:tc>
          <w:tcPr>
            <w:tcW w:w="988" w:type="pct"/>
            <w:tcBorders>
              <w:top w:val="nil"/>
              <w:left w:val="nil"/>
              <w:bottom w:val="nil"/>
              <w:right w:val="nil"/>
            </w:tcBorders>
            <w:noWrap/>
            <w:vAlign w:val="center"/>
            <w:hideMark/>
          </w:tcPr>
          <w:p w14:paraId="1D857D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2.13</w:t>
            </w:r>
          </w:p>
        </w:tc>
        <w:tc>
          <w:tcPr>
            <w:tcW w:w="647" w:type="pct"/>
            <w:tcBorders>
              <w:top w:val="nil"/>
              <w:left w:val="nil"/>
              <w:bottom w:val="nil"/>
              <w:right w:val="nil"/>
            </w:tcBorders>
            <w:noWrap/>
            <w:vAlign w:val="center"/>
            <w:hideMark/>
          </w:tcPr>
          <w:p w14:paraId="2524321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0.924</w:t>
            </w:r>
          </w:p>
        </w:tc>
      </w:tr>
      <w:tr w:rsidR="00120B4F" w:rsidRPr="00BE5472" w14:paraId="7FB74C42" w14:textId="77777777" w:rsidTr="003C2F5B">
        <w:trPr>
          <w:trHeight w:val="315"/>
        </w:trPr>
        <w:tc>
          <w:tcPr>
            <w:tcW w:w="1877" w:type="pct"/>
            <w:tcBorders>
              <w:top w:val="nil"/>
              <w:left w:val="nil"/>
              <w:bottom w:val="nil"/>
              <w:right w:val="nil"/>
            </w:tcBorders>
            <w:noWrap/>
            <w:vAlign w:val="center"/>
            <w:hideMark/>
          </w:tcPr>
          <w:p w14:paraId="0422C3F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Status poduzeća</w:t>
            </w:r>
          </w:p>
        </w:tc>
        <w:tc>
          <w:tcPr>
            <w:tcW w:w="554" w:type="pct"/>
            <w:tcBorders>
              <w:top w:val="nil"/>
              <w:left w:val="nil"/>
              <w:bottom w:val="nil"/>
              <w:right w:val="nil"/>
            </w:tcBorders>
            <w:noWrap/>
            <w:vAlign w:val="center"/>
            <w:hideMark/>
          </w:tcPr>
          <w:p w14:paraId="44C4C8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-1.36</w:t>
            </w:r>
          </w:p>
        </w:tc>
        <w:tc>
          <w:tcPr>
            <w:tcW w:w="934" w:type="pct"/>
            <w:tcBorders>
              <w:top w:val="nil"/>
              <w:left w:val="nil"/>
              <w:bottom w:val="nil"/>
              <w:right w:val="nil"/>
            </w:tcBorders>
            <w:noWrap/>
            <w:vAlign w:val="center"/>
            <w:hideMark/>
          </w:tcPr>
          <w:p w14:paraId="4C5DF38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w:t>
            </w:r>
          </w:p>
        </w:tc>
        <w:tc>
          <w:tcPr>
            <w:tcW w:w="988" w:type="pct"/>
            <w:tcBorders>
              <w:top w:val="nil"/>
              <w:left w:val="nil"/>
              <w:bottom w:val="nil"/>
              <w:right w:val="nil"/>
            </w:tcBorders>
            <w:noWrap/>
            <w:vAlign w:val="center"/>
            <w:hideMark/>
          </w:tcPr>
          <w:p w14:paraId="4B549F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-0.42</w:t>
            </w:r>
          </w:p>
        </w:tc>
        <w:tc>
          <w:tcPr>
            <w:tcW w:w="647" w:type="pct"/>
            <w:tcBorders>
              <w:top w:val="nil"/>
              <w:left w:val="nil"/>
              <w:bottom w:val="nil"/>
              <w:right w:val="nil"/>
            </w:tcBorders>
            <w:noWrap/>
            <w:vAlign w:val="center"/>
            <w:hideMark/>
          </w:tcPr>
          <w:p w14:paraId="088209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0.006</w:t>
            </w:r>
          </w:p>
        </w:tc>
      </w:tr>
      <w:tr w:rsidR="00120B4F" w:rsidRPr="00BE5472" w14:paraId="1D798636" w14:textId="77777777" w:rsidTr="003C2F5B">
        <w:trPr>
          <w:trHeight w:val="330"/>
        </w:trPr>
        <w:tc>
          <w:tcPr>
            <w:tcW w:w="1877" w:type="pct"/>
            <w:tcBorders>
              <w:top w:val="single" w:sz="4" w:space="0" w:color="auto"/>
              <w:left w:val="nil"/>
              <w:bottom w:val="nil"/>
              <w:right w:val="nil"/>
            </w:tcBorders>
            <w:noWrap/>
            <w:vAlign w:val="bottom"/>
            <w:hideMark/>
          </w:tcPr>
          <w:p w14:paraId="35F56EB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single" w:sz="4" w:space="0" w:color="auto"/>
              <w:left w:val="nil"/>
              <w:bottom w:val="nil"/>
              <w:right w:val="nil"/>
            </w:tcBorders>
            <w:noWrap/>
            <w:vAlign w:val="center"/>
            <w:hideMark/>
          </w:tcPr>
          <w:p w14:paraId="23A574A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0.86</w:t>
            </w:r>
          </w:p>
        </w:tc>
      </w:tr>
      <w:tr w:rsidR="00120B4F" w:rsidRPr="00BE5472" w14:paraId="11383122" w14:textId="77777777" w:rsidTr="003C2F5B">
        <w:trPr>
          <w:trHeight w:val="315"/>
        </w:trPr>
        <w:tc>
          <w:tcPr>
            <w:tcW w:w="1877" w:type="pct"/>
            <w:tcBorders>
              <w:top w:val="nil"/>
              <w:left w:val="nil"/>
              <w:bottom w:val="nil"/>
              <w:right w:val="nil"/>
            </w:tcBorders>
            <w:noWrap/>
            <w:vAlign w:val="bottom"/>
            <w:hideMark/>
          </w:tcPr>
          <w:p w14:paraId="5A1E810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nil"/>
              <w:left w:val="nil"/>
              <w:bottom w:val="nil"/>
              <w:right w:val="nil"/>
            </w:tcBorders>
            <w:noWrap/>
            <w:vAlign w:val="center"/>
            <w:hideMark/>
          </w:tcPr>
          <w:p w14:paraId="5F4911A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r>
      <w:tr w:rsidR="00120B4F" w:rsidRPr="00BE5472" w14:paraId="0D27644F" w14:textId="77777777" w:rsidTr="003C2F5B">
        <w:trPr>
          <w:trHeight w:val="315"/>
        </w:trPr>
        <w:tc>
          <w:tcPr>
            <w:tcW w:w="1877" w:type="pct"/>
            <w:tcBorders>
              <w:top w:val="nil"/>
              <w:left w:val="nil"/>
              <w:bottom w:val="nil"/>
              <w:right w:val="nil"/>
            </w:tcBorders>
            <w:noWrap/>
            <w:vAlign w:val="bottom"/>
            <w:hideMark/>
          </w:tcPr>
          <w:p w14:paraId="33C18E9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3123" w:type="pct"/>
            <w:gridSpan w:val="4"/>
            <w:tcBorders>
              <w:top w:val="nil"/>
              <w:left w:val="nil"/>
              <w:bottom w:val="nil"/>
              <w:right w:val="nil"/>
            </w:tcBorders>
            <w:noWrap/>
            <w:vAlign w:val="center"/>
            <w:hideMark/>
          </w:tcPr>
          <w:p w14:paraId="238700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0.85</w:t>
            </w:r>
          </w:p>
        </w:tc>
      </w:tr>
      <w:tr w:rsidR="00120B4F" w:rsidRPr="00BE5472" w14:paraId="69305316" w14:textId="77777777" w:rsidTr="003C2F5B">
        <w:trPr>
          <w:trHeight w:val="315"/>
        </w:trPr>
        <w:tc>
          <w:tcPr>
            <w:tcW w:w="1877" w:type="pct"/>
            <w:tcBorders>
              <w:top w:val="nil"/>
              <w:left w:val="nil"/>
              <w:bottom w:val="nil"/>
              <w:right w:val="nil"/>
            </w:tcBorders>
            <w:noWrap/>
            <w:vAlign w:val="bottom"/>
            <w:hideMark/>
          </w:tcPr>
          <w:p w14:paraId="3B3FEBF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3123" w:type="pct"/>
            <w:gridSpan w:val="4"/>
            <w:tcBorders>
              <w:top w:val="nil"/>
              <w:left w:val="nil"/>
              <w:bottom w:val="nil"/>
              <w:right w:val="nil"/>
            </w:tcBorders>
            <w:noWrap/>
            <w:vAlign w:val="center"/>
            <w:hideMark/>
          </w:tcPr>
          <w:p w14:paraId="1E4C1E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w:t>
            </w:r>
          </w:p>
        </w:tc>
      </w:tr>
      <w:tr w:rsidR="00120B4F" w:rsidRPr="00BE5472" w14:paraId="17BBC787" w14:textId="77777777" w:rsidTr="003C2F5B">
        <w:trPr>
          <w:trHeight w:val="330"/>
        </w:trPr>
        <w:tc>
          <w:tcPr>
            <w:tcW w:w="1877" w:type="pct"/>
            <w:tcBorders>
              <w:top w:val="nil"/>
              <w:left w:val="nil"/>
              <w:bottom w:val="single" w:sz="4" w:space="0" w:color="auto"/>
              <w:right w:val="nil"/>
            </w:tcBorders>
            <w:noWrap/>
            <w:vAlign w:val="bottom"/>
            <w:hideMark/>
          </w:tcPr>
          <w:p w14:paraId="7DF05FC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3123" w:type="pct"/>
            <w:gridSpan w:val="4"/>
            <w:tcBorders>
              <w:top w:val="nil"/>
              <w:left w:val="nil"/>
              <w:bottom w:val="single" w:sz="4" w:space="0" w:color="auto"/>
              <w:right w:val="nil"/>
            </w:tcBorders>
            <w:noWrap/>
            <w:vAlign w:val="center"/>
            <w:hideMark/>
          </w:tcPr>
          <w:p w14:paraId="0997985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w:t>
            </w:r>
          </w:p>
        </w:tc>
      </w:tr>
    </w:tbl>
    <w:p w14:paraId="19E246EF" w14:textId="37CD2C79"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18C7FDD7" w14:textId="10DFC1A3"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Pomoću modela višerazinske linearne regresijske analize utvrđeno je da ne postoji statistički značajna razlika u pokazatelju </w:t>
      </w:r>
      <w:r w:rsidR="00596A9B">
        <w:rPr>
          <w:rFonts w:ascii="Times New Roman" w:hAnsi="Times New Roman" w:cs="Times New Roman"/>
          <w:kern w:val="2"/>
          <w:sz w:val="24"/>
          <w14:ligatures w14:val="standardContextual"/>
        </w:rPr>
        <w:t>MVA</w:t>
      </w:r>
      <w:r w:rsidRPr="00BE5472">
        <w:rPr>
          <w:rFonts w:ascii="Times New Roman" w:hAnsi="Times New Roman" w:cs="Times New Roman"/>
          <w:kern w:val="2"/>
          <w:sz w:val="24"/>
          <w14:ligatures w14:val="standardContextual"/>
        </w:rPr>
        <w:t xml:space="preserve"> između razdoblja prije i nakon preuzimanja poduzeća (B = -0.12,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[-2.36, 2.13], p = .924). S druge strane,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0.55,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[0.04, 1.07], p = .036), pri čemu je ustanovljeno da je </w:t>
      </w:r>
      <w:r w:rsidRPr="00BE5472">
        <w:rPr>
          <w:rFonts w:ascii="Times New Roman" w:hAnsi="Times New Roman" w:cs="Times New Roman"/>
          <w:b/>
          <w:bCs/>
          <w:kern w:val="2"/>
          <w:sz w:val="24"/>
          <w14:ligatures w14:val="standardContextual"/>
        </w:rPr>
        <w:t>logaritmirana vrijednost MVA</w:t>
      </w:r>
      <w:r w:rsidR="0007037B" w:rsidRPr="00BE5472">
        <w:rPr>
          <w:rFonts w:ascii="Times New Roman" w:hAnsi="Times New Roman" w:cs="Times New Roman"/>
          <w:b/>
          <w:bCs/>
          <w:kern w:val="2"/>
          <w:sz w:val="24"/>
          <w14:ligatures w14:val="standardContextual"/>
        </w:rPr>
        <w:t>-e</w:t>
      </w:r>
      <w:r w:rsidRPr="00BE5472">
        <w:rPr>
          <w:rFonts w:ascii="Times New Roman" w:hAnsi="Times New Roman" w:cs="Times New Roman"/>
          <w:b/>
          <w:bCs/>
          <w:kern w:val="2"/>
          <w:sz w:val="24"/>
          <w14:ligatures w14:val="standardContextual"/>
        </w:rPr>
        <w:t xml:space="preserve"> u prosjeku godišnje rasla za 0.55 bodova,</w:t>
      </w:r>
      <w:r w:rsidRPr="00BE5472">
        <w:rPr>
          <w:rFonts w:ascii="Times New Roman" w:hAnsi="Times New Roman" w:cs="Times New Roman"/>
          <w:kern w:val="2"/>
          <w:sz w:val="24"/>
          <w14:ligatures w14:val="standardContextual"/>
        </w:rPr>
        <w:t xml:space="preserve"> što nakon vraćanja na originalnu ljestvicu upućuje na prosječni porast od 77</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godišnje. Nadalje, utvrđena je </w:t>
      </w:r>
      <w:r w:rsidRPr="00BE5472">
        <w:rPr>
          <w:rFonts w:ascii="Times New Roman" w:hAnsi="Times New Roman" w:cs="Times New Roman"/>
          <w:b/>
          <w:bCs/>
          <w:kern w:val="2"/>
          <w:sz w:val="24"/>
          <w14:ligatures w14:val="standardContextual"/>
        </w:rPr>
        <w:t>statistički značajna interakcija između statusa poduzeća i vremenskog trenda</w:t>
      </w:r>
      <w:r w:rsidRPr="00BE5472">
        <w:rPr>
          <w:rFonts w:ascii="Times New Roman" w:hAnsi="Times New Roman" w:cs="Times New Roman"/>
          <w:kern w:val="2"/>
          <w:sz w:val="24"/>
          <w14:ligatures w14:val="standardContextual"/>
        </w:rPr>
        <w:t xml:space="preserve"> (B = -1.36,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[-2.30, -0.42], p = .</w:t>
      </w:r>
      <w:r w:rsidR="00CF2DED">
        <w:rPr>
          <w:rFonts w:ascii="Times New Roman" w:hAnsi="Times New Roman" w:cs="Times New Roman"/>
          <w:kern w:val="2"/>
          <w:sz w:val="24"/>
          <w14:ligatures w14:val="standardContextual"/>
        </w:rPr>
        <w:t>006</w:t>
      </w:r>
      <w:r w:rsidRPr="00BE5472">
        <w:rPr>
          <w:rFonts w:ascii="Times New Roman" w:hAnsi="Times New Roman" w:cs="Times New Roman"/>
          <w:kern w:val="2"/>
          <w:sz w:val="24"/>
          <w14:ligatures w14:val="standardContextual"/>
        </w:rPr>
        <w:t>), pri čemu je pokazatelj MVA značajno rastao u vremenu prije preuzimanja (B = 1.23,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[0.47, 2.00], p = .002), odnosno po stopi od 243</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godišnje u prosjeku, dok nije bilo promjene u funkciji vremena u periodu nakon preuzimanja (B = -0.13,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[-0.75, 0.50], p = .684).</w:t>
      </w:r>
    </w:p>
    <w:p w14:paraId="4B61F1BA" w14:textId="77777777"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Na temelju provedenih analiza može se zaključiti da se hipoteza H3 </w:t>
      </w:r>
      <w:r w:rsidRPr="00BE5472">
        <w:rPr>
          <w:rFonts w:ascii="Times New Roman" w:hAnsi="Times New Roman" w:cs="Times New Roman"/>
          <w:b/>
          <w:bCs/>
          <w:kern w:val="2"/>
          <w:sz w:val="24"/>
          <w14:ligatures w14:val="standardContextual"/>
        </w:rPr>
        <w:t>djelomično potvrđuje</w:t>
      </w:r>
      <w:r w:rsidRPr="00BE5472">
        <w:rPr>
          <w:rFonts w:ascii="Times New Roman" w:hAnsi="Times New Roman" w:cs="Times New Roman"/>
          <w:kern w:val="2"/>
          <w:sz w:val="24"/>
          <w14:ligatures w14:val="standardContextual"/>
        </w:rPr>
        <w:t xml:space="preserve">, budući da su pozitivni učinci procesa spajanja i preuzimanja utvrđeni za pojedine pokazatelje </w:t>
      </w:r>
      <w:r w:rsidRPr="00BE5472">
        <w:rPr>
          <w:rFonts w:ascii="Times New Roman" w:hAnsi="Times New Roman" w:cs="Times New Roman"/>
          <w:kern w:val="2"/>
          <w:sz w:val="24"/>
          <w14:ligatures w14:val="standardContextual"/>
        </w:rPr>
        <w:lastRenderedPageBreak/>
        <w:t>uspješnosti, dok za većinu financijskih i tržišnih pokazatelja nisu zabilježene statistički značajne razlike između razdoblja prije i nakon akvizicije.</w:t>
      </w:r>
    </w:p>
    <w:p w14:paraId="0783577F" w14:textId="77777777" w:rsidR="00120B4F" w:rsidRPr="00BE5472" w:rsidRDefault="00120B4F" w:rsidP="00120B4F">
      <w:pPr>
        <w:spacing w:line="360" w:lineRule="auto"/>
        <w:jc w:val="both"/>
        <w:rPr>
          <w:rFonts w:ascii="Times New Roman" w:hAnsi="Times New Roman" w:cs="Times New Roman"/>
          <w:kern w:val="2"/>
          <w:sz w:val="24"/>
          <w14:ligatures w14:val="standardContextual"/>
        </w:rPr>
      </w:pPr>
    </w:p>
    <w:p w14:paraId="72EFA962" w14:textId="0151C5B8" w:rsidR="00120B4F" w:rsidRPr="00BE5472" w:rsidRDefault="00120B4F" w:rsidP="00A97F79">
      <w:pPr>
        <w:pStyle w:val="Heading3"/>
        <w:rPr>
          <w:rFonts w:ascii="Times New Roman" w:hAnsi="Times New Roman" w:cs="Times New Roman"/>
        </w:rPr>
      </w:pPr>
      <w:bookmarkStart w:id="232" w:name="_Toc241865175"/>
      <w:r w:rsidRPr="00BE5472">
        <w:rPr>
          <w:rFonts w:ascii="Times New Roman" w:hAnsi="Times New Roman" w:cs="Times New Roman"/>
        </w:rPr>
        <w:t xml:space="preserve">5.2.5. </w:t>
      </w:r>
      <w:r w:rsidR="001E6921" w:rsidRPr="00BE5472">
        <w:rPr>
          <w:rFonts w:ascii="Times New Roman" w:hAnsi="Times New Roman" w:cs="Times New Roman"/>
        </w:rPr>
        <w:t>Usporedna analiza pokazatelja uspješnosti poduzeća koja su prošla i koja nisu prošla proces akvizicije</w:t>
      </w:r>
      <w:bookmarkEnd w:id="232"/>
    </w:p>
    <w:p w14:paraId="19EC7827" w14:textId="77777777" w:rsidR="00A97F79" w:rsidRPr="00BE5472" w:rsidRDefault="00A97F79" w:rsidP="00A97F79">
      <w:pPr>
        <w:rPr>
          <w:rFonts w:ascii="Times New Roman" w:hAnsi="Times New Roman" w:cs="Times New Roman"/>
        </w:rPr>
      </w:pPr>
    </w:p>
    <w:p w14:paraId="6F4211E1" w14:textId="77777777" w:rsidR="00120B4F" w:rsidRPr="00BE5472" w:rsidRDefault="00120B4F" w:rsidP="00120B4F">
      <w:pPr>
        <w:rPr>
          <w:rFonts w:ascii="Times New Roman" w:hAnsi="Times New Roman" w:cs="Times New Roman"/>
          <w:sz w:val="24"/>
          <w:szCs w:val="24"/>
        </w:rPr>
      </w:pPr>
      <w:bookmarkStart w:id="233" w:name="_Toc182495680"/>
      <w:r w:rsidRPr="00BE5472">
        <w:rPr>
          <w:rFonts w:ascii="Times New Roman" w:hAnsi="Times New Roman" w:cs="Times New Roman"/>
          <w:sz w:val="24"/>
          <w:szCs w:val="24"/>
        </w:rPr>
        <w:t>Započinje se s financijskim pokazatelji</w:t>
      </w:r>
      <w:bookmarkEnd w:id="233"/>
      <w:r w:rsidRPr="00BE5472">
        <w:rPr>
          <w:rFonts w:ascii="Times New Roman" w:hAnsi="Times New Roman" w:cs="Times New Roman"/>
          <w:sz w:val="24"/>
          <w:szCs w:val="24"/>
        </w:rPr>
        <w:t>ma.</w:t>
      </w:r>
    </w:p>
    <w:p w14:paraId="54B4D98D" w14:textId="77777777" w:rsidR="00120B4F" w:rsidRPr="00BE5472" w:rsidRDefault="00120B4F" w:rsidP="00120B4F">
      <w:pPr>
        <w:rPr>
          <w:rFonts w:ascii="Times New Roman" w:hAnsi="Times New Roman" w:cs="Times New Roman"/>
          <w:sz w:val="24"/>
          <w:szCs w:val="24"/>
        </w:rPr>
      </w:pPr>
    </w:p>
    <w:p w14:paraId="390AD6F5" w14:textId="77777777" w:rsidR="00120B4F" w:rsidRPr="00BE5472" w:rsidRDefault="00120B4F" w:rsidP="00490975">
      <w:pPr>
        <w:rPr>
          <w:rFonts w:ascii="Times New Roman" w:hAnsi="Times New Roman" w:cs="Times New Roman"/>
          <w:b/>
          <w:bCs/>
          <w:sz w:val="24"/>
          <w:szCs w:val="24"/>
        </w:rPr>
      </w:pPr>
      <w:bookmarkStart w:id="234" w:name="_Toc182495681"/>
      <w:r w:rsidRPr="00BE5472">
        <w:rPr>
          <w:rFonts w:ascii="Times New Roman" w:hAnsi="Times New Roman" w:cs="Times New Roman"/>
          <w:b/>
          <w:bCs/>
          <w:sz w:val="24"/>
          <w:szCs w:val="24"/>
        </w:rPr>
        <w:t>EBITDA</w:t>
      </w:r>
      <w:bookmarkEnd w:id="234"/>
    </w:p>
    <w:p w14:paraId="6FE53B95" w14:textId="2C3489DC"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5</w:t>
      </w:r>
      <w:r w:rsidR="00127A4E">
        <w:rPr>
          <w:rFonts w:ascii="Times New Roman" w:hAnsi="Times New Roman" w:cs="Times New Roman"/>
          <w:kern w:val="2"/>
          <w:sz w:val="24"/>
          <w14:ligatures w14:val="standardContextual"/>
        </w:rPr>
        <w:t>9</w:t>
      </w:r>
      <w:r w:rsidRPr="00BE5472">
        <w:rPr>
          <w:rFonts w:ascii="Times New Roman" w:hAnsi="Times New Roman" w:cs="Times New Roman"/>
          <w:kern w:val="2"/>
          <w:sz w:val="24"/>
          <w14:ligatures w14:val="standardContextual"/>
        </w:rPr>
        <w:t xml:space="preserve"> prikazani su rezultati testiranja razlike u visini pokazatelja EBITDA</w:t>
      </w:r>
      <w:r w:rsidR="0007037B" w:rsidRPr="00BE5472">
        <w:rPr>
          <w:rFonts w:ascii="Times New Roman" w:hAnsi="Times New Roman" w:cs="Times New Roman"/>
          <w:kern w:val="2"/>
          <w:sz w:val="24"/>
          <w14:ligatures w14:val="standardContextual"/>
        </w:rPr>
        <w:t>-e</w:t>
      </w:r>
      <w:r w:rsidRPr="00BE5472">
        <w:rPr>
          <w:rFonts w:ascii="Times New Roman" w:hAnsi="Times New Roman" w:cs="Times New Roman"/>
          <w:kern w:val="2"/>
          <w:sz w:val="24"/>
          <w14:ligatures w14:val="standardContextual"/>
        </w:rPr>
        <w:t xml:space="preserve"> između poduzeća koja su prošla proces preuzimanja drugog poduzeća i onih koji to nisu.</w:t>
      </w:r>
    </w:p>
    <w:p w14:paraId="482BC761" w14:textId="64A1FD05" w:rsidR="00120B4F" w:rsidRPr="00E1098E" w:rsidRDefault="00E1098E" w:rsidP="00E1098E">
      <w:pPr>
        <w:pStyle w:val="Caption"/>
        <w:rPr>
          <w:rFonts w:ascii="Times New Roman" w:hAnsi="Times New Roman" w:cs="Times New Roman"/>
          <w:kern w:val="2"/>
          <w:sz w:val="24"/>
          <w:szCs w:val="24"/>
          <w14:ligatures w14:val="standardContextual"/>
        </w:rPr>
      </w:pPr>
      <w:bookmarkStart w:id="235" w:name="_Toc241865253"/>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59</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EBITDA-i između poduzeća preuzimatelja i nepreuzimatelja</w:t>
      </w:r>
      <w:bookmarkEnd w:id="235"/>
    </w:p>
    <w:tbl>
      <w:tblPr>
        <w:tblW w:w="5000" w:type="pct"/>
        <w:tblLook w:val="04A0" w:firstRow="1" w:lastRow="0" w:firstColumn="1" w:lastColumn="0" w:noHBand="0" w:noVBand="1"/>
      </w:tblPr>
      <w:tblGrid>
        <w:gridCol w:w="3615"/>
        <w:gridCol w:w="943"/>
        <w:gridCol w:w="1631"/>
        <w:gridCol w:w="1728"/>
        <w:gridCol w:w="1112"/>
      </w:tblGrid>
      <w:tr w:rsidR="00120B4F" w:rsidRPr="00BE5472" w14:paraId="764E0AE1" w14:textId="77777777" w:rsidTr="003C2F5B">
        <w:trPr>
          <w:trHeight w:val="315"/>
        </w:trPr>
        <w:tc>
          <w:tcPr>
            <w:tcW w:w="2002" w:type="pct"/>
            <w:tcBorders>
              <w:top w:val="nil"/>
              <w:left w:val="nil"/>
              <w:bottom w:val="nil"/>
              <w:right w:val="nil"/>
            </w:tcBorders>
            <w:noWrap/>
            <w:vAlign w:val="bottom"/>
            <w:hideMark/>
          </w:tcPr>
          <w:p w14:paraId="528C9EA4"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77AEE19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0B10C91B" w14:textId="6103B7BD"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1DFFB84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2FD29211"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2B0460B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61FDF8A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6739322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1844E17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2589BAD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20D6F5B1" w14:textId="77777777" w:rsidTr="003C2F5B">
        <w:trPr>
          <w:trHeight w:val="315"/>
        </w:trPr>
        <w:tc>
          <w:tcPr>
            <w:tcW w:w="2002" w:type="pct"/>
            <w:tcBorders>
              <w:top w:val="nil"/>
              <w:left w:val="nil"/>
              <w:bottom w:val="nil"/>
              <w:right w:val="nil"/>
            </w:tcBorders>
            <w:noWrap/>
            <w:vAlign w:val="bottom"/>
            <w:hideMark/>
          </w:tcPr>
          <w:p w14:paraId="3C3A719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2924786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7.38</w:t>
            </w:r>
          </w:p>
        </w:tc>
        <w:tc>
          <w:tcPr>
            <w:tcW w:w="903" w:type="pct"/>
            <w:tcBorders>
              <w:top w:val="nil"/>
              <w:left w:val="nil"/>
              <w:bottom w:val="nil"/>
              <w:right w:val="nil"/>
            </w:tcBorders>
            <w:noWrap/>
            <w:vAlign w:val="center"/>
            <w:hideMark/>
          </w:tcPr>
          <w:p w14:paraId="772C23B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6.67</w:t>
            </w:r>
          </w:p>
        </w:tc>
        <w:tc>
          <w:tcPr>
            <w:tcW w:w="957" w:type="pct"/>
            <w:tcBorders>
              <w:top w:val="nil"/>
              <w:left w:val="nil"/>
              <w:bottom w:val="nil"/>
              <w:right w:val="nil"/>
            </w:tcBorders>
            <w:noWrap/>
            <w:vAlign w:val="center"/>
            <w:hideMark/>
          </w:tcPr>
          <w:p w14:paraId="73631FE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8.09</w:t>
            </w:r>
          </w:p>
        </w:tc>
        <w:tc>
          <w:tcPr>
            <w:tcW w:w="616" w:type="pct"/>
            <w:tcBorders>
              <w:top w:val="nil"/>
              <w:left w:val="nil"/>
              <w:bottom w:val="nil"/>
              <w:right w:val="nil"/>
            </w:tcBorders>
            <w:noWrap/>
            <w:vAlign w:val="center"/>
            <w:hideMark/>
          </w:tcPr>
          <w:p w14:paraId="3CCD08C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5A2B8DF" w14:textId="77777777" w:rsidTr="003C2F5B">
        <w:trPr>
          <w:trHeight w:val="315"/>
        </w:trPr>
        <w:tc>
          <w:tcPr>
            <w:tcW w:w="2002" w:type="pct"/>
            <w:tcBorders>
              <w:top w:val="nil"/>
              <w:left w:val="nil"/>
              <w:bottom w:val="nil"/>
              <w:right w:val="nil"/>
            </w:tcBorders>
            <w:noWrap/>
            <w:vAlign w:val="bottom"/>
            <w:hideMark/>
          </w:tcPr>
          <w:p w14:paraId="719C45A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1328833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903" w:type="pct"/>
            <w:tcBorders>
              <w:top w:val="nil"/>
              <w:left w:val="nil"/>
              <w:bottom w:val="nil"/>
              <w:right w:val="nil"/>
            </w:tcBorders>
            <w:noWrap/>
            <w:vAlign w:val="center"/>
            <w:hideMark/>
          </w:tcPr>
          <w:p w14:paraId="143E985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-0.30</w:t>
            </w:r>
          </w:p>
        </w:tc>
        <w:tc>
          <w:tcPr>
            <w:tcW w:w="957" w:type="pct"/>
            <w:tcBorders>
              <w:top w:val="nil"/>
              <w:left w:val="nil"/>
              <w:bottom w:val="nil"/>
              <w:right w:val="nil"/>
            </w:tcBorders>
            <w:noWrap/>
            <w:vAlign w:val="center"/>
            <w:hideMark/>
          </w:tcPr>
          <w:p w14:paraId="406726C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616" w:type="pct"/>
            <w:tcBorders>
              <w:top w:val="nil"/>
              <w:left w:val="nil"/>
              <w:bottom w:val="nil"/>
              <w:right w:val="nil"/>
            </w:tcBorders>
            <w:noWrap/>
            <w:vAlign w:val="center"/>
            <w:hideMark/>
          </w:tcPr>
          <w:p w14:paraId="5046C28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0.458</w:t>
            </w:r>
          </w:p>
        </w:tc>
      </w:tr>
      <w:tr w:rsidR="00120B4F" w:rsidRPr="00BE5472" w14:paraId="13BF4390" w14:textId="77777777" w:rsidTr="003C2F5B">
        <w:trPr>
          <w:trHeight w:val="315"/>
        </w:trPr>
        <w:tc>
          <w:tcPr>
            <w:tcW w:w="2002" w:type="pct"/>
            <w:tcBorders>
              <w:top w:val="nil"/>
              <w:left w:val="nil"/>
              <w:bottom w:val="nil"/>
              <w:right w:val="nil"/>
            </w:tcBorders>
            <w:noWrap/>
            <w:vAlign w:val="bottom"/>
            <w:hideMark/>
          </w:tcPr>
          <w:p w14:paraId="0E9B237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70AB9D7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1.00</w:t>
            </w:r>
          </w:p>
        </w:tc>
        <w:tc>
          <w:tcPr>
            <w:tcW w:w="903" w:type="pct"/>
            <w:tcBorders>
              <w:top w:val="nil"/>
              <w:left w:val="nil"/>
              <w:bottom w:val="nil"/>
              <w:right w:val="nil"/>
            </w:tcBorders>
            <w:noWrap/>
            <w:vAlign w:val="center"/>
            <w:hideMark/>
          </w:tcPr>
          <w:p w14:paraId="02C58C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-0.83</w:t>
            </w:r>
          </w:p>
        </w:tc>
        <w:tc>
          <w:tcPr>
            <w:tcW w:w="957" w:type="pct"/>
            <w:tcBorders>
              <w:top w:val="nil"/>
              <w:left w:val="nil"/>
              <w:bottom w:val="nil"/>
              <w:right w:val="nil"/>
            </w:tcBorders>
            <w:noWrap/>
            <w:vAlign w:val="center"/>
            <w:hideMark/>
          </w:tcPr>
          <w:p w14:paraId="6FA8ADC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2.83</w:t>
            </w:r>
          </w:p>
        </w:tc>
        <w:tc>
          <w:tcPr>
            <w:tcW w:w="616" w:type="pct"/>
            <w:tcBorders>
              <w:top w:val="nil"/>
              <w:left w:val="nil"/>
              <w:bottom w:val="nil"/>
              <w:right w:val="nil"/>
            </w:tcBorders>
            <w:noWrap/>
            <w:vAlign w:val="center"/>
            <w:hideMark/>
          </w:tcPr>
          <w:p w14:paraId="351F7B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0.280</w:t>
            </w:r>
          </w:p>
        </w:tc>
      </w:tr>
      <w:tr w:rsidR="00120B4F" w:rsidRPr="00BE5472" w14:paraId="724E9625" w14:textId="77777777" w:rsidTr="003C2F5B">
        <w:trPr>
          <w:trHeight w:val="315"/>
        </w:trPr>
        <w:tc>
          <w:tcPr>
            <w:tcW w:w="2002" w:type="pct"/>
            <w:tcBorders>
              <w:top w:val="nil"/>
              <w:left w:val="nil"/>
              <w:bottom w:val="nil"/>
              <w:right w:val="nil"/>
            </w:tcBorders>
            <w:noWrap/>
            <w:vAlign w:val="bottom"/>
            <w:hideMark/>
          </w:tcPr>
          <w:p w14:paraId="2B8FAF8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424C803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1.87</w:t>
            </w:r>
          </w:p>
        </w:tc>
        <w:tc>
          <w:tcPr>
            <w:tcW w:w="903" w:type="pct"/>
            <w:tcBorders>
              <w:top w:val="nil"/>
              <w:left w:val="nil"/>
              <w:bottom w:val="nil"/>
              <w:right w:val="nil"/>
            </w:tcBorders>
            <w:noWrap/>
            <w:vAlign w:val="center"/>
            <w:hideMark/>
          </w:tcPr>
          <w:p w14:paraId="0BDF991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0.22</w:t>
            </w:r>
          </w:p>
        </w:tc>
        <w:tc>
          <w:tcPr>
            <w:tcW w:w="957" w:type="pct"/>
            <w:tcBorders>
              <w:top w:val="nil"/>
              <w:left w:val="nil"/>
              <w:bottom w:val="nil"/>
              <w:right w:val="nil"/>
            </w:tcBorders>
            <w:noWrap/>
            <w:vAlign w:val="center"/>
            <w:hideMark/>
          </w:tcPr>
          <w:p w14:paraId="1C0102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3.52</w:t>
            </w:r>
          </w:p>
        </w:tc>
        <w:tc>
          <w:tcPr>
            <w:tcW w:w="616" w:type="pct"/>
            <w:tcBorders>
              <w:top w:val="nil"/>
              <w:left w:val="nil"/>
              <w:bottom w:val="nil"/>
              <w:right w:val="nil"/>
            </w:tcBorders>
            <w:noWrap/>
            <w:vAlign w:val="center"/>
            <w:hideMark/>
          </w:tcPr>
          <w:p w14:paraId="6DD3D2E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0.026</w:t>
            </w:r>
          </w:p>
        </w:tc>
      </w:tr>
      <w:tr w:rsidR="00120B4F" w:rsidRPr="00BE5472" w14:paraId="1295D493" w14:textId="77777777" w:rsidTr="003C2F5B">
        <w:trPr>
          <w:trHeight w:val="315"/>
        </w:trPr>
        <w:tc>
          <w:tcPr>
            <w:tcW w:w="2002" w:type="pct"/>
            <w:tcBorders>
              <w:top w:val="nil"/>
              <w:left w:val="nil"/>
              <w:bottom w:val="nil"/>
              <w:right w:val="nil"/>
            </w:tcBorders>
            <w:noWrap/>
            <w:vAlign w:val="bottom"/>
            <w:hideMark/>
          </w:tcPr>
          <w:p w14:paraId="4BE30C7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60630BC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w:t>
            </w:r>
          </w:p>
        </w:tc>
        <w:tc>
          <w:tcPr>
            <w:tcW w:w="903" w:type="pct"/>
            <w:tcBorders>
              <w:top w:val="nil"/>
              <w:left w:val="nil"/>
              <w:bottom w:val="nil"/>
              <w:right w:val="nil"/>
            </w:tcBorders>
            <w:noWrap/>
            <w:vAlign w:val="center"/>
            <w:hideMark/>
          </w:tcPr>
          <w:p w14:paraId="52C788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c>
          <w:tcPr>
            <w:tcW w:w="957" w:type="pct"/>
            <w:tcBorders>
              <w:top w:val="nil"/>
              <w:left w:val="nil"/>
              <w:bottom w:val="nil"/>
              <w:right w:val="nil"/>
            </w:tcBorders>
            <w:noWrap/>
            <w:vAlign w:val="center"/>
            <w:hideMark/>
          </w:tcPr>
          <w:p w14:paraId="4BBEA5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0.63</w:t>
            </w:r>
          </w:p>
        </w:tc>
        <w:tc>
          <w:tcPr>
            <w:tcW w:w="616" w:type="pct"/>
            <w:tcBorders>
              <w:top w:val="nil"/>
              <w:left w:val="nil"/>
              <w:bottom w:val="nil"/>
              <w:right w:val="nil"/>
            </w:tcBorders>
            <w:noWrap/>
            <w:vAlign w:val="center"/>
            <w:hideMark/>
          </w:tcPr>
          <w:p w14:paraId="6BDCD9A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0.388</w:t>
            </w:r>
          </w:p>
        </w:tc>
      </w:tr>
      <w:tr w:rsidR="00120B4F" w:rsidRPr="00BE5472" w14:paraId="64744053" w14:textId="77777777" w:rsidTr="003C2F5B">
        <w:trPr>
          <w:trHeight w:val="315"/>
        </w:trPr>
        <w:tc>
          <w:tcPr>
            <w:tcW w:w="2002" w:type="pct"/>
            <w:tcBorders>
              <w:top w:val="single" w:sz="4" w:space="0" w:color="auto"/>
              <w:left w:val="nil"/>
              <w:bottom w:val="nil"/>
              <w:right w:val="nil"/>
            </w:tcBorders>
            <w:noWrap/>
            <w:vAlign w:val="bottom"/>
            <w:hideMark/>
          </w:tcPr>
          <w:p w14:paraId="1908D23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02752E0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120B4F" w:rsidRPr="00BE5472" w14:paraId="4F11CD77" w14:textId="77777777" w:rsidTr="003C2F5B">
        <w:trPr>
          <w:trHeight w:val="315"/>
        </w:trPr>
        <w:tc>
          <w:tcPr>
            <w:tcW w:w="2002" w:type="pct"/>
            <w:tcBorders>
              <w:top w:val="nil"/>
              <w:left w:val="nil"/>
              <w:bottom w:val="nil"/>
              <w:right w:val="nil"/>
            </w:tcBorders>
            <w:noWrap/>
            <w:vAlign w:val="bottom"/>
            <w:hideMark/>
          </w:tcPr>
          <w:p w14:paraId="5AD4924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27FDCF9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120B4F" w:rsidRPr="00BE5472" w14:paraId="29538620" w14:textId="77777777" w:rsidTr="003C2F5B">
        <w:trPr>
          <w:trHeight w:val="315"/>
        </w:trPr>
        <w:tc>
          <w:tcPr>
            <w:tcW w:w="2002" w:type="pct"/>
            <w:tcBorders>
              <w:top w:val="nil"/>
              <w:left w:val="nil"/>
              <w:bottom w:val="nil"/>
              <w:right w:val="nil"/>
            </w:tcBorders>
            <w:noWrap/>
            <w:vAlign w:val="bottom"/>
            <w:hideMark/>
          </w:tcPr>
          <w:p w14:paraId="7904208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2E5FB94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34D23052" w14:textId="77777777" w:rsidTr="003C2F5B">
        <w:trPr>
          <w:trHeight w:val="315"/>
        </w:trPr>
        <w:tc>
          <w:tcPr>
            <w:tcW w:w="2002" w:type="pct"/>
            <w:tcBorders>
              <w:top w:val="nil"/>
              <w:left w:val="nil"/>
              <w:bottom w:val="nil"/>
              <w:right w:val="nil"/>
            </w:tcBorders>
            <w:noWrap/>
            <w:vAlign w:val="bottom"/>
            <w:hideMark/>
          </w:tcPr>
          <w:p w14:paraId="044D4F5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24E9B5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06273E52" w14:textId="77777777" w:rsidTr="003C2F5B">
        <w:trPr>
          <w:trHeight w:val="315"/>
        </w:trPr>
        <w:tc>
          <w:tcPr>
            <w:tcW w:w="2002" w:type="pct"/>
            <w:tcBorders>
              <w:top w:val="nil"/>
              <w:left w:val="nil"/>
              <w:bottom w:val="single" w:sz="4" w:space="0" w:color="auto"/>
              <w:right w:val="nil"/>
            </w:tcBorders>
            <w:noWrap/>
            <w:vAlign w:val="bottom"/>
            <w:hideMark/>
          </w:tcPr>
          <w:p w14:paraId="7E9499C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25DC0E8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A8E9660" w14:textId="0BEFC527"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3B2B9866" w14:textId="796D3E81"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Pomoću modela višerazinske linearne regresijske analize utvrđeno je </w:t>
      </w:r>
      <w:r w:rsidRPr="00BE5472">
        <w:rPr>
          <w:rFonts w:ascii="Times New Roman" w:hAnsi="Times New Roman" w:cs="Times New Roman"/>
          <w:b/>
          <w:bCs/>
          <w:kern w:val="2"/>
          <w:sz w:val="24"/>
          <w14:ligatures w14:val="standardContextual"/>
        </w:rPr>
        <w:t>da postoji statistički značajna razlika u pokazatelju EBITDA</w:t>
      </w:r>
      <w:r w:rsidR="0007037B" w:rsidRPr="00BE5472">
        <w:rPr>
          <w:rFonts w:ascii="Times New Roman" w:hAnsi="Times New Roman" w:cs="Times New Roman"/>
          <w:b/>
          <w:bCs/>
          <w:kern w:val="2"/>
          <w:sz w:val="24"/>
          <w14:ligatures w14:val="standardContextual"/>
        </w:rPr>
        <w:t>-e</w:t>
      </w:r>
      <w:r w:rsidRPr="00BE5472">
        <w:rPr>
          <w:rFonts w:ascii="Times New Roman" w:hAnsi="Times New Roman" w:cs="Times New Roman"/>
          <w:b/>
          <w:bCs/>
          <w:kern w:val="2"/>
          <w:sz w:val="24"/>
          <w14:ligatures w14:val="standardContextual"/>
        </w:rPr>
        <w:t xml:space="preserve"> između poduzeća koja su prošla proces preuzimanja drugog poduzeća i onih koji to nisu</w:t>
      </w:r>
      <w:r w:rsidRPr="00BE5472">
        <w:rPr>
          <w:rFonts w:ascii="Times New Roman" w:hAnsi="Times New Roman" w:cs="Times New Roman"/>
          <w:kern w:val="2"/>
          <w:sz w:val="24"/>
          <w14:ligatures w14:val="standardContextual"/>
        </w:rPr>
        <w:t xml:space="preserve"> (B = 1.87,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[-2.36, 2.13], p = .924), što označava da poduzeća koja su prošla proces preuzimanja imaju u prosjeku 551</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veću vrijednost EBITDA pokazatelja. S druge strane, nije utvrđen statistički značajan vremenski </w:t>
      </w:r>
      <w:r w:rsidRPr="00BE5472">
        <w:rPr>
          <w:rFonts w:ascii="Times New Roman" w:hAnsi="Times New Roman" w:cs="Times New Roman"/>
          <w:kern w:val="2"/>
          <w:sz w:val="24"/>
          <w14:ligatures w14:val="standardContextual"/>
        </w:rPr>
        <w:lastRenderedPageBreak/>
        <w:t>trend (B = -0.08,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[-0.30, 0.14], p = .458) ni statistički značajna interakcija između tipa poduzeća i vremenskog trenda (B = 0.19,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[-0.25, 0.63], p = .388).</w:t>
      </w:r>
    </w:p>
    <w:p w14:paraId="12824B63" w14:textId="77777777" w:rsidR="00120B4F" w:rsidRPr="00BE5472" w:rsidRDefault="00120B4F" w:rsidP="00120B4F">
      <w:pPr>
        <w:spacing w:line="360" w:lineRule="auto"/>
        <w:jc w:val="both"/>
        <w:rPr>
          <w:rFonts w:ascii="Times New Roman" w:hAnsi="Times New Roman" w:cs="Times New Roman"/>
          <w:b/>
          <w:bCs/>
          <w:kern w:val="2"/>
          <w:sz w:val="24"/>
          <w14:ligatures w14:val="standardContextual"/>
        </w:rPr>
      </w:pPr>
      <w:r w:rsidRPr="00BE5472">
        <w:rPr>
          <w:rFonts w:ascii="Times New Roman" w:hAnsi="Times New Roman" w:cs="Times New Roman"/>
          <w:b/>
          <w:bCs/>
          <w:kern w:val="2"/>
          <w:sz w:val="24"/>
          <w14:ligatures w14:val="standardContextual"/>
        </w:rPr>
        <w:t>ROA</w:t>
      </w:r>
    </w:p>
    <w:p w14:paraId="2B92CFA3" w14:textId="7A11CCD9"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60</w:t>
      </w:r>
      <w:r w:rsidRPr="00BE5472">
        <w:rPr>
          <w:rFonts w:ascii="Times New Roman" w:hAnsi="Times New Roman" w:cs="Times New Roman"/>
          <w:kern w:val="2"/>
          <w:sz w:val="24"/>
          <w14:ligatures w14:val="standardContextual"/>
        </w:rPr>
        <w:t xml:space="preserve"> prikazani su rezultati testiranja razlike u visini pokazatelja ROA</w:t>
      </w:r>
      <w:r w:rsidR="0007037B" w:rsidRPr="00BE5472">
        <w:rPr>
          <w:rFonts w:ascii="Times New Roman" w:hAnsi="Times New Roman" w:cs="Times New Roman"/>
          <w:kern w:val="2"/>
          <w:sz w:val="24"/>
          <w14:ligatures w14:val="standardContextual"/>
        </w:rPr>
        <w:t>-e</w:t>
      </w:r>
      <w:r w:rsidRPr="00BE5472">
        <w:rPr>
          <w:rFonts w:ascii="Times New Roman" w:hAnsi="Times New Roman" w:cs="Times New Roman"/>
          <w:kern w:val="2"/>
          <w:sz w:val="24"/>
          <w14:ligatures w14:val="standardContextual"/>
        </w:rPr>
        <w:t xml:space="preserve"> između poduzeća koja su prošla proces preuzimanja drugog poduzeća i onih koji to nisu.</w:t>
      </w:r>
    </w:p>
    <w:p w14:paraId="3A345C4F" w14:textId="426E9511" w:rsidR="00120B4F" w:rsidRPr="00E1098E" w:rsidRDefault="00E1098E" w:rsidP="00E1098E">
      <w:pPr>
        <w:pStyle w:val="Caption"/>
        <w:rPr>
          <w:rFonts w:ascii="Times New Roman" w:hAnsi="Times New Roman" w:cs="Times New Roman"/>
          <w:kern w:val="2"/>
          <w:sz w:val="24"/>
          <w:szCs w:val="24"/>
          <w14:ligatures w14:val="standardContextual"/>
        </w:rPr>
      </w:pPr>
      <w:bookmarkStart w:id="236" w:name="_Toc241865254"/>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60</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ROA-i između poduzeća preuzimatelja i nepreuzimatelja</w:t>
      </w:r>
      <w:bookmarkEnd w:id="236"/>
    </w:p>
    <w:tbl>
      <w:tblPr>
        <w:tblW w:w="5000" w:type="pct"/>
        <w:tblLook w:val="04A0" w:firstRow="1" w:lastRow="0" w:firstColumn="1" w:lastColumn="0" w:noHBand="0" w:noVBand="1"/>
      </w:tblPr>
      <w:tblGrid>
        <w:gridCol w:w="3615"/>
        <w:gridCol w:w="943"/>
        <w:gridCol w:w="1631"/>
        <w:gridCol w:w="1728"/>
        <w:gridCol w:w="1112"/>
      </w:tblGrid>
      <w:tr w:rsidR="00120B4F" w:rsidRPr="00BE5472" w14:paraId="06817A1D" w14:textId="77777777" w:rsidTr="003C2F5B">
        <w:trPr>
          <w:trHeight w:val="315"/>
        </w:trPr>
        <w:tc>
          <w:tcPr>
            <w:tcW w:w="1877" w:type="pct"/>
            <w:tcBorders>
              <w:top w:val="nil"/>
              <w:left w:val="nil"/>
              <w:bottom w:val="nil"/>
              <w:right w:val="nil"/>
            </w:tcBorders>
            <w:noWrap/>
            <w:vAlign w:val="bottom"/>
            <w:hideMark/>
          </w:tcPr>
          <w:p w14:paraId="05C6101B"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54" w:type="pct"/>
            <w:tcBorders>
              <w:top w:val="single" w:sz="4" w:space="0" w:color="auto"/>
              <w:left w:val="nil"/>
              <w:bottom w:val="nil"/>
              <w:right w:val="nil"/>
            </w:tcBorders>
            <w:noWrap/>
            <w:vAlign w:val="center"/>
            <w:hideMark/>
          </w:tcPr>
          <w:p w14:paraId="1A64814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922" w:type="pct"/>
            <w:gridSpan w:val="2"/>
            <w:tcBorders>
              <w:top w:val="single" w:sz="4" w:space="0" w:color="auto"/>
              <w:left w:val="nil"/>
              <w:bottom w:val="nil"/>
              <w:right w:val="nil"/>
            </w:tcBorders>
            <w:noWrap/>
            <w:vAlign w:val="center"/>
            <w:hideMark/>
          </w:tcPr>
          <w:p w14:paraId="1CC02D61" w14:textId="556ACD25"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47" w:type="pct"/>
            <w:tcBorders>
              <w:top w:val="single" w:sz="4" w:space="0" w:color="auto"/>
              <w:left w:val="nil"/>
              <w:bottom w:val="nil"/>
              <w:right w:val="nil"/>
            </w:tcBorders>
            <w:noWrap/>
            <w:vAlign w:val="center"/>
            <w:hideMark/>
          </w:tcPr>
          <w:p w14:paraId="139998A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74A0466A" w14:textId="77777777" w:rsidTr="003C2F5B">
        <w:trPr>
          <w:trHeight w:val="315"/>
        </w:trPr>
        <w:tc>
          <w:tcPr>
            <w:tcW w:w="1877" w:type="pct"/>
            <w:tcBorders>
              <w:top w:val="single" w:sz="4" w:space="0" w:color="auto"/>
              <w:left w:val="nil"/>
              <w:bottom w:val="single" w:sz="4" w:space="0" w:color="auto"/>
              <w:right w:val="nil"/>
            </w:tcBorders>
            <w:noWrap/>
            <w:vAlign w:val="bottom"/>
            <w:hideMark/>
          </w:tcPr>
          <w:p w14:paraId="3036564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54" w:type="pct"/>
            <w:tcBorders>
              <w:top w:val="single" w:sz="4" w:space="0" w:color="auto"/>
              <w:left w:val="nil"/>
              <w:bottom w:val="single" w:sz="4" w:space="0" w:color="auto"/>
              <w:right w:val="nil"/>
            </w:tcBorders>
            <w:noWrap/>
            <w:vAlign w:val="center"/>
            <w:hideMark/>
          </w:tcPr>
          <w:p w14:paraId="2F99581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34" w:type="pct"/>
            <w:tcBorders>
              <w:top w:val="single" w:sz="4" w:space="0" w:color="auto"/>
              <w:left w:val="nil"/>
              <w:bottom w:val="single" w:sz="4" w:space="0" w:color="auto"/>
              <w:right w:val="nil"/>
            </w:tcBorders>
            <w:noWrap/>
            <w:vAlign w:val="center"/>
            <w:hideMark/>
          </w:tcPr>
          <w:p w14:paraId="28D4F9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88" w:type="pct"/>
            <w:tcBorders>
              <w:top w:val="single" w:sz="4" w:space="0" w:color="auto"/>
              <w:left w:val="nil"/>
              <w:bottom w:val="single" w:sz="4" w:space="0" w:color="auto"/>
              <w:right w:val="nil"/>
            </w:tcBorders>
            <w:noWrap/>
            <w:vAlign w:val="center"/>
            <w:hideMark/>
          </w:tcPr>
          <w:p w14:paraId="0D7424C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47" w:type="pct"/>
            <w:tcBorders>
              <w:top w:val="single" w:sz="4" w:space="0" w:color="auto"/>
              <w:left w:val="nil"/>
              <w:bottom w:val="single" w:sz="4" w:space="0" w:color="auto"/>
              <w:right w:val="nil"/>
            </w:tcBorders>
            <w:noWrap/>
            <w:vAlign w:val="center"/>
            <w:hideMark/>
          </w:tcPr>
          <w:p w14:paraId="3BB39D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AA2A9D8" w14:textId="77777777" w:rsidTr="003C2F5B">
        <w:trPr>
          <w:trHeight w:val="315"/>
        </w:trPr>
        <w:tc>
          <w:tcPr>
            <w:tcW w:w="1877" w:type="pct"/>
            <w:tcBorders>
              <w:top w:val="nil"/>
              <w:left w:val="nil"/>
              <w:bottom w:val="nil"/>
              <w:right w:val="nil"/>
            </w:tcBorders>
            <w:noWrap/>
            <w:vAlign w:val="bottom"/>
            <w:hideMark/>
          </w:tcPr>
          <w:p w14:paraId="43BA56A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54" w:type="pct"/>
            <w:tcBorders>
              <w:top w:val="nil"/>
              <w:left w:val="nil"/>
              <w:bottom w:val="nil"/>
              <w:right w:val="nil"/>
            </w:tcBorders>
            <w:noWrap/>
            <w:vAlign w:val="center"/>
            <w:hideMark/>
          </w:tcPr>
          <w:p w14:paraId="5E9A3DB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34" w:type="pct"/>
            <w:tcBorders>
              <w:top w:val="nil"/>
              <w:left w:val="nil"/>
              <w:bottom w:val="nil"/>
              <w:right w:val="nil"/>
            </w:tcBorders>
            <w:noWrap/>
            <w:vAlign w:val="center"/>
            <w:hideMark/>
          </w:tcPr>
          <w:p w14:paraId="5E3EB6E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88" w:type="pct"/>
            <w:tcBorders>
              <w:top w:val="nil"/>
              <w:left w:val="nil"/>
              <w:bottom w:val="nil"/>
              <w:right w:val="nil"/>
            </w:tcBorders>
            <w:noWrap/>
            <w:vAlign w:val="center"/>
            <w:hideMark/>
          </w:tcPr>
          <w:p w14:paraId="26FA92F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647" w:type="pct"/>
            <w:tcBorders>
              <w:top w:val="nil"/>
              <w:left w:val="nil"/>
              <w:bottom w:val="nil"/>
              <w:right w:val="nil"/>
            </w:tcBorders>
            <w:noWrap/>
            <w:vAlign w:val="center"/>
            <w:hideMark/>
          </w:tcPr>
          <w:p w14:paraId="75E483D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0.006</w:t>
            </w:r>
          </w:p>
        </w:tc>
      </w:tr>
      <w:tr w:rsidR="00120B4F" w:rsidRPr="00BE5472" w14:paraId="5A136CA3" w14:textId="77777777" w:rsidTr="003C2F5B">
        <w:trPr>
          <w:trHeight w:val="315"/>
        </w:trPr>
        <w:tc>
          <w:tcPr>
            <w:tcW w:w="1877" w:type="pct"/>
            <w:tcBorders>
              <w:top w:val="nil"/>
              <w:left w:val="nil"/>
              <w:bottom w:val="nil"/>
              <w:right w:val="nil"/>
            </w:tcBorders>
            <w:noWrap/>
            <w:vAlign w:val="bottom"/>
            <w:hideMark/>
          </w:tcPr>
          <w:p w14:paraId="2D5A9C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54" w:type="pct"/>
            <w:tcBorders>
              <w:top w:val="nil"/>
              <w:left w:val="nil"/>
              <w:bottom w:val="nil"/>
              <w:right w:val="nil"/>
            </w:tcBorders>
            <w:noWrap/>
            <w:vAlign w:val="center"/>
            <w:hideMark/>
          </w:tcPr>
          <w:p w14:paraId="0823B37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34" w:type="pct"/>
            <w:tcBorders>
              <w:top w:val="nil"/>
              <w:left w:val="nil"/>
              <w:bottom w:val="nil"/>
              <w:right w:val="nil"/>
            </w:tcBorders>
            <w:noWrap/>
            <w:vAlign w:val="center"/>
            <w:hideMark/>
          </w:tcPr>
          <w:p w14:paraId="5CA7C4A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88" w:type="pct"/>
            <w:tcBorders>
              <w:top w:val="nil"/>
              <w:left w:val="nil"/>
              <w:bottom w:val="nil"/>
              <w:right w:val="nil"/>
            </w:tcBorders>
            <w:noWrap/>
            <w:vAlign w:val="center"/>
            <w:hideMark/>
          </w:tcPr>
          <w:p w14:paraId="2B3002E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647" w:type="pct"/>
            <w:tcBorders>
              <w:top w:val="nil"/>
              <w:left w:val="nil"/>
              <w:bottom w:val="nil"/>
              <w:right w:val="nil"/>
            </w:tcBorders>
            <w:noWrap/>
            <w:vAlign w:val="center"/>
            <w:hideMark/>
          </w:tcPr>
          <w:p w14:paraId="6BEC0F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0.168</w:t>
            </w:r>
          </w:p>
        </w:tc>
      </w:tr>
      <w:tr w:rsidR="00120B4F" w:rsidRPr="00BE5472" w14:paraId="3B4CF8F8" w14:textId="77777777" w:rsidTr="003C2F5B">
        <w:trPr>
          <w:trHeight w:val="315"/>
        </w:trPr>
        <w:tc>
          <w:tcPr>
            <w:tcW w:w="1877" w:type="pct"/>
            <w:tcBorders>
              <w:top w:val="nil"/>
              <w:left w:val="nil"/>
              <w:bottom w:val="nil"/>
              <w:right w:val="nil"/>
            </w:tcBorders>
            <w:noWrap/>
            <w:vAlign w:val="bottom"/>
            <w:hideMark/>
          </w:tcPr>
          <w:p w14:paraId="363B92A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54" w:type="pct"/>
            <w:tcBorders>
              <w:top w:val="nil"/>
              <w:left w:val="nil"/>
              <w:bottom w:val="nil"/>
              <w:right w:val="nil"/>
            </w:tcBorders>
            <w:noWrap/>
            <w:vAlign w:val="center"/>
            <w:hideMark/>
          </w:tcPr>
          <w:p w14:paraId="267566D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1.23</w:t>
            </w:r>
          </w:p>
        </w:tc>
        <w:tc>
          <w:tcPr>
            <w:tcW w:w="934" w:type="pct"/>
            <w:tcBorders>
              <w:top w:val="nil"/>
              <w:left w:val="nil"/>
              <w:bottom w:val="nil"/>
              <w:right w:val="nil"/>
            </w:tcBorders>
            <w:noWrap/>
            <w:vAlign w:val="center"/>
            <w:hideMark/>
          </w:tcPr>
          <w:p w14:paraId="00F7D22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c>
          <w:tcPr>
            <w:tcW w:w="988" w:type="pct"/>
            <w:tcBorders>
              <w:top w:val="nil"/>
              <w:left w:val="nil"/>
              <w:bottom w:val="nil"/>
              <w:right w:val="nil"/>
            </w:tcBorders>
            <w:noWrap/>
            <w:vAlign w:val="center"/>
            <w:hideMark/>
          </w:tcPr>
          <w:p w14:paraId="3E44E50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2.69</w:t>
            </w:r>
          </w:p>
        </w:tc>
        <w:tc>
          <w:tcPr>
            <w:tcW w:w="647" w:type="pct"/>
            <w:tcBorders>
              <w:top w:val="nil"/>
              <w:left w:val="nil"/>
              <w:bottom w:val="nil"/>
              <w:right w:val="nil"/>
            </w:tcBorders>
            <w:noWrap/>
            <w:vAlign w:val="center"/>
            <w:hideMark/>
          </w:tcPr>
          <w:p w14:paraId="7413EBE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0.155</w:t>
            </w:r>
          </w:p>
        </w:tc>
      </w:tr>
      <w:tr w:rsidR="00120B4F" w:rsidRPr="00BE5472" w14:paraId="082D1AE8" w14:textId="77777777" w:rsidTr="003C2F5B">
        <w:trPr>
          <w:trHeight w:val="315"/>
        </w:trPr>
        <w:tc>
          <w:tcPr>
            <w:tcW w:w="1877" w:type="pct"/>
            <w:tcBorders>
              <w:top w:val="nil"/>
              <w:left w:val="nil"/>
              <w:bottom w:val="nil"/>
              <w:right w:val="nil"/>
            </w:tcBorders>
            <w:noWrap/>
            <w:vAlign w:val="bottom"/>
            <w:hideMark/>
          </w:tcPr>
          <w:p w14:paraId="12F8210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54" w:type="pct"/>
            <w:tcBorders>
              <w:top w:val="nil"/>
              <w:left w:val="nil"/>
              <w:bottom w:val="nil"/>
              <w:right w:val="nil"/>
            </w:tcBorders>
            <w:noWrap/>
            <w:vAlign w:val="center"/>
            <w:hideMark/>
          </w:tcPr>
          <w:p w14:paraId="5417E8B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34" w:type="pct"/>
            <w:tcBorders>
              <w:top w:val="nil"/>
              <w:left w:val="nil"/>
              <w:bottom w:val="nil"/>
              <w:right w:val="nil"/>
            </w:tcBorders>
            <w:noWrap/>
            <w:vAlign w:val="center"/>
            <w:hideMark/>
          </w:tcPr>
          <w:p w14:paraId="34470F1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88" w:type="pct"/>
            <w:tcBorders>
              <w:top w:val="nil"/>
              <w:left w:val="nil"/>
              <w:bottom w:val="nil"/>
              <w:right w:val="nil"/>
            </w:tcBorders>
            <w:noWrap/>
            <w:vAlign w:val="center"/>
            <w:hideMark/>
          </w:tcPr>
          <w:p w14:paraId="251ACD0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647" w:type="pct"/>
            <w:tcBorders>
              <w:top w:val="nil"/>
              <w:left w:val="nil"/>
              <w:bottom w:val="nil"/>
              <w:right w:val="nil"/>
            </w:tcBorders>
            <w:noWrap/>
            <w:vAlign w:val="center"/>
            <w:hideMark/>
          </w:tcPr>
          <w:p w14:paraId="10397A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0.123</w:t>
            </w:r>
          </w:p>
        </w:tc>
      </w:tr>
      <w:tr w:rsidR="00120B4F" w:rsidRPr="00BE5472" w14:paraId="76B34377" w14:textId="77777777" w:rsidTr="003C2F5B">
        <w:trPr>
          <w:trHeight w:val="315"/>
        </w:trPr>
        <w:tc>
          <w:tcPr>
            <w:tcW w:w="1877" w:type="pct"/>
            <w:tcBorders>
              <w:top w:val="nil"/>
              <w:left w:val="nil"/>
              <w:bottom w:val="nil"/>
              <w:right w:val="nil"/>
            </w:tcBorders>
            <w:noWrap/>
            <w:vAlign w:val="bottom"/>
            <w:hideMark/>
          </w:tcPr>
          <w:p w14:paraId="456DFD1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54" w:type="pct"/>
            <w:tcBorders>
              <w:top w:val="nil"/>
              <w:left w:val="nil"/>
              <w:bottom w:val="nil"/>
              <w:right w:val="nil"/>
            </w:tcBorders>
            <w:noWrap/>
            <w:vAlign w:val="center"/>
            <w:hideMark/>
          </w:tcPr>
          <w:p w14:paraId="279327C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34" w:type="pct"/>
            <w:tcBorders>
              <w:top w:val="nil"/>
              <w:left w:val="nil"/>
              <w:bottom w:val="nil"/>
              <w:right w:val="nil"/>
            </w:tcBorders>
            <w:noWrap/>
            <w:vAlign w:val="center"/>
            <w:hideMark/>
          </w:tcPr>
          <w:p w14:paraId="536A07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88" w:type="pct"/>
            <w:tcBorders>
              <w:top w:val="nil"/>
              <w:left w:val="nil"/>
              <w:bottom w:val="nil"/>
              <w:right w:val="nil"/>
            </w:tcBorders>
            <w:noWrap/>
            <w:vAlign w:val="center"/>
            <w:hideMark/>
          </w:tcPr>
          <w:p w14:paraId="25C130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47" w:type="pct"/>
            <w:tcBorders>
              <w:top w:val="nil"/>
              <w:left w:val="nil"/>
              <w:bottom w:val="nil"/>
              <w:right w:val="nil"/>
            </w:tcBorders>
            <w:noWrap/>
            <w:vAlign w:val="center"/>
            <w:hideMark/>
          </w:tcPr>
          <w:p w14:paraId="7F7641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0.389</w:t>
            </w:r>
          </w:p>
        </w:tc>
      </w:tr>
      <w:tr w:rsidR="00120B4F" w:rsidRPr="00BE5472" w14:paraId="257AEF25" w14:textId="77777777" w:rsidTr="003C2F5B">
        <w:trPr>
          <w:trHeight w:val="315"/>
        </w:trPr>
        <w:tc>
          <w:tcPr>
            <w:tcW w:w="1877" w:type="pct"/>
            <w:tcBorders>
              <w:top w:val="single" w:sz="4" w:space="0" w:color="auto"/>
              <w:left w:val="nil"/>
              <w:bottom w:val="nil"/>
              <w:right w:val="nil"/>
            </w:tcBorders>
            <w:noWrap/>
            <w:vAlign w:val="bottom"/>
            <w:hideMark/>
          </w:tcPr>
          <w:p w14:paraId="5630240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single" w:sz="4" w:space="0" w:color="auto"/>
              <w:left w:val="nil"/>
              <w:bottom w:val="nil"/>
              <w:right w:val="nil"/>
            </w:tcBorders>
            <w:noWrap/>
            <w:vAlign w:val="center"/>
            <w:hideMark/>
          </w:tcPr>
          <w:p w14:paraId="0FE37E8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0.28</w:t>
            </w:r>
          </w:p>
        </w:tc>
      </w:tr>
      <w:tr w:rsidR="00120B4F" w:rsidRPr="00BE5472" w14:paraId="44EC2D9D" w14:textId="77777777" w:rsidTr="003C2F5B">
        <w:trPr>
          <w:trHeight w:val="315"/>
        </w:trPr>
        <w:tc>
          <w:tcPr>
            <w:tcW w:w="1877" w:type="pct"/>
            <w:tcBorders>
              <w:top w:val="nil"/>
              <w:left w:val="nil"/>
              <w:bottom w:val="nil"/>
              <w:right w:val="nil"/>
            </w:tcBorders>
            <w:noWrap/>
            <w:vAlign w:val="bottom"/>
            <w:hideMark/>
          </w:tcPr>
          <w:p w14:paraId="783524F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3123" w:type="pct"/>
            <w:gridSpan w:val="4"/>
            <w:tcBorders>
              <w:top w:val="nil"/>
              <w:left w:val="nil"/>
              <w:bottom w:val="nil"/>
              <w:right w:val="nil"/>
            </w:tcBorders>
            <w:noWrap/>
            <w:vAlign w:val="center"/>
            <w:hideMark/>
          </w:tcPr>
          <w:p w14:paraId="29D7553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w:t>
            </w:r>
          </w:p>
        </w:tc>
      </w:tr>
      <w:tr w:rsidR="00120B4F" w:rsidRPr="00BE5472" w14:paraId="4DD681CC" w14:textId="77777777" w:rsidTr="003C2F5B">
        <w:trPr>
          <w:trHeight w:val="315"/>
        </w:trPr>
        <w:tc>
          <w:tcPr>
            <w:tcW w:w="1877" w:type="pct"/>
            <w:tcBorders>
              <w:top w:val="nil"/>
              <w:left w:val="nil"/>
              <w:bottom w:val="nil"/>
              <w:right w:val="nil"/>
            </w:tcBorders>
            <w:noWrap/>
            <w:vAlign w:val="bottom"/>
            <w:hideMark/>
          </w:tcPr>
          <w:p w14:paraId="339EC0B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3123" w:type="pct"/>
            <w:gridSpan w:val="4"/>
            <w:tcBorders>
              <w:top w:val="nil"/>
              <w:left w:val="nil"/>
              <w:bottom w:val="nil"/>
              <w:right w:val="nil"/>
            </w:tcBorders>
            <w:noWrap/>
            <w:vAlign w:val="center"/>
            <w:hideMark/>
          </w:tcPr>
          <w:p w14:paraId="6C532C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r>
      <w:tr w:rsidR="00120B4F" w:rsidRPr="00BE5472" w14:paraId="2A6851DE" w14:textId="77777777" w:rsidTr="003C2F5B">
        <w:trPr>
          <w:trHeight w:val="315"/>
        </w:trPr>
        <w:tc>
          <w:tcPr>
            <w:tcW w:w="1877" w:type="pct"/>
            <w:tcBorders>
              <w:top w:val="nil"/>
              <w:left w:val="nil"/>
              <w:bottom w:val="nil"/>
              <w:right w:val="nil"/>
            </w:tcBorders>
            <w:noWrap/>
            <w:vAlign w:val="bottom"/>
            <w:hideMark/>
          </w:tcPr>
          <w:p w14:paraId="393E5F6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3123" w:type="pct"/>
            <w:gridSpan w:val="4"/>
            <w:tcBorders>
              <w:top w:val="nil"/>
              <w:left w:val="nil"/>
              <w:bottom w:val="nil"/>
              <w:right w:val="nil"/>
            </w:tcBorders>
            <w:noWrap/>
            <w:vAlign w:val="center"/>
            <w:hideMark/>
          </w:tcPr>
          <w:p w14:paraId="28DFBD2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399859FA" w14:textId="77777777" w:rsidTr="003C2F5B">
        <w:trPr>
          <w:trHeight w:val="315"/>
        </w:trPr>
        <w:tc>
          <w:tcPr>
            <w:tcW w:w="1877" w:type="pct"/>
            <w:tcBorders>
              <w:top w:val="nil"/>
              <w:left w:val="nil"/>
              <w:bottom w:val="single" w:sz="4" w:space="0" w:color="auto"/>
              <w:right w:val="nil"/>
            </w:tcBorders>
            <w:noWrap/>
            <w:vAlign w:val="bottom"/>
            <w:hideMark/>
          </w:tcPr>
          <w:p w14:paraId="7F197D2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3123" w:type="pct"/>
            <w:gridSpan w:val="4"/>
            <w:tcBorders>
              <w:top w:val="nil"/>
              <w:left w:val="nil"/>
              <w:bottom w:val="single" w:sz="4" w:space="0" w:color="auto"/>
              <w:right w:val="nil"/>
            </w:tcBorders>
            <w:noWrap/>
            <w:vAlign w:val="center"/>
            <w:hideMark/>
          </w:tcPr>
          <w:p w14:paraId="0FE404C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4C0A630" w14:textId="09E3F73A"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0DB4352A" w14:textId="01541460" w:rsidR="00120B4F" w:rsidRPr="00BE5472" w:rsidRDefault="00120B4F" w:rsidP="00120B4F">
      <w:pPr>
        <w:spacing w:line="360" w:lineRule="auto"/>
        <w:jc w:val="both"/>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ROA</w:t>
      </w:r>
      <w:r w:rsidR="0007037B" w:rsidRPr="00BE5472">
        <w:rPr>
          <w:rFonts w:ascii="Times New Roman" w:hAnsi="Times New Roman" w:cs="Times New Roman"/>
          <w:kern w:val="2"/>
          <w:sz w:val="24"/>
          <w14:ligatures w14:val="standardContextual"/>
        </w:rPr>
        <w:t>-e</w:t>
      </w:r>
      <w:r w:rsidRPr="00BE5472">
        <w:rPr>
          <w:rFonts w:ascii="Times New Roman" w:hAnsi="Times New Roman" w:cs="Times New Roman"/>
          <w:kern w:val="2"/>
          <w:sz w:val="24"/>
          <w14:ligatures w14:val="standardContextual"/>
        </w:rPr>
        <w:t xml:space="preserve"> između poduzeća koja su prošla proces preuzimanja drugog poduzeća i onih koji to nisu (B = 0.02,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 0.05], p = .123), nije utvrđen statistički značajan vremenski trend (B = 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 0], p = .168), ni statistički značajna interakcija između tipa poduzeća i vremenskog trenda (B = 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 0], p = .389).</w:t>
      </w:r>
    </w:p>
    <w:p w14:paraId="556848CD" w14:textId="77777777" w:rsidR="00120B4F" w:rsidRPr="00BE5472" w:rsidRDefault="00120B4F" w:rsidP="00490975">
      <w:pPr>
        <w:rPr>
          <w:rFonts w:ascii="Times New Roman" w:hAnsi="Times New Roman" w:cs="Times New Roman"/>
          <w:b/>
          <w:bCs/>
          <w:sz w:val="24"/>
          <w:szCs w:val="24"/>
        </w:rPr>
      </w:pPr>
      <w:bookmarkStart w:id="237" w:name="_Toc182495682"/>
      <w:r w:rsidRPr="00BE5472">
        <w:rPr>
          <w:rFonts w:ascii="Times New Roman" w:hAnsi="Times New Roman" w:cs="Times New Roman"/>
          <w:b/>
          <w:bCs/>
          <w:sz w:val="24"/>
          <w:szCs w:val="24"/>
        </w:rPr>
        <w:lastRenderedPageBreak/>
        <w:t>ROE</w:t>
      </w:r>
      <w:bookmarkEnd w:id="237"/>
    </w:p>
    <w:p w14:paraId="1CBDB153" w14:textId="6CED5C60"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61</w:t>
      </w:r>
      <w:r w:rsidRPr="00BE5472">
        <w:rPr>
          <w:rFonts w:ascii="Times New Roman" w:hAnsi="Times New Roman" w:cs="Times New Roman"/>
          <w:kern w:val="2"/>
          <w:sz w:val="24"/>
          <w14:ligatures w14:val="standardContextual"/>
        </w:rPr>
        <w:t xml:space="preserve"> prikazani su rezultati testiranja razlike u visini pokazatelja ROE</w:t>
      </w:r>
      <w:r w:rsidR="0007037B" w:rsidRPr="00BE5472">
        <w:rPr>
          <w:rFonts w:ascii="Times New Roman" w:hAnsi="Times New Roman" w:cs="Times New Roman"/>
          <w:kern w:val="2"/>
          <w:sz w:val="24"/>
          <w14:ligatures w14:val="standardContextual"/>
        </w:rPr>
        <w:t>-a</w:t>
      </w:r>
      <w:r w:rsidRPr="00BE5472">
        <w:rPr>
          <w:rFonts w:ascii="Times New Roman" w:hAnsi="Times New Roman" w:cs="Times New Roman"/>
          <w:kern w:val="2"/>
          <w:sz w:val="24"/>
          <w14:ligatures w14:val="standardContextual"/>
        </w:rPr>
        <w:t xml:space="preserve"> između poduzeća koja su prošla proces preuzimanja drugog poduzeća i onih koji to nisu.</w:t>
      </w:r>
    </w:p>
    <w:p w14:paraId="34487041" w14:textId="319FF1B4" w:rsidR="00120B4F" w:rsidRPr="00E1098E" w:rsidRDefault="00E1098E" w:rsidP="00E1098E">
      <w:pPr>
        <w:pStyle w:val="Caption"/>
        <w:rPr>
          <w:rFonts w:ascii="Times New Roman" w:hAnsi="Times New Roman" w:cs="Times New Roman"/>
          <w:kern w:val="2"/>
          <w:sz w:val="24"/>
          <w:szCs w:val="24"/>
          <w14:ligatures w14:val="standardContextual"/>
        </w:rPr>
      </w:pPr>
      <w:bookmarkStart w:id="238" w:name="_Toc241865255"/>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61</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ROE-</w:t>
      </w:r>
      <w:r w:rsidR="0007037B" w:rsidRPr="00E1098E">
        <w:rPr>
          <w:rFonts w:ascii="Times New Roman" w:hAnsi="Times New Roman" w:cs="Times New Roman"/>
          <w:kern w:val="2"/>
          <w:sz w:val="24"/>
          <w:szCs w:val="24"/>
          <w14:ligatures w14:val="standardContextual"/>
        </w:rPr>
        <w:t>u</w:t>
      </w:r>
      <w:r w:rsidR="00120B4F" w:rsidRPr="00E1098E">
        <w:rPr>
          <w:rFonts w:ascii="Times New Roman" w:hAnsi="Times New Roman" w:cs="Times New Roman"/>
          <w:kern w:val="2"/>
          <w:sz w:val="24"/>
          <w:szCs w:val="24"/>
          <w14:ligatures w14:val="standardContextual"/>
        </w:rPr>
        <w:t xml:space="preserve"> između poduzeća preuzimatelja i nepreuzimatelja</w:t>
      </w:r>
      <w:bookmarkEnd w:id="238"/>
    </w:p>
    <w:tbl>
      <w:tblPr>
        <w:tblW w:w="5000" w:type="pct"/>
        <w:tblLook w:val="04A0" w:firstRow="1" w:lastRow="0" w:firstColumn="1" w:lastColumn="0" w:noHBand="0" w:noVBand="1"/>
      </w:tblPr>
      <w:tblGrid>
        <w:gridCol w:w="3615"/>
        <w:gridCol w:w="943"/>
        <w:gridCol w:w="1631"/>
        <w:gridCol w:w="1728"/>
        <w:gridCol w:w="1112"/>
      </w:tblGrid>
      <w:tr w:rsidR="00120B4F" w:rsidRPr="00BE5472" w14:paraId="7B912785" w14:textId="77777777" w:rsidTr="003C2F5B">
        <w:trPr>
          <w:trHeight w:val="315"/>
        </w:trPr>
        <w:tc>
          <w:tcPr>
            <w:tcW w:w="2002" w:type="pct"/>
            <w:tcBorders>
              <w:top w:val="nil"/>
              <w:left w:val="nil"/>
              <w:bottom w:val="nil"/>
              <w:right w:val="nil"/>
            </w:tcBorders>
            <w:noWrap/>
            <w:vAlign w:val="bottom"/>
            <w:hideMark/>
          </w:tcPr>
          <w:p w14:paraId="5A0742CE"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639AC6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43CAA5BB" w14:textId="56DBEBB5"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5044D44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0CE3270A"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0AA6173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20D4B90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1BC9F4B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2DBCECE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43D992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4FCA2CE7" w14:textId="77777777" w:rsidTr="003C2F5B">
        <w:trPr>
          <w:trHeight w:val="315"/>
        </w:trPr>
        <w:tc>
          <w:tcPr>
            <w:tcW w:w="2002" w:type="pct"/>
            <w:tcBorders>
              <w:top w:val="nil"/>
              <w:left w:val="nil"/>
              <w:bottom w:val="nil"/>
              <w:right w:val="nil"/>
            </w:tcBorders>
            <w:noWrap/>
            <w:vAlign w:val="bottom"/>
            <w:hideMark/>
          </w:tcPr>
          <w:p w14:paraId="015D517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740A5FB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03" w:type="pct"/>
            <w:tcBorders>
              <w:top w:val="nil"/>
              <w:left w:val="nil"/>
              <w:bottom w:val="nil"/>
              <w:right w:val="nil"/>
            </w:tcBorders>
            <w:noWrap/>
            <w:vAlign w:val="center"/>
            <w:hideMark/>
          </w:tcPr>
          <w:p w14:paraId="4D06355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02390B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616" w:type="pct"/>
            <w:tcBorders>
              <w:top w:val="nil"/>
              <w:left w:val="nil"/>
              <w:bottom w:val="nil"/>
              <w:right w:val="nil"/>
            </w:tcBorders>
            <w:noWrap/>
            <w:vAlign w:val="center"/>
            <w:hideMark/>
          </w:tcPr>
          <w:p w14:paraId="6177E6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0.006</w:t>
            </w:r>
          </w:p>
        </w:tc>
      </w:tr>
      <w:tr w:rsidR="00120B4F" w:rsidRPr="00BE5472" w14:paraId="0DCB4C00" w14:textId="77777777" w:rsidTr="003C2F5B">
        <w:trPr>
          <w:trHeight w:val="315"/>
        </w:trPr>
        <w:tc>
          <w:tcPr>
            <w:tcW w:w="2002" w:type="pct"/>
            <w:tcBorders>
              <w:top w:val="nil"/>
              <w:left w:val="nil"/>
              <w:bottom w:val="nil"/>
              <w:right w:val="nil"/>
            </w:tcBorders>
            <w:noWrap/>
            <w:vAlign w:val="bottom"/>
            <w:hideMark/>
          </w:tcPr>
          <w:p w14:paraId="1A2975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437E68D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63881C3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57" w:type="pct"/>
            <w:tcBorders>
              <w:top w:val="nil"/>
              <w:left w:val="nil"/>
              <w:bottom w:val="nil"/>
              <w:right w:val="nil"/>
            </w:tcBorders>
            <w:noWrap/>
            <w:vAlign w:val="center"/>
            <w:hideMark/>
          </w:tcPr>
          <w:p w14:paraId="77AFB20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616" w:type="pct"/>
            <w:tcBorders>
              <w:top w:val="nil"/>
              <w:left w:val="nil"/>
              <w:bottom w:val="nil"/>
              <w:right w:val="nil"/>
            </w:tcBorders>
            <w:noWrap/>
            <w:vAlign w:val="center"/>
            <w:hideMark/>
          </w:tcPr>
          <w:p w14:paraId="2A4E02B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0.234</w:t>
            </w:r>
          </w:p>
        </w:tc>
      </w:tr>
      <w:tr w:rsidR="00120B4F" w:rsidRPr="00BE5472" w14:paraId="6BEDA009" w14:textId="77777777" w:rsidTr="003C2F5B">
        <w:trPr>
          <w:trHeight w:val="315"/>
        </w:trPr>
        <w:tc>
          <w:tcPr>
            <w:tcW w:w="2002" w:type="pct"/>
            <w:tcBorders>
              <w:top w:val="nil"/>
              <w:left w:val="nil"/>
              <w:bottom w:val="nil"/>
              <w:right w:val="nil"/>
            </w:tcBorders>
            <w:noWrap/>
            <w:vAlign w:val="bottom"/>
            <w:hideMark/>
          </w:tcPr>
          <w:p w14:paraId="4B2F58D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72701CD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0.67</w:t>
            </w:r>
          </w:p>
        </w:tc>
        <w:tc>
          <w:tcPr>
            <w:tcW w:w="903" w:type="pct"/>
            <w:tcBorders>
              <w:top w:val="nil"/>
              <w:left w:val="nil"/>
              <w:bottom w:val="nil"/>
              <w:right w:val="nil"/>
            </w:tcBorders>
            <w:noWrap/>
            <w:vAlign w:val="center"/>
            <w:hideMark/>
          </w:tcPr>
          <w:p w14:paraId="520EB9F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w:t>
            </w:r>
          </w:p>
        </w:tc>
        <w:tc>
          <w:tcPr>
            <w:tcW w:w="957" w:type="pct"/>
            <w:tcBorders>
              <w:top w:val="nil"/>
              <w:left w:val="nil"/>
              <w:bottom w:val="nil"/>
              <w:right w:val="nil"/>
            </w:tcBorders>
            <w:noWrap/>
            <w:vAlign w:val="center"/>
            <w:hideMark/>
          </w:tcPr>
          <w:p w14:paraId="1A02427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2.55</w:t>
            </w:r>
          </w:p>
        </w:tc>
        <w:tc>
          <w:tcPr>
            <w:tcW w:w="616" w:type="pct"/>
            <w:tcBorders>
              <w:top w:val="nil"/>
              <w:left w:val="nil"/>
              <w:bottom w:val="nil"/>
              <w:right w:val="nil"/>
            </w:tcBorders>
            <w:noWrap/>
            <w:vAlign w:val="center"/>
            <w:hideMark/>
          </w:tcPr>
          <w:p w14:paraId="63BD302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0.506</w:t>
            </w:r>
          </w:p>
        </w:tc>
      </w:tr>
      <w:tr w:rsidR="00120B4F" w:rsidRPr="00BE5472" w14:paraId="53005E1C" w14:textId="77777777" w:rsidTr="003C2F5B">
        <w:trPr>
          <w:trHeight w:val="315"/>
        </w:trPr>
        <w:tc>
          <w:tcPr>
            <w:tcW w:w="2002" w:type="pct"/>
            <w:tcBorders>
              <w:top w:val="nil"/>
              <w:left w:val="nil"/>
              <w:bottom w:val="nil"/>
              <w:right w:val="nil"/>
            </w:tcBorders>
            <w:noWrap/>
            <w:vAlign w:val="bottom"/>
            <w:hideMark/>
          </w:tcPr>
          <w:p w14:paraId="16215EE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194176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0.06</w:t>
            </w:r>
          </w:p>
        </w:tc>
        <w:tc>
          <w:tcPr>
            <w:tcW w:w="903" w:type="pct"/>
            <w:tcBorders>
              <w:top w:val="nil"/>
              <w:left w:val="nil"/>
              <w:bottom w:val="nil"/>
              <w:right w:val="nil"/>
            </w:tcBorders>
            <w:noWrap/>
            <w:vAlign w:val="center"/>
            <w:hideMark/>
          </w:tcPr>
          <w:p w14:paraId="7F6D6AB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23A2EA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w:t>
            </w:r>
          </w:p>
        </w:tc>
        <w:tc>
          <w:tcPr>
            <w:tcW w:w="616" w:type="pct"/>
            <w:tcBorders>
              <w:top w:val="nil"/>
              <w:left w:val="nil"/>
              <w:bottom w:val="nil"/>
              <w:right w:val="nil"/>
            </w:tcBorders>
            <w:noWrap/>
            <w:vAlign w:val="center"/>
            <w:hideMark/>
          </w:tcPr>
          <w:p w14:paraId="3C1D819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0.034</w:t>
            </w:r>
          </w:p>
        </w:tc>
      </w:tr>
      <w:tr w:rsidR="00120B4F" w:rsidRPr="00BE5472" w14:paraId="46AEF622" w14:textId="77777777" w:rsidTr="003C2F5B">
        <w:trPr>
          <w:trHeight w:val="315"/>
        </w:trPr>
        <w:tc>
          <w:tcPr>
            <w:tcW w:w="2002" w:type="pct"/>
            <w:tcBorders>
              <w:top w:val="nil"/>
              <w:left w:val="nil"/>
              <w:bottom w:val="nil"/>
              <w:right w:val="nil"/>
            </w:tcBorders>
            <w:noWrap/>
            <w:vAlign w:val="bottom"/>
            <w:hideMark/>
          </w:tcPr>
          <w:p w14:paraId="5027281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093AFFD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37756E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57" w:type="pct"/>
            <w:tcBorders>
              <w:top w:val="nil"/>
              <w:left w:val="nil"/>
              <w:bottom w:val="nil"/>
              <w:right w:val="nil"/>
            </w:tcBorders>
            <w:noWrap/>
            <w:vAlign w:val="center"/>
            <w:hideMark/>
          </w:tcPr>
          <w:p w14:paraId="2F2332E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16" w:type="pct"/>
            <w:tcBorders>
              <w:top w:val="nil"/>
              <w:left w:val="nil"/>
              <w:bottom w:val="nil"/>
              <w:right w:val="nil"/>
            </w:tcBorders>
            <w:noWrap/>
            <w:vAlign w:val="center"/>
            <w:hideMark/>
          </w:tcPr>
          <w:p w14:paraId="74644B7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0.472</w:t>
            </w:r>
          </w:p>
        </w:tc>
      </w:tr>
      <w:tr w:rsidR="00120B4F" w:rsidRPr="00BE5472" w14:paraId="759516C7" w14:textId="77777777" w:rsidTr="003C2F5B">
        <w:trPr>
          <w:trHeight w:val="315"/>
        </w:trPr>
        <w:tc>
          <w:tcPr>
            <w:tcW w:w="2002" w:type="pct"/>
            <w:tcBorders>
              <w:top w:val="single" w:sz="4" w:space="0" w:color="auto"/>
              <w:left w:val="nil"/>
              <w:bottom w:val="nil"/>
              <w:right w:val="nil"/>
            </w:tcBorders>
            <w:noWrap/>
            <w:vAlign w:val="bottom"/>
            <w:hideMark/>
          </w:tcPr>
          <w:p w14:paraId="4125464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4E06CA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r>
      <w:tr w:rsidR="00120B4F" w:rsidRPr="00BE5472" w14:paraId="315EAECB" w14:textId="77777777" w:rsidTr="003C2F5B">
        <w:trPr>
          <w:trHeight w:val="315"/>
        </w:trPr>
        <w:tc>
          <w:tcPr>
            <w:tcW w:w="2002" w:type="pct"/>
            <w:tcBorders>
              <w:top w:val="nil"/>
              <w:left w:val="nil"/>
              <w:bottom w:val="nil"/>
              <w:right w:val="nil"/>
            </w:tcBorders>
            <w:noWrap/>
            <w:vAlign w:val="bottom"/>
            <w:hideMark/>
          </w:tcPr>
          <w:p w14:paraId="7397B9C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1EBF70F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r>
      <w:tr w:rsidR="00120B4F" w:rsidRPr="00BE5472" w14:paraId="259A5E22" w14:textId="77777777" w:rsidTr="003C2F5B">
        <w:trPr>
          <w:trHeight w:val="315"/>
        </w:trPr>
        <w:tc>
          <w:tcPr>
            <w:tcW w:w="2002" w:type="pct"/>
            <w:tcBorders>
              <w:top w:val="nil"/>
              <w:left w:val="nil"/>
              <w:bottom w:val="nil"/>
              <w:right w:val="nil"/>
            </w:tcBorders>
            <w:noWrap/>
            <w:vAlign w:val="bottom"/>
            <w:hideMark/>
          </w:tcPr>
          <w:p w14:paraId="1864788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6170207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3AB7CFB5" w14:textId="77777777" w:rsidTr="003C2F5B">
        <w:trPr>
          <w:trHeight w:val="315"/>
        </w:trPr>
        <w:tc>
          <w:tcPr>
            <w:tcW w:w="2002" w:type="pct"/>
            <w:tcBorders>
              <w:top w:val="nil"/>
              <w:left w:val="nil"/>
              <w:bottom w:val="nil"/>
              <w:right w:val="nil"/>
            </w:tcBorders>
            <w:noWrap/>
            <w:vAlign w:val="bottom"/>
            <w:hideMark/>
          </w:tcPr>
          <w:p w14:paraId="2E19FD3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3614100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47C8400D" w14:textId="77777777" w:rsidTr="003C2F5B">
        <w:trPr>
          <w:trHeight w:val="315"/>
        </w:trPr>
        <w:tc>
          <w:tcPr>
            <w:tcW w:w="2002" w:type="pct"/>
            <w:tcBorders>
              <w:top w:val="nil"/>
              <w:left w:val="nil"/>
              <w:bottom w:val="single" w:sz="4" w:space="0" w:color="auto"/>
              <w:right w:val="nil"/>
            </w:tcBorders>
            <w:noWrap/>
            <w:vAlign w:val="bottom"/>
            <w:hideMark/>
          </w:tcPr>
          <w:p w14:paraId="38A8339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27CEE8D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684DFD6D" w14:textId="4E44EB50"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13001C1C" w14:textId="3D13A433"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Pomoću modela višerazinske linearne regresijske analize utvrđeno je da </w:t>
      </w:r>
      <w:r w:rsidRPr="00BE5472">
        <w:rPr>
          <w:rFonts w:ascii="Times New Roman" w:hAnsi="Times New Roman" w:cs="Times New Roman"/>
          <w:b/>
          <w:bCs/>
          <w:kern w:val="2"/>
          <w:sz w:val="24"/>
          <w14:ligatures w14:val="standardContextual"/>
        </w:rPr>
        <w:t>postoji statistički značajna razlika u pokazatelju ROE</w:t>
      </w:r>
      <w:r w:rsidR="0007037B" w:rsidRPr="00BE5472">
        <w:rPr>
          <w:rFonts w:ascii="Times New Roman" w:hAnsi="Times New Roman" w:cs="Times New Roman"/>
          <w:b/>
          <w:bCs/>
          <w:kern w:val="2"/>
          <w:sz w:val="24"/>
          <w14:ligatures w14:val="standardContextual"/>
        </w:rPr>
        <w:t>-a</w:t>
      </w:r>
      <w:r w:rsidRPr="00BE5472">
        <w:rPr>
          <w:rFonts w:ascii="Times New Roman" w:hAnsi="Times New Roman" w:cs="Times New Roman"/>
          <w:kern w:val="2"/>
          <w:sz w:val="24"/>
          <w14:ligatures w14:val="standardContextual"/>
        </w:rPr>
        <w:t xml:space="preserve"> između poduzeća koja su prošla proces preuzimanja drugog poduzeća i onih koji to nisu (B = 0.06,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[0.02, 0.11], p = .034), pri čemu je pokazatelj </w:t>
      </w:r>
      <w:r w:rsidRPr="00BE5472">
        <w:rPr>
          <w:rFonts w:ascii="Times New Roman" w:hAnsi="Times New Roman" w:cs="Times New Roman"/>
          <w:b/>
          <w:bCs/>
          <w:kern w:val="2"/>
          <w:sz w:val="24"/>
          <w14:ligatures w14:val="standardContextual"/>
        </w:rPr>
        <w:t>ROE u prosjeku viši za 0.06 bodova</w:t>
      </w:r>
      <w:r w:rsidRPr="00BE5472">
        <w:rPr>
          <w:rFonts w:ascii="Times New Roman" w:hAnsi="Times New Roman" w:cs="Times New Roman"/>
          <w:kern w:val="2"/>
          <w:sz w:val="24"/>
          <w14:ligatures w14:val="standardContextual"/>
        </w:rPr>
        <w:t xml:space="preserve"> među poduzećima koja su prošla proces preuzimanja. S druge strane, nije utvrđen statistički značajan vremenski trend (B = 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 p = .234), ni statistički značajna interakcija između tipa poduzeća i vremenskog trenda (B = 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0.01], p = .472).</w:t>
      </w:r>
    </w:p>
    <w:p w14:paraId="06432C07"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59FCB174" w14:textId="77777777" w:rsidR="00120B4F" w:rsidRPr="00BE5472" w:rsidRDefault="00120B4F" w:rsidP="00490975">
      <w:pPr>
        <w:rPr>
          <w:rFonts w:ascii="Times New Roman" w:hAnsi="Times New Roman" w:cs="Times New Roman"/>
          <w:b/>
          <w:bCs/>
          <w:sz w:val="24"/>
          <w:szCs w:val="24"/>
        </w:rPr>
      </w:pPr>
      <w:bookmarkStart w:id="239" w:name="_Toc182495683"/>
      <w:r w:rsidRPr="00BE5472">
        <w:rPr>
          <w:rFonts w:ascii="Times New Roman" w:hAnsi="Times New Roman" w:cs="Times New Roman"/>
          <w:b/>
          <w:bCs/>
          <w:sz w:val="24"/>
          <w:szCs w:val="24"/>
        </w:rPr>
        <w:lastRenderedPageBreak/>
        <w:t>Bruto profitna marža</w:t>
      </w:r>
      <w:bookmarkEnd w:id="239"/>
    </w:p>
    <w:p w14:paraId="4E308FB9" w14:textId="692104EA"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62</w:t>
      </w:r>
      <w:r w:rsidRPr="00BE5472">
        <w:rPr>
          <w:rFonts w:ascii="Times New Roman" w:hAnsi="Times New Roman" w:cs="Times New Roman"/>
          <w:kern w:val="2"/>
          <w:sz w:val="24"/>
          <w14:ligatures w14:val="standardContextual"/>
        </w:rPr>
        <w:t xml:space="preserve"> prikazani su rezultati testiranja razlike u visini pokazatelja bruto profitna marža između poduzeća koja su prošla proces preuzimanja drugog poduzeća i onih koji to nisu.</w:t>
      </w:r>
    </w:p>
    <w:p w14:paraId="38068B38" w14:textId="170741A8" w:rsidR="00120B4F" w:rsidRPr="00E1098E" w:rsidRDefault="00E1098E" w:rsidP="00E1098E">
      <w:pPr>
        <w:pStyle w:val="Caption"/>
        <w:rPr>
          <w:rFonts w:ascii="Times New Roman" w:hAnsi="Times New Roman" w:cs="Times New Roman"/>
          <w:kern w:val="2"/>
          <w:sz w:val="24"/>
          <w:szCs w:val="24"/>
          <w14:ligatures w14:val="standardContextual"/>
        </w:rPr>
      </w:pPr>
      <w:bookmarkStart w:id="240" w:name="_Toc241865256"/>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62</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07037B" w:rsidRPr="00E1098E">
        <w:rPr>
          <w:rFonts w:ascii="Times New Roman" w:hAnsi="Times New Roman" w:cs="Times New Roman"/>
          <w:kern w:val="2"/>
          <w:sz w:val="24"/>
          <w:szCs w:val="24"/>
          <w14:ligatures w14:val="standardContextual"/>
        </w:rPr>
        <w:t>b</w:t>
      </w:r>
      <w:r w:rsidR="00120B4F" w:rsidRPr="00E1098E">
        <w:rPr>
          <w:rFonts w:ascii="Times New Roman" w:hAnsi="Times New Roman" w:cs="Times New Roman"/>
          <w:kern w:val="2"/>
          <w:sz w:val="24"/>
          <w:szCs w:val="24"/>
          <w14:ligatures w14:val="standardContextual"/>
        </w:rPr>
        <w:t>ruto profitnoj marži između poduzeća preuzimatelja i nepreuzimatelja</w:t>
      </w:r>
      <w:bookmarkEnd w:id="240"/>
    </w:p>
    <w:tbl>
      <w:tblPr>
        <w:tblW w:w="5000" w:type="pct"/>
        <w:tblLook w:val="04A0" w:firstRow="1" w:lastRow="0" w:firstColumn="1" w:lastColumn="0" w:noHBand="0" w:noVBand="1"/>
      </w:tblPr>
      <w:tblGrid>
        <w:gridCol w:w="3615"/>
        <w:gridCol w:w="943"/>
        <w:gridCol w:w="1631"/>
        <w:gridCol w:w="1728"/>
        <w:gridCol w:w="1112"/>
      </w:tblGrid>
      <w:tr w:rsidR="00120B4F" w:rsidRPr="00BE5472" w14:paraId="0E1BBA98" w14:textId="77777777" w:rsidTr="003C2F5B">
        <w:trPr>
          <w:trHeight w:val="315"/>
        </w:trPr>
        <w:tc>
          <w:tcPr>
            <w:tcW w:w="2002" w:type="pct"/>
            <w:tcBorders>
              <w:top w:val="nil"/>
              <w:left w:val="nil"/>
              <w:bottom w:val="nil"/>
              <w:right w:val="nil"/>
            </w:tcBorders>
            <w:noWrap/>
            <w:vAlign w:val="bottom"/>
            <w:hideMark/>
          </w:tcPr>
          <w:p w14:paraId="6E17A31B"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1BD932C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767CD7F9" w14:textId="1E0B680C"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2E765EB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6F1CDE1"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58D20A3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0CDEFE9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61DA48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0E12346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6B7086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B974683" w14:textId="77777777" w:rsidTr="003C2F5B">
        <w:trPr>
          <w:trHeight w:val="315"/>
        </w:trPr>
        <w:tc>
          <w:tcPr>
            <w:tcW w:w="2002" w:type="pct"/>
            <w:tcBorders>
              <w:top w:val="nil"/>
              <w:left w:val="nil"/>
              <w:bottom w:val="nil"/>
              <w:right w:val="nil"/>
            </w:tcBorders>
            <w:noWrap/>
            <w:vAlign w:val="bottom"/>
            <w:hideMark/>
          </w:tcPr>
          <w:p w14:paraId="1574209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2313BB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03" w:type="pct"/>
            <w:tcBorders>
              <w:top w:val="nil"/>
              <w:left w:val="nil"/>
              <w:bottom w:val="nil"/>
              <w:right w:val="nil"/>
            </w:tcBorders>
            <w:noWrap/>
            <w:vAlign w:val="center"/>
            <w:hideMark/>
          </w:tcPr>
          <w:p w14:paraId="4709BAE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5B552C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0.08</w:t>
            </w:r>
          </w:p>
        </w:tc>
        <w:tc>
          <w:tcPr>
            <w:tcW w:w="616" w:type="pct"/>
            <w:tcBorders>
              <w:top w:val="nil"/>
              <w:left w:val="nil"/>
              <w:bottom w:val="nil"/>
              <w:right w:val="nil"/>
            </w:tcBorders>
            <w:noWrap/>
            <w:vAlign w:val="center"/>
            <w:hideMark/>
          </w:tcPr>
          <w:p w14:paraId="6D89D4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0.417</w:t>
            </w:r>
          </w:p>
        </w:tc>
      </w:tr>
      <w:tr w:rsidR="00120B4F" w:rsidRPr="00BE5472" w14:paraId="6EBCFA04" w14:textId="77777777" w:rsidTr="003C2F5B">
        <w:trPr>
          <w:trHeight w:val="315"/>
        </w:trPr>
        <w:tc>
          <w:tcPr>
            <w:tcW w:w="2002" w:type="pct"/>
            <w:tcBorders>
              <w:top w:val="nil"/>
              <w:left w:val="nil"/>
              <w:bottom w:val="nil"/>
              <w:right w:val="nil"/>
            </w:tcBorders>
            <w:noWrap/>
            <w:vAlign w:val="bottom"/>
            <w:hideMark/>
          </w:tcPr>
          <w:p w14:paraId="5578FE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1DB94EF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03" w:type="pct"/>
            <w:tcBorders>
              <w:top w:val="nil"/>
              <w:left w:val="nil"/>
              <w:bottom w:val="nil"/>
              <w:right w:val="nil"/>
            </w:tcBorders>
            <w:noWrap/>
            <w:vAlign w:val="center"/>
            <w:hideMark/>
          </w:tcPr>
          <w:p w14:paraId="6916341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13D832B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616" w:type="pct"/>
            <w:tcBorders>
              <w:top w:val="nil"/>
              <w:left w:val="nil"/>
              <w:bottom w:val="nil"/>
              <w:right w:val="nil"/>
            </w:tcBorders>
            <w:noWrap/>
            <w:vAlign w:val="center"/>
            <w:hideMark/>
          </w:tcPr>
          <w:p w14:paraId="681E555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0.071</w:t>
            </w:r>
          </w:p>
        </w:tc>
      </w:tr>
      <w:tr w:rsidR="00120B4F" w:rsidRPr="00BE5472" w14:paraId="0CB13D0F" w14:textId="77777777" w:rsidTr="003C2F5B">
        <w:trPr>
          <w:trHeight w:val="315"/>
        </w:trPr>
        <w:tc>
          <w:tcPr>
            <w:tcW w:w="2002" w:type="pct"/>
            <w:tcBorders>
              <w:top w:val="nil"/>
              <w:left w:val="nil"/>
              <w:bottom w:val="nil"/>
              <w:right w:val="nil"/>
            </w:tcBorders>
            <w:noWrap/>
            <w:vAlign w:val="bottom"/>
            <w:hideMark/>
          </w:tcPr>
          <w:p w14:paraId="62D05E9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6ECAB4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2.00</w:t>
            </w:r>
          </w:p>
        </w:tc>
        <w:tc>
          <w:tcPr>
            <w:tcW w:w="903" w:type="pct"/>
            <w:tcBorders>
              <w:top w:val="nil"/>
              <w:left w:val="nil"/>
              <w:bottom w:val="nil"/>
              <w:right w:val="nil"/>
            </w:tcBorders>
            <w:noWrap/>
            <w:vAlign w:val="center"/>
            <w:hideMark/>
          </w:tcPr>
          <w:p w14:paraId="717302A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w:t>
            </w:r>
          </w:p>
        </w:tc>
        <w:tc>
          <w:tcPr>
            <w:tcW w:w="957" w:type="pct"/>
            <w:tcBorders>
              <w:top w:val="nil"/>
              <w:left w:val="nil"/>
              <w:bottom w:val="nil"/>
              <w:right w:val="nil"/>
            </w:tcBorders>
            <w:noWrap/>
            <w:vAlign w:val="center"/>
            <w:hideMark/>
          </w:tcPr>
          <w:p w14:paraId="643A7C7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4.50</w:t>
            </w:r>
          </w:p>
        </w:tc>
        <w:tc>
          <w:tcPr>
            <w:tcW w:w="616" w:type="pct"/>
            <w:tcBorders>
              <w:top w:val="nil"/>
              <w:left w:val="nil"/>
              <w:bottom w:val="nil"/>
              <w:right w:val="nil"/>
            </w:tcBorders>
            <w:noWrap/>
            <w:vAlign w:val="center"/>
            <w:hideMark/>
          </w:tcPr>
          <w:p w14:paraId="32C6B8E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0.116</w:t>
            </w:r>
          </w:p>
        </w:tc>
      </w:tr>
      <w:tr w:rsidR="00120B4F" w:rsidRPr="00BE5472" w14:paraId="45A0E531" w14:textId="77777777" w:rsidTr="003C2F5B">
        <w:trPr>
          <w:trHeight w:val="315"/>
        </w:trPr>
        <w:tc>
          <w:tcPr>
            <w:tcW w:w="2002" w:type="pct"/>
            <w:tcBorders>
              <w:top w:val="nil"/>
              <w:left w:val="nil"/>
              <w:bottom w:val="nil"/>
              <w:right w:val="nil"/>
            </w:tcBorders>
            <w:noWrap/>
            <w:vAlign w:val="bottom"/>
            <w:hideMark/>
          </w:tcPr>
          <w:p w14:paraId="06801D9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7BFB61E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903" w:type="pct"/>
            <w:tcBorders>
              <w:top w:val="nil"/>
              <w:left w:val="nil"/>
              <w:bottom w:val="nil"/>
              <w:right w:val="nil"/>
            </w:tcBorders>
            <w:noWrap/>
            <w:vAlign w:val="center"/>
            <w:hideMark/>
          </w:tcPr>
          <w:p w14:paraId="75E88C8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7564D3C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c>
          <w:tcPr>
            <w:tcW w:w="616" w:type="pct"/>
            <w:tcBorders>
              <w:top w:val="nil"/>
              <w:left w:val="nil"/>
              <w:bottom w:val="nil"/>
              <w:right w:val="nil"/>
            </w:tcBorders>
            <w:noWrap/>
            <w:vAlign w:val="center"/>
            <w:hideMark/>
          </w:tcPr>
          <w:p w14:paraId="381CD84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0.111</w:t>
            </w:r>
          </w:p>
        </w:tc>
      </w:tr>
      <w:tr w:rsidR="00120B4F" w:rsidRPr="00BE5472" w14:paraId="22AB5355" w14:textId="77777777" w:rsidTr="003C2F5B">
        <w:trPr>
          <w:trHeight w:val="315"/>
        </w:trPr>
        <w:tc>
          <w:tcPr>
            <w:tcW w:w="2002" w:type="pct"/>
            <w:tcBorders>
              <w:top w:val="nil"/>
              <w:left w:val="nil"/>
              <w:bottom w:val="nil"/>
              <w:right w:val="nil"/>
            </w:tcBorders>
            <w:noWrap/>
            <w:vAlign w:val="bottom"/>
            <w:hideMark/>
          </w:tcPr>
          <w:p w14:paraId="48856FC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421D089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03" w:type="pct"/>
            <w:tcBorders>
              <w:top w:val="nil"/>
              <w:left w:val="nil"/>
              <w:bottom w:val="nil"/>
              <w:right w:val="nil"/>
            </w:tcBorders>
            <w:noWrap/>
            <w:vAlign w:val="center"/>
            <w:hideMark/>
          </w:tcPr>
          <w:p w14:paraId="6EE0768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342F1C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616" w:type="pct"/>
            <w:tcBorders>
              <w:top w:val="nil"/>
              <w:left w:val="nil"/>
              <w:bottom w:val="nil"/>
              <w:right w:val="nil"/>
            </w:tcBorders>
            <w:noWrap/>
            <w:vAlign w:val="center"/>
            <w:hideMark/>
          </w:tcPr>
          <w:p w14:paraId="0E5D0C3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0.320</w:t>
            </w:r>
          </w:p>
        </w:tc>
      </w:tr>
      <w:tr w:rsidR="00120B4F" w:rsidRPr="00BE5472" w14:paraId="6A4E1B8D" w14:textId="77777777" w:rsidTr="003C2F5B">
        <w:trPr>
          <w:trHeight w:val="315"/>
        </w:trPr>
        <w:tc>
          <w:tcPr>
            <w:tcW w:w="2002" w:type="pct"/>
            <w:tcBorders>
              <w:top w:val="single" w:sz="4" w:space="0" w:color="auto"/>
              <w:left w:val="nil"/>
              <w:bottom w:val="nil"/>
              <w:right w:val="nil"/>
            </w:tcBorders>
            <w:noWrap/>
            <w:vAlign w:val="bottom"/>
            <w:hideMark/>
          </w:tcPr>
          <w:p w14:paraId="21A8AF2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5F55669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r>
      <w:tr w:rsidR="00120B4F" w:rsidRPr="00BE5472" w14:paraId="3F780480" w14:textId="77777777" w:rsidTr="003C2F5B">
        <w:trPr>
          <w:trHeight w:val="315"/>
        </w:trPr>
        <w:tc>
          <w:tcPr>
            <w:tcW w:w="2002" w:type="pct"/>
            <w:tcBorders>
              <w:top w:val="nil"/>
              <w:left w:val="nil"/>
              <w:bottom w:val="nil"/>
              <w:right w:val="nil"/>
            </w:tcBorders>
            <w:noWrap/>
            <w:vAlign w:val="bottom"/>
            <w:hideMark/>
          </w:tcPr>
          <w:p w14:paraId="5183E8DB"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4C89045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r>
      <w:tr w:rsidR="00120B4F" w:rsidRPr="00BE5472" w14:paraId="3FCF3084" w14:textId="77777777" w:rsidTr="003C2F5B">
        <w:trPr>
          <w:trHeight w:val="315"/>
        </w:trPr>
        <w:tc>
          <w:tcPr>
            <w:tcW w:w="2002" w:type="pct"/>
            <w:tcBorders>
              <w:top w:val="nil"/>
              <w:left w:val="nil"/>
              <w:bottom w:val="nil"/>
              <w:right w:val="nil"/>
            </w:tcBorders>
            <w:noWrap/>
            <w:vAlign w:val="bottom"/>
            <w:hideMark/>
          </w:tcPr>
          <w:p w14:paraId="7A51713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21727A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37B7E7CD" w14:textId="77777777" w:rsidTr="003C2F5B">
        <w:trPr>
          <w:trHeight w:val="315"/>
        </w:trPr>
        <w:tc>
          <w:tcPr>
            <w:tcW w:w="2002" w:type="pct"/>
            <w:tcBorders>
              <w:top w:val="nil"/>
              <w:left w:val="nil"/>
              <w:bottom w:val="nil"/>
              <w:right w:val="nil"/>
            </w:tcBorders>
            <w:noWrap/>
            <w:vAlign w:val="bottom"/>
            <w:hideMark/>
          </w:tcPr>
          <w:p w14:paraId="0A85030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2BD223E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3FE7055F" w14:textId="77777777" w:rsidTr="003C2F5B">
        <w:trPr>
          <w:trHeight w:val="315"/>
        </w:trPr>
        <w:tc>
          <w:tcPr>
            <w:tcW w:w="2002" w:type="pct"/>
            <w:tcBorders>
              <w:top w:val="nil"/>
              <w:left w:val="nil"/>
              <w:bottom w:val="single" w:sz="4" w:space="0" w:color="auto"/>
              <w:right w:val="nil"/>
            </w:tcBorders>
            <w:noWrap/>
            <w:vAlign w:val="bottom"/>
            <w:hideMark/>
          </w:tcPr>
          <w:p w14:paraId="2544749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4E3AC6B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1CC5D6A5" w14:textId="3382F1D6"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6CC83634" w14:textId="1C22FAF6"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bruto profitna marža između poduzeća koja su prošla proces preuzimanja drugog poduzeća i onih koji to nisu (B = 0.10,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0.23], p = .111), nije utvrđen statistički značajan vremenski trend (B = -0.02,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0.00], p = .071), ni statistički značajna interakcija između tipa poduzeća i vremenskog trenda (B = 0.02,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0.05], p = .320).</w:t>
      </w:r>
    </w:p>
    <w:p w14:paraId="57D466EB"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0A7D334B" w14:textId="77777777" w:rsidR="00120B4F" w:rsidRPr="00BE5472" w:rsidRDefault="00120B4F" w:rsidP="00490975">
      <w:pPr>
        <w:rPr>
          <w:rFonts w:ascii="Times New Roman" w:hAnsi="Times New Roman" w:cs="Times New Roman"/>
          <w:b/>
          <w:bCs/>
          <w:sz w:val="24"/>
          <w:szCs w:val="24"/>
        </w:rPr>
      </w:pPr>
      <w:bookmarkStart w:id="241" w:name="_Toc182495684"/>
      <w:r w:rsidRPr="00BE5472">
        <w:rPr>
          <w:rFonts w:ascii="Times New Roman" w:hAnsi="Times New Roman" w:cs="Times New Roman"/>
          <w:b/>
          <w:bCs/>
          <w:sz w:val="24"/>
          <w:szCs w:val="24"/>
        </w:rPr>
        <w:lastRenderedPageBreak/>
        <w:t>Neto profitna marža</w:t>
      </w:r>
      <w:bookmarkEnd w:id="241"/>
    </w:p>
    <w:p w14:paraId="002589A2" w14:textId="0162034A"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63</w:t>
      </w:r>
      <w:r w:rsidRPr="00BE5472">
        <w:rPr>
          <w:rFonts w:ascii="Times New Roman" w:hAnsi="Times New Roman" w:cs="Times New Roman"/>
          <w:kern w:val="2"/>
          <w:sz w:val="24"/>
          <w14:ligatures w14:val="standardContextual"/>
        </w:rPr>
        <w:t xml:space="preserve"> prikazani su rezultati testiranja razlike u visini pokazatelja neto profitna marža između poduzeća koja su prošla proces preuzimanja drugog poduzeća i onih koji to nisu.</w:t>
      </w:r>
    </w:p>
    <w:p w14:paraId="3B1DC6F8" w14:textId="7D640E9F" w:rsidR="00120B4F" w:rsidRPr="00E1098E" w:rsidRDefault="00E1098E" w:rsidP="00E1098E">
      <w:pPr>
        <w:pStyle w:val="Caption"/>
        <w:rPr>
          <w:rFonts w:ascii="Times New Roman" w:hAnsi="Times New Roman" w:cs="Times New Roman"/>
          <w:kern w:val="2"/>
          <w:sz w:val="24"/>
          <w:szCs w:val="24"/>
          <w14:ligatures w14:val="standardContextual"/>
        </w:rPr>
      </w:pPr>
      <w:bookmarkStart w:id="242" w:name="_Toc241865257"/>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63</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07037B" w:rsidRPr="00E1098E">
        <w:rPr>
          <w:rFonts w:ascii="Times New Roman" w:hAnsi="Times New Roman" w:cs="Times New Roman"/>
          <w:kern w:val="2"/>
          <w:sz w:val="24"/>
          <w:szCs w:val="24"/>
          <w14:ligatures w14:val="standardContextual"/>
        </w:rPr>
        <w:t>n</w:t>
      </w:r>
      <w:r w:rsidR="00120B4F" w:rsidRPr="00E1098E">
        <w:rPr>
          <w:rFonts w:ascii="Times New Roman" w:hAnsi="Times New Roman" w:cs="Times New Roman"/>
          <w:kern w:val="2"/>
          <w:sz w:val="24"/>
          <w:szCs w:val="24"/>
          <w14:ligatures w14:val="standardContextual"/>
        </w:rPr>
        <w:t>eto profitnoj marži između poduzeća preuzimatelja i nepreuzimatelja</w:t>
      </w:r>
      <w:bookmarkEnd w:id="242"/>
    </w:p>
    <w:tbl>
      <w:tblPr>
        <w:tblW w:w="5000" w:type="pct"/>
        <w:tblLook w:val="04A0" w:firstRow="1" w:lastRow="0" w:firstColumn="1" w:lastColumn="0" w:noHBand="0" w:noVBand="1"/>
      </w:tblPr>
      <w:tblGrid>
        <w:gridCol w:w="3615"/>
        <w:gridCol w:w="943"/>
        <w:gridCol w:w="1631"/>
        <w:gridCol w:w="1728"/>
        <w:gridCol w:w="1112"/>
      </w:tblGrid>
      <w:tr w:rsidR="00120B4F" w:rsidRPr="00BE5472" w14:paraId="23A2205B" w14:textId="77777777" w:rsidTr="003C2F5B">
        <w:trPr>
          <w:trHeight w:val="315"/>
        </w:trPr>
        <w:tc>
          <w:tcPr>
            <w:tcW w:w="2002" w:type="pct"/>
            <w:tcBorders>
              <w:top w:val="nil"/>
              <w:left w:val="nil"/>
              <w:bottom w:val="nil"/>
              <w:right w:val="nil"/>
            </w:tcBorders>
            <w:noWrap/>
            <w:vAlign w:val="bottom"/>
            <w:hideMark/>
          </w:tcPr>
          <w:p w14:paraId="0066FE00"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0A2B091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30077418" w14:textId="360863F8"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28FD97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227440B8"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1DC007C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6AF849A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522D9B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3AA94B0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0BB10E0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770FBAA0" w14:textId="77777777" w:rsidTr="003C2F5B">
        <w:trPr>
          <w:trHeight w:val="315"/>
        </w:trPr>
        <w:tc>
          <w:tcPr>
            <w:tcW w:w="2002" w:type="pct"/>
            <w:tcBorders>
              <w:top w:val="nil"/>
              <w:left w:val="nil"/>
              <w:bottom w:val="nil"/>
              <w:right w:val="nil"/>
            </w:tcBorders>
            <w:noWrap/>
            <w:vAlign w:val="bottom"/>
            <w:hideMark/>
          </w:tcPr>
          <w:p w14:paraId="60E3975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16314C1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03" w:type="pct"/>
            <w:tcBorders>
              <w:top w:val="nil"/>
              <w:left w:val="nil"/>
              <w:bottom w:val="nil"/>
              <w:right w:val="nil"/>
            </w:tcBorders>
            <w:noWrap/>
            <w:vAlign w:val="center"/>
            <w:hideMark/>
          </w:tcPr>
          <w:p w14:paraId="7C41726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75D009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616" w:type="pct"/>
            <w:tcBorders>
              <w:top w:val="nil"/>
              <w:left w:val="nil"/>
              <w:bottom w:val="nil"/>
              <w:right w:val="nil"/>
            </w:tcBorders>
            <w:noWrap/>
            <w:vAlign w:val="center"/>
            <w:hideMark/>
          </w:tcPr>
          <w:p w14:paraId="48FEEE7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0.318</w:t>
            </w:r>
          </w:p>
        </w:tc>
      </w:tr>
      <w:tr w:rsidR="00120B4F" w:rsidRPr="00BE5472" w14:paraId="67D22A09" w14:textId="77777777" w:rsidTr="003C2F5B">
        <w:trPr>
          <w:trHeight w:val="315"/>
        </w:trPr>
        <w:tc>
          <w:tcPr>
            <w:tcW w:w="2002" w:type="pct"/>
            <w:tcBorders>
              <w:top w:val="nil"/>
              <w:left w:val="nil"/>
              <w:bottom w:val="nil"/>
              <w:right w:val="nil"/>
            </w:tcBorders>
            <w:noWrap/>
            <w:vAlign w:val="bottom"/>
            <w:hideMark/>
          </w:tcPr>
          <w:p w14:paraId="3177731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4E868FE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03" w:type="pct"/>
            <w:tcBorders>
              <w:top w:val="nil"/>
              <w:left w:val="nil"/>
              <w:bottom w:val="nil"/>
              <w:right w:val="nil"/>
            </w:tcBorders>
            <w:noWrap/>
            <w:vAlign w:val="center"/>
            <w:hideMark/>
          </w:tcPr>
          <w:p w14:paraId="1B4C19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5177D8B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616" w:type="pct"/>
            <w:tcBorders>
              <w:top w:val="nil"/>
              <w:left w:val="nil"/>
              <w:bottom w:val="nil"/>
              <w:right w:val="nil"/>
            </w:tcBorders>
            <w:noWrap/>
            <w:vAlign w:val="center"/>
            <w:hideMark/>
          </w:tcPr>
          <w:p w14:paraId="7DC0C85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0.118</w:t>
            </w:r>
          </w:p>
        </w:tc>
      </w:tr>
      <w:tr w:rsidR="00120B4F" w:rsidRPr="00BE5472" w14:paraId="6DEFC07D" w14:textId="77777777" w:rsidTr="003C2F5B">
        <w:trPr>
          <w:trHeight w:val="315"/>
        </w:trPr>
        <w:tc>
          <w:tcPr>
            <w:tcW w:w="2002" w:type="pct"/>
            <w:tcBorders>
              <w:top w:val="nil"/>
              <w:left w:val="nil"/>
              <w:bottom w:val="nil"/>
              <w:right w:val="nil"/>
            </w:tcBorders>
            <w:noWrap/>
            <w:vAlign w:val="bottom"/>
            <w:hideMark/>
          </w:tcPr>
          <w:p w14:paraId="04A38E4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1196596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1.71</w:t>
            </w:r>
          </w:p>
        </w:tc>
        <w:tc>
          <w:tcPr>
            <w:tcW w:w="903" w:type="pct"/>
            <w:tcBorders>
              <w:top w:val="nil"/>
              <w:left w:val="nil"/>
              <w:bottom w:val="nil"/>
              <w:right w:val="nil"/>
            </w:tcBorders>
            <w:noWrap/>
            <w:vAlign w:val="center"/>
            <w:hideMark/>
          </w:tcPr>
          <w:p w14:paraId="4FF0271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-1.03</w:t>
            </w:r>
          </w:p>
        </w:tc>
        <w:tc>
          <w:tcPr>
            <w:tcW w:w="957" w:type="pct"/>
            <w:tcBorders>
              <w:top w:val="nil"/>
              <w:left w:val="nil"/>
              <w:bottom w:val="nil"/>
              <w:right w:val="nil"/>
            </w:tcBorders>
            <w:noWrap/>
            <w:vAlign w:val="center"/>
            <w:hideMark/>
          </w:tcPr>
          <w:p w14:paraId="4B19A9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4.46</w:t>
            </w:r>
          </w:p>
        </w:tc>
        <w:tc>
          <w:tcPr>
            <w:tcW w:w="616" w:type="pct"/>
            <w:tcBorders>
              <w:top w:val="nil"/>
              <w:left w:val="nil"/>
              <w:bottom w:val="nil"/>
              <w:right w:val="nil"/>
            </w:tcBorders>
            <w:noWrap/>
            <w:vAlign w:val="center"/>
            <w:hideMark/>
          </w:tcPr>
          <w:p w14:paraId="327FDA8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0.218</w:t>
            </w:r>
          </w:p>
        </w:tc>
      </w:tr>
      <w:tr w:rsidR="00120B4F" w:rsidRPr="00BE5472" w14:paraId="1461A65F" w14:textId="77777777" w:rsidTr="003C2F5B">
        <w:trPr>
          <w:trHeight w:val="315"/>
        </w:trPr>
        <w:tc>
          <w:tcPr>
            <w:tcW w:w="2002" w:type="pct"/>
            <w:tcBorders>
              <w:top w:val="nil"/>
              <w:left w:val="nil"/>
              <w:bottom w:val="nil"/>
              <w:right w:val="nil"/>
            </w:tcBorders>
            <w:noWrap/>
            <w:vAlign w:val="bottom"/>
            <w:hideMark/>
          </w:tcPr>
          <w:p w14:paraId="21B86BE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3B0F62F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903" w:type="pct"/>
            <w:tcBorders>
              <w:top w:val="nil"/>
              <w:left w:val="nil"/>
              <w:bottom w:val="nil"/>
              <w:right w:val="nil"/>
            </w:tcBorders>
            <w:noWrap/>
            <w:vAlign w:val="center"/>
            <w:hideMark/>
          </w:tcPr>
          <w:p w14:paraId="585386F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176DEC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0.22</w:t>
            </w:r>
          </w:p>
        </w:tc>
        <w:tc>
          <w:tcPr>
            <w:tcW w:w="616" w:type="pct"/>
            <w:tcBorders>
              <w:top w:val="nil"/>
              <w:left w:val="nil"/>
              <w:bottom w:val="nil"/>
              <w:right w:val="nil"/>
            </w:tcBorders>
            <w:noWrap/>
            <w:vAlign w:val="center"/>
            <w:hideMark/>
          </w:tcPr>
          <w:p w14:paraId="6F29099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0.146</w:t>
            </w:r>
          </w:p>
        </w:tc>
      </w:tr>
      <w:tr w:rsidR="00120B4F" w:rsidRPr="00BE5472" w14:paraId="33AF389A" w14:textId="77777777" w:rsidTr="003C2F5B">
        <w:trPr>
          <w:trHeight w:val="315"/>
        </w:trPr>
        <w:tc>
          <w:tcPr>
            <w:tcW w:w="2002" w:type="pct"/>
            <w:tcBorders>
              <w:top w:val="nil"/>
              <w:left w:val="nil"/>
              <w:bottom w:val="nil"/>
              <w:right w:val="nil"/>
            </w:tcBorders>
            <w:noWrap/>
            <w:vAlign w:val="bottom"/>
            <w:hideMark/>
          </w:tcPr>
          <w:p w14:paraId="01384D2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67F38A7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w:t>
            </w:r>
          </w:p>
        </w:tc>
        <w:tc>
          <w:tcPr>
            <w:tcW w:w="903" w:type="pct"/>
            <w:tcBorders>
              <w:top w:val="nil"/>
              <w:left w:val="nil"/>
              <w:bottom w:val="nil"/>
              <w:right w:val="nil"/>
            </w:tcBorders>
            <w:noWrap/>
            <w:vAlign w:val="center"/>
            <w:hideMark/>
          </w:tcPr>
          <w:p w14:paraId="05138F7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957" w:type="pct"/>
            <w:tcBorders>
              <w:top w:val="nil"/>
              <w:left w:val="nil"/>
              <w:bottom w:val="nil"/>
              <w:right w:val="nil"/>
            </w:tcBorders>
            <w:noWrap/>
            <w:vAlign w:val="center"/>
            <w:hideMark/>
          </w:tcPr>
          <w:p w14:paraId="5A726DF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0.84</w:t>
            </w:r>
          </w:p>
        </w:tc>
        <w:tc>
          <w:tcPr>
            <w:tcW w:w="616" w:type="pct"/>
            <w:tcBorders>
              <w:top w:val="nil"/>
              <w:left w:val="nil"/>
              <w:bottom w:val="nil"/>
              <w:right w:val="nil"/>
            </w:tcBorders>
            <w:noWrap/>
            <w:vAlign w:val="center"/>
            <w:hideMark/>
          </w:tcPr>
          <w:p w14:paraId="72F171F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0.595</w:t>
            </w:r>
          </w:p>
        </w:tc>
      </w:tr>
      <w:tr w:rsidR="00120B4F" w:rsidRPr="00BE5472" w14:paraId="435DF246" w14:textId="77777777" w:rsidTr="003C2F5B">
        <w:trPr>
          <w:trHeight w:val="315"/>
        </w:trPr>
        <w:tc>
          <w:tcPr>
            <w:tcW w:w="2002" w:type="pct"/>
            <w:tcBorders>
              <w:top w:val="single" w:sz="4" w:space="0" w:color="auto"/>
              <w:left w:val="nil"/>
              <w:bottom w:val="nil"/>
              <w:right w:val="nil"/>
            </w:tcBorders>
            <w:noWrap/>
            <w:vAlign w:val="bottom"/>
            <w:hideMark/>
          </w:tcPr>
          <w:p w14:paraId="641B344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02B05FF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120B4F" w:rsidRPr="00BE5472" w14:paraId="5F727C46" w14:textId="77777777" w:rsidTr="003C2F5B">
        <w:trPr>
          <w:trHeight w:val="315"/>
        </w:trPr>
        <w:tc>
          <w:tcPr>
            <w:tcW w:w="2002" w:type="pct"/>
            <w:tcBorders>
              <w:top w:val="nil"/>
              <w:left w:val="nil"/>
              <w:bottom w:val="nil"/>
              <w:right w:val="nil"/>
            </w:tcBorders>
            <w:noWrap/>
            <w:vAlign w:val="bottom"/>
            <w:hideMark/>
          </w:tcPr>
          <w:p w14:paraId="0624511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3A47617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0.13</w:t>
            </w:r>
          </w:p>
        </w:tc>
      </w:tr>
      <w:tr w:rsidR="00120B4F" w:rsidRPr="00BE5472" w14:paraId="2DEC796D" w14:textId="77777777" w:rsidTr="003C2F5B">
        <w:trPr>
          <w:trHeight w:val="315"/>
        </w:trPr>
        <w:tc>
          <w:tcPr>
            <w:tcW w:w="2002" w:type="pct"/>
            <w:tcBorders>
              <w:top w:val="nil"/>
              <w:left w:val="nil"/>
              <w:bottom w:val="nil"/>
              <w:right w:val="nil"/>
            </w:tcBorders>
            <w:noWrap/>
            <w:vAlign w:val="bottom"/>
            <w:hideMark/>
          </w:tcPr>
          <w:p w14:paraId="4616812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68660C2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0644CF8F" w14:textId="77777777" w:rsidTr="003C2F5B">
        <w:trPr>
          <w:trHeight w:val="315"/>
        </w:trPr>
        <w:tc>
          <w:tcPr>
            <w:tcW w:w="2002" w:type="pct"/>
            <w:tcBorders>
              <w:top w:val="nil"/>
              <w:left w:val="nil"/>
              <w:bottom w:val="nil"/>
              <w:right w:val="nil"/>
            </w:tcBorders>
            <w:noWrap/>
            <w:vAlign w:val="bottom"/>
            <w:hideMark/>
          </w:tcPr>
          <w:p w14:paraId="63FB14D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325BC94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3CA89427" w14:textId="77777777" w:rsidTr="003C2F5B">
        <w:trPr>
          <w:trHeight w:val="315"/>
        </w:trPr>
        <w:tc>
          <w:tcPr>
            <w:tcW w:w="2002" w:type="pct"/>
            <w:tcBorders>
              <w:top w:val="nil"/>
              <w:left w:val="nil"/>
              <w:bottom w:val="single" w:sz="4" w:space="0" w:color="auto"/>
              <w:right w:val="nil"/>
            </w:tcBorders>
            <w:noWrap/>
            <w:vAlign w:val="bottom"/>
            <w:hideMark/>
          </w:tcPr>
          <w:p w14:paraId="18DB479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2F57216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A48770F" w14:textId="31010A45"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390C3A97" w14:textId="0F68204E"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neto profitna marža između poduzeća koja su prošla proces preuzimanja drugog poduzeća i onih koji to nisu (B = 0.09,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0.22], p = .146), nije utvrđen statistički značajan vremenski trend (B = -0.01,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0.00], p = .118), ni statistički značajna interakcija između tipa poduzeća i vremenskog trenda (B = 0.18,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[-0.48, 0.84], p = .595).</w:t>
      </w:r>
    </w:p>
    <w:p w14:paraId="253078EA"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4F9B7C7A" w14:textId="77777777" w:rsidR="00120B4F" w:rsidRPr="00BE5472" w:rsidRDefault="00120B4F" w:rsidP="00490975">
      <w:pPr>
        <w:rPr>
          <w:rFonts w:ascii="Times New Roman" w:hAnsi="Times New Roman" w:cs="Times New Roman"/>
          <w:b/>
          <w:bCs/>
          <w:sz w:val="24"/>
          <w:szCs w:val="24"/>
        </w:rPr>
      </w:pPr>
      <w:bookmarkStart w:id="243" w:name="_Toc182495685"/>
      <w:r w:rsidRPr="00BE5472">
        <w:rPr>
          <w:rFonts w:ascii="Times New Roman" w:hAnsi="Times New Roman" w:cs="Times New Roman"/>
          <w:b/>
          <w:bCs/>
          <w:sz w:val="24"/>
          <w:szCs w:val="24"/>
        </w:rPr>
        <w:lastRenderedPageBreak/>
        <w:t>Pokazatelj tekuće likvidnosti</w:t>
      </w:r>
      <w:bookmarkEnd w:id="243"/>
    </w:p>
    <w:p w14:paraId="1B033B80" w14:textId="2A22B561"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4</w:t>
      </w:r>
      <w:r w:rsidRPr="00BE5472">
        <w:rPr>
          <w:rFonts w:ascii="Times New Roman" w:hAnsi="Times New Roman" w:cs="Times New Roman"/>
          <w:kern w:val="2"/>
          <w:sz w:val="24"/>
          <w14:ligatures w14:val="standardContextual"/>
        </w:rPr>
        <w:t xml:space="preserve"> prikazani su rezultati testiranja razlike u visini pokazatelja tekuće likvidnosti između poduzeća koja su prošla proces preuzimanja drugog poduzeća i onih koji to nisu.</w:t>
      </w:r>
    </w:p>
    <w:p w14:paraId="660E558B" w14:textId="6902E1D1" w:rsidR="00120B4F" w:rsidRPr="00E1098E" w:rsidRDefault="00E1098E" w:rsidP="00E1098E">
      <w:pPr>
        <w:pStyle w:val="Caption"/>
        <w:rPr>
          <w:rFonts w:ascii="Times New Roman" w:hAnsi="Times New Roman" w:cs="Times New Roman"/>
          <w:kern w:val="2"/>
          <w:sz w:val="24"/>
          <w:szCs w:val="24"/>
          <w14:ligatures w14:val="standardContextual"/>
        </w:rPr>
      </w:pPr>
      <w:bookmarkStart w:id="244" w:name="_Toc241865258"/>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64</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07037B" w:rsidRPr="00E1098E">
        <w:rPr>
          <w:rFonts w:ascii="Times New Roman" w:hAnsi="Times New Roman" w:cs="Times New Roman"/>
          <w:kern w:val="2"/>
          <w:sz w:val="24"/>
          <w:szCs w:val="24"/>
          <w14:ligatures w14:val="standardContextual"/>
        </w:rPr>
        <w:t>p</w:t>
      </w:r>
      <w:r w:rsidR="00120B4F" w:rsidRPr="00E1098E">
        <w:rPr>
          <w:rFonts w:ascii="Times New Roman" w:hAnsi="Times New Roman" w:cs="Times New Roman"/>
          <w:kern w:val="2"/>
          <w:sz w:val="24"/>
          <w:szCs w:val="24"/>
          <w14:ligatures w14:val="standardContextual"/>
        </w:rPr>
        <w:t>okazatelju tekuće likvidnosti između poduzeća preuzimatelja i nepreuzimatelja</w:t>
      </w:r>
      <w:bookmarkEnd w:id="244"/>
    </w:p>
    <w:tbl>
      <w:tblPr>
        <w:tblW w:w="5000" w:type="pct"/>
        <w:tblLook w:val="04A0" w:firstRow="1" w:lastRow="0" w:firstColumn="1" w:lastColumn="0" w:noHBand="0" w:noVBand="1"/>
      </w:tblPr>
      <w:tblGrid>
        <w:gridCol w:w="3615"/>
        <w:gridCol w:w="943"/>
        <w:gridCol w:w="1631"/>
        <w:gridCol w:w="1728"/>
        <w:gridCol w:w="1112"/>
      </w:tblGrid>
      <w:tr w:rsidR="00120B4F" w:rsidRPr="00BE5472" w14:paraId="205E75BF" w14:textId="77777777" w:rsidTr="003C2F5B">
        <w:trPr>
          <w:trHeight w:val="315"/>
        </w:trPr>
        <w:tc>
          <w:tcPr>
            <w:tcW w:w="2002" w:type="pct"/>
            <w:tcBorders>
              <w:top w:val="nil"/>
              <w:left w:val="nil"/>
              <w:bottom w:val="nil"/>
              <w:right w:val="nil"/>
            </w:tcBorders>
            <w:noWrap/>
            <w:vAlign w:val="bottom"/>
            <w:hideMark/>
          </w:tcPr>
          <w:p w14:paraId="4EF4B09A"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1C27EE7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42F53CDA" w14:textId="1069D68C"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07037B"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552C52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7521F5C8"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62D7DA1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0DD62C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6C6B635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6ECE07B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710C04D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ED68DD9" w14:textId="77777777" w:rsidTr="003C2F5B">
        <w:trPr>
          <w:trHeight w:val="315"/>
        </w:trPr>
        <w:tc>
          <w:tcPr>
            <w:tcW w:w="2002" w:type="pct"/>
            <w:tcBorders>
              <w:top w:val="nil"/>
              <w:left w:val="nil"/>
              <w:bottom w:val="nil"/>
              <w:right w:val="nil"/>
            </w:tcBorders>
            <w:noWrap/>
            <w:vAlign w:val="bottom"/>
            <w:hideMark/>
          </w:tcPr>
          <w:p w14:paraId="32DEDF7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2B306C3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1.28</w:t>
            </w:r>
          </w:p>
        </w:tc>
        <w:tc>
          <w:tcPr>
            <w:tcW w:w="903" w:type="pct"/>
            <w:tcBorders>
              <w:top w:val="nil"/>
              <w:left w:val="nil"/>
              <w:bottom w:val="nil"/>
              <w:right w:val="nil"/>
            </w:tcBorders>
            <w:noWrap/>
            <w:vAlign w:val="center"/>
            <w:hideMark/>
          </w:tcPr>
          <w:p w14:paraId="7BB36CF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0.85</w:t>
            </w:r>
          </w:p>
        </w:tc>
        <w:tc>
          <w:tcPr>
            <w:tcW w:w="957" w:type="pct"/>
            <w:tcBorders>
              <w:top w:val="nil"/>
              <w:left w:val="nil"/>
              <w:bottom w:val="nil"/>
              <w:right w:val="nil"/>
            </w:tcBorders>
            <w:noWrap/>
            <w:vAlign w:val="center"/>
            <w:hideMark/>
          </w:tcPr>
          <w:p w14:paraId="2D681F6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1.71</w:t>
            </w:r>
          </w:p>
        </w:tc>
        <w:tc>
          <w:tcPr>
            <w:tcW w:w="616" w:type="pct"/>
            <w:tcBorders>
              <w:top w:val="nil"/>
              <w:left w:val="nil"/>
              <w:bottom w:val="nil"/>
              <w:right w:val="nil"/>
            </w:tcBorders>
            <w:noWrap/>
            <w:vAlign w:val="center"/>
            <w:hideMark/>
          </w:tcPr>
          <w:p w14:paraId="0E89FD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0.002</w:t>
            </w:r>
          </w:p>
        </w:tc>
      </w:tr>
      <w:tr w:rsidR="00120B4F" w:rsidRPr="00BE5472" w14:paraId="1B35BA67" w14:textId="77777777" w:rsidTr="003C2F5B">
        <w:trPr>
          <w:trHeight w:val="315"/>
        </w:trPr>
        <w:tc>
          <w:tcPr>
            <w:tcW w:w="2002" w:type="pct"/>
            <w:tcBorders>
              <w:top w:val="nil"/>
              <w:left w:val="nil"/>
              <w:bottom w:val="nil"/>
              <w:right w:val="nil"/>
            </w:tcBorders>
            <w:noWrap/>
            <w:vAlign w:val="bottom"/>
            <w:hideMark/>
          </w:tcPr>
          <w:p w14:paraId="680CA52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4828DBE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w:t>
            </w:r>
          </w:p>
        </w:tc>
        <w:tc>
          <w:tcPr>
            <w:tcW w:w="903" w:type="pct"/>
            <w:tcBorders>
              <w:top w:val="nil"/>
              <w:left w:val="nil"/>
              <w:bottom w:val="nil"/>
              <w:right w:val="nil"/>
            </w:tcBorders>
            <w:noWrap/>
            <w:vAlign w:val="center"/>
            <w:hideMark/>
          </w:tcPr>
          <w:p w14:paraId="628813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957" w:type="pct"/>
            <w:tcBorders>
              <w:top w:val="nil"/>
              <w:left w:val="nil"/>
              <w:bottom w:val="nil"/>
              <w:right w:val="nil"/>
            </w:tcBorders>
            <w:noWrap/>
            <w:vAlign w:val="center"/>
            <w:hideMark/>
          </w:tcPr>
          <w:p w14:paraId="1956F67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0.07</w:t>
            </w:r>
          </w:p>
        </w:tc>
        <w:tc>
          <w:tcPr>
            <w:tcW w:w="616" w:type="pct"/>
            <w:tcBorders>
              <w:top w:val="nil"/>
              <w:left w:val="nil"/>
              <w:bottom w:val="nil"/>
              <w:right w:val="nil"/>
            </w:tcBorders>
            <w:noWrap/>
            <w:vAlign w:val="center"/>
            <w:hideMark/>
          </w:tcPr>
          <w:p w14:paraId="3839C48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0.970</w:t>
            </w:r>
          </w:p>
        </w:tc>
      </w:tr>
      <w:tr w:rsidR="00120B4F" w:rsidRPr="00BE5472" w14:paraId="66BC5A35" w14:textId="77777777" w:rsidTr="003C2F5B">
        <w:trPr>
          <w:trHeight w:val="315"/>
        </w:trPr>
        <w:tc>
          <w:tcPr>
            <w:tcW w:w="2002" w:type="pct"/>
            <w:tcBorders>
              <w:top w:val="nil"/>
              <w:left w:val="nil"/>
              <w:bottom w:val="nil"/>
              <w:right w:val="nil"/>
            </w:tcBorders>
            <w:noWrap/>
            <w:vAlign w:val="bottom"/>
            <w:hideMark/>
          </w:tcPr>
          <w:p w14:paraId="773CB3D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6ECC48A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1.98</w:t>
            </w:r>
          </w:p>
        </w:tc>
        <w:tc>
          <w:tcPr>
            <w:tcW w:w="903" w:type="pct"/>
            <w:tcBorders>
              <w:top w:val="nil"/>
              <w:left w:val="nil"/>
              <w:bottom w:val="nil"/>
              <w:right w:val="nil"/>
            </w:tcBorders>
            <w:noWrap/>
            <w:vAlign w:val="center"/>
            <w:hideMark/>
          </w:tcPr>
          <w:p w14:paraId="2E0CDB3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w:t>
            </w:r>
          </w:p>
        </w:tc>
        <w:tc>
          <w:tcPr>
            <w:tcW w:w="957" w:type="pct"/>
            <w:tcBorders>
              <w:top w:val="nil"/>
              <w:left w:val="nil"/>
              <w:bottom w:val="nil"/>
              <w:right w:val="nil"/>
            </w:tcBorders>
            <w:noWrap/>
            <w:vAlign w:val="center"/>
            <w:hideMark/>
          </w:tcPr>
          <w:p w14:paraId="3E4249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3.92</w:t>
            </w:r>
          </w:p>
        </w:tc>
        <w:tc>
          <w:tcPr>
            <w:tcW w:w="616" w:type="pct"/>
            <w:tcBorders>
              <w:top w:val="nil"/>
              <w:left w:val="nil"/>
              <w:bottom w:val="nil"/>
              <w:right w:val="nil"/>
            </w:tcBorders>
            <w:noWrap/>
            <w:vAlign w:val="center"/>
            <w:hideMark/>
          </w:tcPr>
          <w:p w14:paraId="1003395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0.097</w:t>
            </w:r>
          </w:p>
        </w:tc>
      </w:tr>
      <w:tr w:rsidR="00120B4F" w:rsidRPr="00BE5472" w14:paraId="7AD89ACD" w14:textId="77777777" w:rsidTr="003C2F5B">
        <w:trPr>
          <w:trHeight w:val="315"/>
        </w:trPr>
        <w:tc>
          <w:tcPr>
            <w:tcW w:w="2002" w:type="pct"/>
            <w:tcBorders>
              <w:top w:val="nil"/>
              <w:left w:val="nil"/>
              <w:bottom w:val="nil"/>
              <w:right w:val="nil"/>
            </w:tcBorders>
            <w:noWrap/>
            <w:vAlign w:val="bottom"/>
            <w:hideMark/>
          </w:tcPr>
          <w:p w14:paraId="62DD90A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690311A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-0.31</w:t>
            </w:r>
          </w:p>
        </w:tc>
        <w:tc>
          <w:tcPr>
            <w:tcW w:w="903" w:type="pct"/>
            <w:tcBorders>
              <w:top w:val="nil"/>
              <w:left w:val="nil"/>
              <w:bottom w:val="nil"/>
              <w:right w:val="nil"/>
            </w:tcBorders>
            <w:noWrap/>
            <w:vAlign w:val="center"/>
            <w:hideMark/>
          </w:tcPr>
          <w:p w14:paraId="35C8722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-1.20</w:t>
            </w:r>
          </w:p>
        </w:tc>
        <w:tc>
          <w:tcPr>
            <w:tcW w:w="957" w:type="pct"/>
            <w:tcBorders>
              <w:top w:val="nil"/>
              <w:left w:val="nil"/>
              <w:bottom w:val="nil"/>
              <w:right w:val="nil"/>
            </w:tcBorders>
            <w:noWrap/>
            <w:vAlign w:val="center"/>
            <w:hideMark/>
          </w:tcPr>
          <w:p w14:paraId="65D131F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0.57</w:t>
            </w:r>
          </w:p>
        </w:tc>
        <w:tc>
          <w:tcPr>
            <w:tcW w:w="616" w:type="pct"/>
            <w:tcBorders>
              <w:top w:val="nil"/>
              <w:left w:val="nil"/>
              <w:bottom w:val="nil"/>
              <w:right w:val="nil"/>
            </w:tcBorders>
            <w:noWrap/>
            <w:vAlign w:val="center"/>
            <w:hideMark/>
          </w:tcPr>
          <w:p w14:paraId="2577AA9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0.514</w:t>
            </w:r>
          </w:p>
        </w:tc>
      </w:tr>
      <w:tr w:rsidR="00120B4F" w:rsidRPr="00BE5472" w14:paraId="27CC065E" w14:textId="77777777" w:rsidTr="003C2F5B">
        <w:trPr>
          <w:trHeight w:val="315"/>
        </w:trPr>
        <w:tc>
          <w:tcPr>
            <w:tcW w:w="2002" w:type="pct"/>
            <w:tcBorders>
              <w:top w:val="nil"/>
              <w:left w:val="nil"/>
              <w:bottom w:val="nil"/>
              <w:right w:val="nil"/>
            </w:tcBorders>
            <w:noWrap/>
            <w:vAlign w:val="bottom"/>
            <w:hideMark/>
          </w:tcPr>
          <w:p w14:paraId="62B7A7E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3AB1257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03" w:type="pct"/>
            <w:tcBorders>
              <w:top w:val="nil"/>
              <w:left w:val="nil"/>
              <w:bottom w:val="nil"/>
              <w:right w:val="nil"/>
            </w:tcBorders>
            <w:noWrap/>
            <w:vAlign w:val="center"/>
            <w:hideMark/>
          </w:tcPr>
          <w:p w14:paraId="38F6B9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-0.10</w:t>
            </w:r>
          </w:p>
        </w:tc>
        <w:tc>
          <w:tcPr>
            <w:tcW w:w="957" w:type="pct"/>
            <w:tcBorders>
              <w:top w:val="nil"/>
              <w:left w:val="nil"/>
              <w:bottom w:val="nil"/>
              <w:right w:val="nil"/>
            </w:tcBorders>
            <w:noWrap/>
            <w:vAlign w:val="center"/>
            <w:hideMark/>
          </w:tcPr>
          <w:p w14:paraId="6C36F5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0.16</w:t>
            </w:r>
          </w:p>
        </w:tc>
        <w:tc>
          <w:tcPr>
            <w:tcW w:w="616" w:type="pct"/>
            <w:tcBorders>
              <w:top w:val="nil"/>
              <w:left w:val="nil"/>
              <w:bottom w:val="nil"/>
              <w:right w:val="nil"/>
            </w:tcBorders>
            <w:noWrap/>
            <w:vAlign w:val="center"/>
            <w:hideMark/>
          </w:tcPr>
          <w:p w14:paraId="136BC0B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0.674</w:t>
            </w:r>
          </w:p>
        </w:tc>
      </w:tr>
      <w:tr w:rsidR="00120B4F" w:rsidRPr="00BE5472" w14:paraId="5566368D" w14:textId="77777777" w:rsidTr="003C2F5B">
        <w:trPr>
          <w:trHeight w:val="315"/>
        </w:trPr>
        <w:tc>
          <w:tcPr>
            <w:tcW w:w="2002" w:type="pct"/>
            <w:tcBorders>
              <w:top w:val="single" w:sz="4" w:space="0" w:color="auto"/>
              <w:left w:val="nil"/>
              <w:bottom w:val="nil"/>
              <w:right w:val="nil"/>
            </w:tcBorders>
            <w:noWrap/>
            <w:vAlign w:val="bottom"/>
            <w:hideMark/>
          </w:tcPr>
          <w:p w14:paraId="591D033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491212C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w:t>
            </w:r>
          </w:p>
        </w:tc>
      </w:tr>
      <w:tr w:rsidR="00120B4F" w:rsidRPr="00BE5472" w14:paraId="67B136A0" w14:textId="77777777" w:rsidTr="003C2F5B">
        <w:trPr>
          <w:trHeight w:val="315"/>
        </w:trPr>
        <w:tc>
          <w:tcPr>
            <w:tcW w:w="2002" w:type="pct"/>
            <w:tcBorders>
              <w:top w:val="nil"/>
              <w:left w:val="nil"/>
              <w:bottom w:val="nil"/>
              <w:right w:val="nil"/>
            </w:tcBorders>
            <w:noWrap/>
            <w:vAlign w:val="bottom"/>
            <w:hideMark/>
          </w:tcPr>
          <w:p w14:paraId="4D47A12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4FFE3E8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r>
      <w:tr w:rsidR="00120B4F" w:rsidRPr="00BE5472" w14:paraId="2110A2B7" w14:textId="77777777" w:rsidTr="003C2F5B">
        <w:trPr>
          <w:trHeight w:val="315"/>
        </w:trPr>
        <w:tc>
          <w:tcPr>
            <w:tcW w:w="2002" w:type="pct"/>
            <w:tcBorders>
              <w:top w:val="nil"/>
              <w:left w:val="nil"/>
              <w:bottom w:val="nil"/>
              <w:right w:val="nil"/>
            </w:tcBorders>
            <w:noWrap/>
            <w:vAlign w:val="bottom"/>
            <w:hideMark/>
          </w:tcPr>
          <w:p w14:paraId="14898ED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7C3890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r>
      <w:tr w:rsidR="00120B4F" w:rsidRPr="00BE5472" w14:paraId="3B854D6F" w14:textId="77777777" w:rsidTr="003C2F5B">
        <w:trPr>
          <w:trHeight w:val="315"/>
        </w:trPr>
        <w:tc>
          <w:tcPr>
            <w:tcW w:w="2002" w:type="pct"/>
            <w:tcBorders>
              <w:top w:val="nil"/>
              <w:left w:val="nil"/>
              <w:bottom w:val="nil"/>
              <w:right w:val="nil"/>
            </w:tcBorders>
            <w:noWrap/>
            <w:vAlign w:val="bottom"/>
            <w:hideMark/>
          </w:tcPr>
          <w:p w14:paraId="163F0BA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0BAE5F2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0D04F6BF" w14:textId="77777777" w:rsidTr="003C2F5B">
        <w:trPr>
          <w:trHeight w:val="315"/>
        </w:trPr>
        <w:tc>
          <w:tcPr>
            <w:tcW w:w="2002" w:type="pct"/>
            <w:tcBorders>
              <w:top w:val="nil"/>
              <w:left w:val="nil"/>
              <w:bottom w:val="single" w:sz="4" w:space="0" w:color="auto"/>
              <w:right w:val="nil"/>
            </w:tcBorders>
            <w:noWrap/>
            <w:vAlign w:val="bottom"/>
            <w:hideMark/>
          </w:tcPr>
          <w:p w14:paraId="03F8753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6DB67DC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127AA5C7" w14:textId="2782E26E"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0636731A" w14:textId="1F39943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tekuće likvidnosti između poduzeća koja su prošla proces preuzimanja drugog poduzeća i onih koji to nisu (B = -0.31,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[-1.20, 0.57], p = .514), nije utvrđen statistički značajan vremenski trend (B = 0,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[-0.07, 0.07], p = .970), ni statistički značajna interakcija između tipa poduzeća i vremenskog trenda (B = 0.03, 95</w:t>
      </w:r>
      <w:r w:rsidR="0007037B"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[-0.10, 0.16], p = .595).</w:t>
      </w:r>
    </w:p>
    <w:p w14:paraId="71EA5B93"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46C7F9E8" w14:textId="77777777" w:rsidR="00120B4F" w:rsidRPr="00BE5472" w:rsidRDefault="00120B4F" w:rsidP="00490975">
      <w:pPr>
        <w:rPr>
          <w:rFonts w:ascii="Times New Roman" w:hAnsi="Times New Roman" w:cs="Times New Roman"/>
          <w:b/>
          <w:bCs/>
          <w:sz w:val="24"/>
          <w:szCs w:val="24"/>
        </w:rPr>
      </w:pPr>
      <w:bookmarkStart w:id="245" w:name="_Toc182495686"/>
      <w:r w:rsidRPr="00BE5472">
        <w:rPr>
          <w:rFonts w:ascii="Times New Roman" w:hAnsi="Times New Roman" w:cs="Times New Roman"/>
          <w:b/>
          <w:bCs/>
          <w:sz w:val="24"/>
          <w:szCs w:val="24"/>
        </w:rPr>
        <w:lastRenderedPageBreak/>
        <w:t>Pokazatelj financijske stabilnosti</w:t>
      </w:r>
      <w:bookmarkEnd w:id="245"/>
    </w:p>
    <w:p w14:paraId="00CB1B84" w14:textId="44C552CE"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5</w:t>
      </w:r>
      <w:r w:rsidRPr="00BE5472">
        <w:rPr>
          <w:rFonts w:ascii="Times New Roman" w:hAnsi="Times New Roman" w:cs="Times New Roman"/>
          <w:kern w:val="2"/>
          <w:sz w:val="24"/>
          <w14:ligatures w14:val="standardContextual"/>
        </w:rPr>
        <w:t xml:space="preserve"> prikazani su rezultati testiranja razlike u visini pokazatelja financijske stabilnosti između poduzeća koja su prošla proces preuzimanja drugog poduzeća i onih koji to nisu.</w:t>
      </w:r>
    </w:p>
    <w:p w14:paraId="0AEB4F74" w14:textId="488D07F2" w:rsidR="00120B4F" w:rsidRPr="00E1098E" w:rsidRDefault="00E1098E" w:rsidP="00E1098E">
      <w:pPr>
        <w:pStyle w:val="Caption"/>
        <w:rPr>
          <w:rFonts w:ascii="Times New Roman" w:hAnsi="Times New Roman" w:cs="Times New Roman"/>
          <w:kern w:val="2"/>
          <w:sz w:val="24"/>
          <w:szCs w:val="24"/>
          <w14:ligatures w14:val="standardContextual"/>
        </w:rPr>
      </w:pPr>
      <w:bookmarkStart w:id="246" w:name="_Toc241865259"/>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65</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07037B" w:rsidRPr="00E1098E">
        <w:rPr>
          <w:rFonts w:ascii="Times New Roman" w:hAnsi="Times New Roman" w:cs="Times New Roman"/>
          <w:kern w:val="2"/>
          <w:sz w:val="24"/>
          <w:szCs w:val="24"/>
          <w14:ligatures w14:val="standardContextual"/>
        </w:rPr>
        <w:t>p</w:t>
      </w:r>
      <w:r w:rsidR="00120B4F" w:rsidRPr="00E1098E">
        <w:rPr>
          <w:rFonts w:ascii="Times New Roman" w:hAnsi="Times New Roman" w:cs="Times New Roman"/>
          <w:kern w:val="2"/>
          <w:sz w:val="24"/>
          <w:szCs w:val="24"/>
          <w14:ligatures w14:val="standardContextual"/>
        </w:rPr>
        <w:t>okazatelju financijske stabilnosti između poduzeća preuzimatelja i nepreuzimatelja</w:t>
      </w:r>
      <w:bookmarkEnd w:id="246"/>
    </w:p>
    <w:tbl>
      <w:tblPr>
        <w:tblW w:w="5000" w:type="pct"/>
        <w:tblLook w:val="04A0" w:firstRow="1" w:lastRow="0" w:firstColumn="1" w:lastColumn="0" w:noHBand="0" w:noVBand="1"/>
      </w:tblPr>
      <w:tblGrid>
        <w:gridCol w:w="3615"/>
        <w:gridCol w:w="943"/>
        <w:gridCol w:w="1631"/>
        <w:gridCol w:w="1728"/>
        <w:gridCol w:w="1112"/>
      </w:tblGrid>
      <w:tr w:rsidR="00120B4F" w:rsidRPr="00BE5472" w14:paraId="77CA25D3" w14:textId="77777777" w:rsidTr="003C2F5B">
        <w:trPr>
          <w:trHeight w:val="315"/>
        </w:trPr>
        <w:tc>
          <w:tcPr>
            <w:tcW w:w="2002" w:type="pct"/>
            <w:tcBorders>
              <w:top w:val="nil"/>
              <w:left w:val="nil"/>
              <w:bottom w:val="nil"/>
              <w:right w:val="nil"/>
            </w:tcBorders>
            <w:noWrap/>
            <w:vAlign w:val="bottom"/>
            <w:hideMark/>
          </w:tcPr>
          <w:p w14:paraId="0053C6F9"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2904F5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3E47D97C" w14:textId="24725FC8"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656F3ED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0EAFF73A"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211A158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00B98C7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694EFE6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1681DC2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0EE8A9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740D855B" w14:textId="77777777" w:rsidTr="003C2F5B">
        <w:trPr>
          <w:trHeight w:val="315"/>
        </w:trPr>
        <w:tc>
          <w:tcPr>
            <w:tcW w:w="2002" w:type="pct"/>
            <w:tcBorders>
              <w:top w:val="nil"/>
              <w:left w:val="nil"/>
              <w:bottom w:val="nil"/>
              <w:right w:val="nil"/>
            </w:tcBorders>
            <w:noWrap/>
            <w:vAlign w:val="bottom"/>
            <w:hideMark/>
          </w:tcPr>
          <w:p w14:paraId="0FAC1C8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58D014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1.01</w:t>
            </w:r>
          </w:p>
        </w:tc>
        <w:tc>
          <w:tcPr>
            <w:tcW w:w="903" w:type="pct"/>
            <w:tcBorders>
              <w:top w:val="nil"/>
              <w:left w:val="nil"/>
              <w:bottom w:val="nil"/>
              <w:right w:val="nil"/>
            </w:tcBorders>
            <w:noWrap/>
            <w:vAlign w:val="center"/>
            <w:hideMark/>
          </w:tcPr>
          <w:p w14:paraId="41B7222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0.95</w:t>
            </w:r>
          </w:p>
        </w:tc>
        <w:tc>
          <w:tcPr>
            <w:tcW w:w="957" w:type="pct"/>
            <w:tcBorders>
              <w:top w:val="nil"/>
              <w:left w:val="nil"/>
              <w:bottom w:val="nil"/>
              <w:right w:val="nil"/>
            </w:tcBorders>
            <w:noWrap/>
            <w:vAlign w:val="center"/>
            <w:hideMark/>
          </w:tcPr>
          <w:p w14:paraId="29A6B1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1.07</w:t>
            </w:r>
          </w:p>
        </w:tc>
        <w:tc>
          <w:tcPr>
            <w:tcW w:w="616" w:type="pct"/>
            <w:tcBorders>
              <w:top w:val="nil"/>
              <w:left w:val="nil"/>
              <w:bottom w:val="nil"/>
              <w:right w:val="nil"/>
            </w:tcBorders>
            <w:noWrap/>
            <w:vAlign w:val="center"/>
            <w:hideMark/>
          </w:tcPr>
          <w:p w14:paraId="7AE9BD3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13E38EF3" w14:textId="77777777" w:rsidTr="003C2F5B">
        <w:trPr>
          <w:trHeight w:val="315"/>
        </w:trPr>
        <w:tc>
          <w:tcPr>
            <w:tcW w:w="2002" w:type="pct"/>
            <w:tcBorders>
              <w:top w:val="nil"/>
              <w:left w:val="nil"/>
              <w:bottom w:val="nil"/>
              <w:right w:val="nil"/>
            </w:tcBorders>
            <w:noWrap/>
            <w:vAlign w:val="bottom"/>
            <w:hideMark/>
          </w:tcPr>
          <w:p w14:paraId="45C1D6E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385DB2C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7DA0873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126FF35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16" w:type="pct"/>
            <w:tcBorders>
              <w:top w:val="nil"/>
              <w:left w:val="nil"/>
              <w:bottom w:val="nil"/>
              <w:right w:val="nil"/>
            </w:tcBorders>
            <w:noWrap/>
            <w:vAlign w:val="center"/>
            <w:hideMark/>
          </w:tcPr>
          <w:p w14:paraId="6BD6360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0.375</w:t>
            </w:r>
          </w:p>
        </w:tc>
      </w:tr>
      <w:tr w:rsidR="00120B4F" w:rsidRPr="00BE5472" w14:paraId="21F26BAC" w14:textId="77777777" w:rsidTr="003C2F5B">
        <w:trPr>
          <w:trHeight w:val="315"/>
        </w:trPr>
        <w:tc>
          <w:tcPr>
            <w:tcW w:w="2002" w:type="pct"/>
            <w:tcBorders>
              <w:top w:val="nil"/>
              <w:left w:val="nil"/>
              <w:bottom w:val="nil"/>
              <w:right w:val="nil"/>
            </w:tcBorders>
            <w:noWrap/>
            <w:vAlign w:val="bottom"/>
            <w:hideMark/>
          </w:tcPr>
          <w:p w14:paraId="1BEFC30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581A2A6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1.7</w:t>
            </w:r>
          </w:p>
        </w:tc>
        <w:tc>
          <w:tcPr>
            <w:tcW w:w="903" w:type="pct"/>
            <w:tcBorders>
              <w:top w:val="nil"/>
              <w:left w:val="nil"/>
              <w:bottom w:val="nil"/>
              <w:right w:val="nil"/>
            </w:tcBorders>
            <w:noWrap/>
            <w:vAlign w:val="center"/>
            <w:hideMark/>
          </w:tcPr>
          <w:p w14:paraId="7ED98E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0.91</w:t>
            </w:r>
          </w:p>
        </w:tc>
        <w:tc>
          <w:tcPr>
            <w:tcW w:w="957" w:type="pct"/>
            <w:tcBorders>
              <w:top w:val="nil"/>
              <w:left w:val="nil"/>
              <w:bottom w:val="nil"/>
              <w:right w:val="nil"/>
            </w:tcBorders>
            <w:noWrap/>
            <w:vAlign w:val="center"/>
            <w:hideMark/>
          </w:tcPr>
          <w:p w14:paraId="7B2D6FB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2.49</w:t>
            </w:r>
          </w:p>
        </w:tc>
        <w:tc>
          <w:tcPr>
            <w:tcW w:w="616" w:type="pct"/>
            <w:tcBorders>
              <w:top w:val="nil"/>
              <w:left w:val="nil"/>
              <w:bottom w:val="nil"/>
              <w:right w:val="nil"/>
            </w:tcBorders>
            <w:noWrap/>
            <w:vAlign w:val="center"/>
            <w:hideMark/>
          </w:tcPr>
          <w:p w14:paraId="192455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0.008</w:t>
            </w:r>
          </w:p>
        </w:tc>
      </w:tr>
      <w:tr w:rsidR="00120B4F" w:rsidRPr="00BE5472" w14:paraId="395DEE53" w14:textId="77777777" w:rsidTr="003C2F5B">
        <w:trPr>
          <w:trHeight w:val="315"/>
        </w:trPr>
        <w:tc>
          <w:tcPr>
            <w:tcW w:w="2002" w:type="pct"/>
            <w:tcBorders>
              <w:top w:val="nil"/>
              <w:left w:val="nil"/>
              <w:bottom w:val="nil"/>
              <w:right w:val="nil"/>
            </w:tcBorders>
            <w:noWrap/>
            <w:vAlign w:val="bottom"/>
            <w:hideMark/>
          </w:tcPr>
          <w:p w14:paraId="6C19657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2556B17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903" w:type="pct"/>
            <w:tcBorders>
              <w:top w:val="nil"/>
              <w:left w:val="nil"/>
              <w:bottom w:val="nil"/>
              <w:right w:val="nil"/>
            </w:tcBorders>
            <w:noWrap/>
            <w:vAlign w:val="center"/>
            <w:hideMark/>
          </w:tcPr>
          <w:p w14:paraId="09E217D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41B95A2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0.21</w:t>
            </w:r>
          </w:p>
        </w:tc>
        <w:tc>
          <w:tcPr>
            <w:tcW w:w="616" w:type="pct"/>
            <w:tcBorders>
              <w:top w:val="nil"/>
              <w:left w:val="nil"/>
              <w:bottom w:val="nil"/>
              <w:right w:val="nil"/>
            </w:tcBorders>
            <w:noWrap/>
            <w:vAlign w:val="center"/>
            <w:hideMark/>
          </w:tcPr>
          <w:p w14:paraId="7EC3D20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0.211</w:t>
            </w:r>
          </w:p>
        </w:tc>
      </w:tr>
      <w:tr w:rsidR="00120B4F" w:rsidRPr="00BE5472" w14:paraId="136DAF2E" w14:textId="77777777" w:rsidTr="003C2F5B">
        <w:trPr>
          <w:trHeight w:val="315"/>
        </w:trPr>
        <w:tc>
          <w:tcPr>
            <w:tcW w:w="2002" w:type="pct"/>
            <w:tcBorders>
              <w:top w:val="nil"/>
              <w:left w:val="nil"/>
              <w:bottom w:val="nil"/>
              <w:right w:val="nil"/>
            </w:tcBorders>
            <w:noWrap/>
            <w:vAlign w:val="bottom"/>
            <w:hideMark/>
          </w:tcPr>
          <w:p w14:paraId="638CC99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2B1E346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40CCC3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0A6D858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616" w:type="pct"/>
            <w:tcBorders>
              <w:top w:val="nil"/>
              <w:left w:val="nil"/>
              <w:bottom w:val="nil"/>
              <w:right w:val="nil"/>
            </w:tcBorders>
            <w:noWrap/>
            <w:vAlign w:val="center"/>
            <w:hideMark/>
          </w:tcPr>
          <w:p w14:paraId="26A7EE4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0.813</w:t>
            </w:r>
          </w:p>
        </w:tc>
      </w:tr>
      <w:tr w:rsidR="00120B4F" w:rsidRPr="00BE5472" w14:paraId="7B4EB949" w14:textId="77777777" w:rsidTr="003C2F5B">
        <w:trPr>
          <w:trHeight w:val="315"/>
        </w:trPr>
        <w:tc>
          <w:tcPr>
            <w:tcW w:w="2002" w:type="pct"/>
            <w:tcBorders>
              <w:top w:val="single" w:sz="4" w:space="0" w:color="auto"/>
              <w:left w:val="nil"/>
              <w:bottom w:val="nil"/>
              <w:right w:val="nil"/>
            </w:tcBorders>
            <w:noWrap/>
            <w:vAlign w:val="bottom"/>
            <w:hideMark/>
          </w:tcPr>
          <w:p w14:paraId="71E63BD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2891C56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0.45</w:t>
            </w:r>
          </w:p>
        </w:tc>
      </w:tr>
      <w:tr w:rsidR="00120B4F" w:rsidRPr="00BE5472" w14:paraId="2A7CF56A" w14:textId="77777777" w:rsidTr="003C2F5B">
        <w:trPr>
          <w:trHeight w:val="315"/>
        </w:trPr>
        <w:tc>
          <w:tcPr>
            <w:tcW w:w="2002" w:type="pct"/>
            <w:tcBorders>
              <w:top w:val="nil"/>
              <w:left w:val="nil"/>
              <w:bottom w:val="nil"/>
              <w:right w:val="nil"/>
            </w:tcBorders>
            <w:noWrap/>
            <w:vAlign w:val="bottom"/>
            <w:hideMark/>
          </w:tcPr>
          <w:p w14:paraId="1627208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7618A4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0.35</w:t>
            </w:r>
          </w:p>
        </w:tc>
      </w:tr>
      <w:tr w:rsidR="00120B4F" w:rsidRPr="00BE5472" w14:paraId="224A3740" w14:textId="77777777" w:rsidTr="003C2F5B">
        <w:trPr>
          <w:trHeight w:val="315"/>
        </w:trPr>
        <w:tc>
          <w:tcPr>
            <w:tcW w:w="2002" w:type="pct"/>
            <w:tcBorders>
              <w:top w:val="nil"/>
              <w:left w:val="nil"/>
              <w:bottom w:val="nil"/>
              <w:right w:val="nil"/>
            </w:tcBorders>
            <w:noWrap/>
            <w:vAlign w:val="bottom"/>
            <w:hideMark/>
          </w:tcPr>
          <w:p w14:paraId="16DFB62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1F5BDD6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r>
      <w:tr w:rsidR="00120B4F" w:rsidRPr="00BE5472" w14:paraId="7EB08561" w14:textId="77777777" w:rsidTr="003C2F5B">
        <w:trPr>
          <w:trHeight w:val="315"/>
        </w:trPr>
        <w:tc>
          <w:tcPr>
            <w:tcW w:w="2002" w:type="pct"/>
            <w:tcBorders>
              <w:top w:val="nil"/>
              <w:left w:val="nil"/>
              <w:bottom w:val="nil"/>
              <w:right w:val="nil"/>
            </w:tcBorders>
            <w:noWrap/>
            <w:vAlign w:val="bottom"/>
            <w:hideMark/>
          </w:tcPr>
          <w:p w14:paraId="143662E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057BEFF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10A1A4AE" w14:textId="77777777" w:rsidTr="003C2F5B">
        <w:trPr>
          <w:trHeight w:val="315"/>
        </w:trPr>
        <w:tc>
          <w:tcPr>
            <w:tcW w:w="2002" w:type="pct"/>
            <w:tcBorders>
              <w:top w:val="nil"/>
              <w:left w:val="nil"/>
              <w:bottom w:val="single" w:sz="4" w:space="0" w:color="auto"/>
              <w:right w:val="nil"/>
            </w:tcBorders>
            <w:noWrap/>
            <w:vAlign w:val="bottom"/>
            <w:hideMark/>
          </w:tcPr>
          <w:p w14:paraId="54F9C71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0D58542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4375D63" w14:textId="3E20FBFD"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7B065EF3" w14:textId="41593268"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financijske stabilnosti između poduzeća koja su prošla proces preuzimanja drugog poduzeća i onih koji to nisu (B = 0.09,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[-0.03, 0.21], p = .211), nije utvrđen statistički značajan vremenski trend (B = 0,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0.01], p = .375), ni statistički značajna interakcija između tipa poduzeća i vremenskog trenda (B = 0.00,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[-0.02, 0.02], p = .813).</w:t>
      </w:r>
    </w:p>
    <w:p w14:paraId="3E759520" w14:textId="77777777" w:rsidR="00120B4F" w:rsidRPr="00BE5472" w:rsidRDefault="00120B4F" w:rsidP="00120B4F">
      <w:pPr>
        <w:spacing w:line="360" w:lineRule="auto"/>
        <w:rPr>
          <w:rFonts w:ascii="Times New Roman" w:hAnsi="Times New Roman" w:cs="Times New Roman"/>
          <w:kern w:val="2"/>
          <w:sz w:val="24"/>
          <w14:ligatures w14:val="standardContextual"/>
        </w:rPr>
        <w:sectPr w:rsidR="00120B4F" w:rsidRPr="00BE5472" w:rsidSect="00120B4F">
          <w:pgSz w:w="11909" w:h="16834" w:code="9"/>
          <w:pgMar w:top="1440" w:right="1440" w:bottom="1440" w:left="1440" w:header="720" w:footer="720" w:gutter="0"/>
          <w:cols w:space="720"/>
          <w:docGrid w:linePitch="360"/>
        </w:sectPr>
      </w:pPr>
    </w:p>
    <w:p w14:paraId="3FE6C86A" w14:textId="77777777" w:rsidR="00120B4F" w:rsidRPr="00BE5472" w:rsidRDefault="00120B4F" w:rsidP="00490975">
      <w:pPr>
        <w:rPr>
          <w:rFonts w:ascii="Times New Roman" w:hAnsi="Times New Roman" w:cs="Times New Roman"/>
          <w:b/>
          <w:bCs/>
          <w:sz w:val="24"/>
          <w:szCs w:val="24"/>
        </w:rPr>
      </w:pPr>
      <w:bookmarkStart w:id="247" w:name="_Toc182495687"/>
      <w:r w:rsidRPr="00BE5472">
        <w:rPr>
          <w:rFonts w:ascii="Times New Roman" w:hAnsi="Times New Roman" w:cs="Times New Roman"/>
          <w:b/>
          <w:bCs/>
          <w:sz w:val="24"/>
          <w:szCs w:val="24"/>
        </w:rPr>
        <w:lastRenderedPageBreak/>
        <w:t>Koeficijent zaduženosti</w:t>
      </w:r>
      <w:bookmarkEnd w:id="247"/>
    </w:p>
    <w:p w14:paraId="13A3518B" w14:textId="502DBB4C"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E7132C">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6</w:t>
      </w:r>
      <w:r w:rsidRPr="00BE5472">
        <w:rPr>
          <w:rFonts w:ascii="Times New Roman" w:hAnsi="Times New Roman" w:cs="Times New Roman"/>
          <w:kern w:val="2"/>
          <w:sz w:val="24"/>
          <w14:ligatures w14:val="standardContextual"/>
        </w:rPr>
        <w:t xml:space="preserve"> prikazani su rezultati testiranja razlike u visini pokazatelja koeficijent zaduženosti između poduzeća koja su prošla proces preuzimanja drugog poduzeća i onih koji to nisu.</w:t>
      </w:r>
    </w:p>
    <w:p w14:paraId="7B7BFC76" w14:textId="32D8F63C" w:rsidR="00120B4F" w:rsidRPr="00E1098E" w:rsidRDefault="00E1098E" w:rsidP="00E1098E">
      <w:pPr>
        <w:pStyle w:val="Caption"/>
        <w:rPr>
          <w:rFonts w:ascii="Times New Roman" w:hAnsi="Times New Roman" w:cs="Times New Roman"/>
          <w:kern w:val="2"/>
          <w:sz w:val="24"/>
          <w:szCs w:val="24"/>
          <w14:ligatures w14:val="standardContextual"/>
        </w:rPr>
      </w:pPr>
      <w:bookmarkStart w:id="248" w:name="_Toc241865260"/>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66</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DE3CE4" w:rsidRPr="00E1098E">
        <w:rPr>
          <w:rFonts w:ascii="Times New Roman" w:hAnsi="Times New Roman" w:cs="Times New Roman"/>
          <w:kern w:val="2"/>
          <w:sz w:val="24"/>
          <w:szCs w:val="24"/>
          <w14:ligatures w14:val="standardContextual"/>
        </w:rPr>
        <w:t>k</w:t>
      </w:r>
      <w:r w:rsidR="00120B4F" w:rsidRPr="00E1098E">
        <w:rPr>
          <w:rFonts w:ascii="Times New Roman" w:hAnsi="Times New Roman" w:cs="Times New Roman"/>
          <w:kern w:val="2"/>
          <w:sz w:val="24"/>
          <w:szCs w:val="24"/>
          <w14:ligatures w14:val="standardContextual"/>
        </w:rPr>
        <w:t>oeficijentu zaduženosti između poduzeća preuzimatelja i nepreuzimatelja</w:t>
      </w:r>
      <w:bookmarkEnd w:id="248"/>
    </w:p>
    <w:tbl>
      <w:tblPr>
        <w:tblW w:w="5000" w:type="pct"/>
        <w:tblLook w:val="04A0" w:firstRow="1" w:lastRow="0" w:firstColumn="1" w:lastColumn="0" w:noHBand="0" w:noVBand="1"/>
      </w:tblPr>
      <w:tblGrid>
        <w:gridCol w:w="3748"/>
        <w:gridCol w:w="977"/>
        <w:gridCol w:w="1690"/>
        <w:gridCol w:w="1792"/>
        <w:gridCol w:w="1153"/>
      </w:tblGrid>
      <w:tr w:rsidR="00120B4F" w:rsidRPr="00BE5472" w14:paraId="3FCD5EA6" w14:textId="77777777" w:rsidTr="003C2F5B">
        <w:trPr>
          <w:trHeight w:val="315"/>
        </w:trPr>
        <w:tc>
          <w:tcPr>
            <w:tcW w:w="2002" w:type="pct"/>
            <w:tcBorders>
              <w:top w:val="nil"/>
              <w:left w:val="nil"/>
              <w:bottom w:val="nil"/>
              <w:right w:val="nil"/>
            </w:tcBorders>
            <w:noWrap/>
            <w:vAlign w:val="bottom"/>
            <w:hideMark/>
          </w:tcPr>
          <w:p w14:paraId="5E913932"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044C169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760BA07A" w14:textId="7C685A78"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371871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60C2230A"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44B4E29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6A6698D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7D02815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6427DB0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6809F3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5DF79FB" w14:textId="77777777" w:rsidTr="003C2F5B">
        <w:trPr>
          <w:trHeight w:val="315"/>
        </w:trPr>
        <w:tc>
          <w:tcPr>
            <w:tcW w:w="2002" w:type="pct"/>
            <w:tcBorders>
              <w:top w:val="nil"/>
              <w:left w:val="nil"/>
              <w:bottom w:val="nil"/>
              <w:right w:val="nil"/>
            </w:tcBorders>
            <w:noWrap/>
            <w:vAlign w:val="bottom"/>
            <w:hideMark/>
          </w:tcPr>
          <w:p w14:paraId="12C72AD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7DC396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0.42</w:t>
            </w:r>
          </w:p>
        </w:tc>
        <w:tc>
          <w:tcPr>
            <w:tcW w:w="903" w:type="pct"/>
            <w:tcBorders>
              <w:top w:val="nil"/>
              <w:left w:val="nil"/>
              <w:bottom w:val="nil"/>
              <w:right w:val="nil"/>
            </w:tcBorders>
            <w:noWrap/>
            <w:vAlign w:val="center"/>
            <w:hideMark/>
          </w:tcPr>
          <w:p w14:paraId="53626A6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0.37</w:t>
            </w:r>
          </w:p>
        </w:tc>
        <w:tc>
          <w:tcPr>
            <w:tcW w:w="957" w:type="pct"/>
            <w:tcBorders>
              <w:top w:val="nil"/>
              <w:left w:val="nil"/>
              <w:bottom w:val="nil"/>
              <w:right w:val="nil"/>
            </w:tcBorders>
            <w:noWrap/>
            <w:vAlign w:val="center"/>
            <w:hideMark/>
          </w:tcPr>
          <w:p w14:paraId="01985D6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0.47</w:t>
            </w:r>
          </w:p>
        </w:tc>
        <w:tc>
          <w:tcPr>
            <w:tcW w:w="616" w:type="pct"/>
            <w:tcBorders>
              <w:top w:val="nil"/>
              <w:left w:val="nil"/>
              <w:bottom w:val="nil"/>
              <w:right w:val="nil"/>
            </w:tcBorders>
            <w:noWrap/>
            <w:vAlign w:val="center"/>
            <w:hideMark/>
          </w:tcPr>
          <w:p w14:paraId="4D44723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A4EF268" w14:textId="77777777" w:rsidTr="003C2F5B">
        <w:trPr>
          <w:trHeight w:val="315"/>
        </w:trPr>
        <w:tc>
          <w:tcPr>
            <w:tcW w:w="2002" w:type="pct"/>
            <w:tcBorders>
              <w:top w:val="nil"/>
              <w:left w:val="nil"/>
              <w:bottom w:val="nil"/>
              <w:right w:val="nil"/>
            </w:tcBorders>
            <w:noWrap/>
            <w:vAlign w:val="bottom"/>
            <w:hideMark/>
          </w:tcPr>
          <w:p w14:paraId="7957861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2DC046D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03" w:type="pct"/>
            <w:tcBorders>
              <w:top w:val="nil"/>
              <w:left w:val="nil"/>
              <w:bottom w:val="nil"/>
              <w:right w:val="nil"/>
            </w:tcBorders>
            <w:noWrap/>
            <w:vAlign w:val="center"/>
            <w:hideMark/>
          </w:tcPr>
          <w:p w14:paraId="446ABDA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57" w:type="pct"/>
            <w:tcBorders>
              <w:top w:val="nil"/>
              <w:left w:val="nil"/>
              <w:bottom w:val="nil"/>
              <w:right w:val="nil"/>
            </w:tcBorders>
            <w:noWrap/>
            <w:vAlign w:val="center"/>
            <w:hideMark/>
          </w:tcPr>
          <w:p w14:paraId="4DFBCE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16" w:type="pct"/>
            <w:tcBorders>
              <w:top w:val="nil"/>
              <w:left w:val="nil"/>
              <w:bottom w:val="nil"/>
              <w:right w:val="nil"/>
            </w:tcBorders>
            <w:noWrap/>
            <w:vAlign w:val="center"/>
            <w:hideMark/>
          </w:tcPr>
          <w:p w14:paraId="501B81C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0.002</w:t>
            </w:r>
          </w:p>
        </w:tc>
      </w:tr>
      <w:tr w:rsidR="00120B4F" w:rsidRPr="00BE5472" w14:paraId="1476A595" w14:textId="77777777" w:rsidTr="003C2F5B">
        <w:trPr>
          <w:trHeight w:val="315"/>
        </w:trPr>
        <w:tc>
          <w:tcPr>
            <w:tcW w:w="2002" w:type="pct"/>
            <w:tcBorders>
              <w:top w:val="nil"/>
              <w:left w:val="nil"/>
              <w:bottom w:val="nil"/>
              <w:right w:val="nil"/>
            </w:tcBorders>
            <w:noWrap/>
            <w:vAlign w:val="bottom"/>
            <w:hideMark/>
          </w:tcPr>
          <w:p w14:paraId="51B6595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5B8D7A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1.29</w:t>
            </w:r>
          </w:p>
        </w:tc>
        <w:tc>
          <w:tcPr>
            <w:tcW w:w="903" w:type="pct"/>
            <w:tcBorders>
              <w:top w:val="nil"/>
              <w:left w:val="nil"/>
              <w:bottom w:val="nil"/>
              <w:right w:val="nil"/>
            </w:tcBorders>
            <w:noWrap/>
            <w:vAlign w:val="center"/>
            <w:hideMark/>
          </w:tcPr>
          <w:p w14:paraId="5DB2A62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w:t>
            </w:r>
          </w:p>
        </w:tc>
        <w:tc>
          <w:tcPr>
            <w:tcW w:w="957" w:type="pct"/>
            <w:tcBorders>
              <w:top w:val="nil"/>
              <w:left w:val="nil"/>
              <w:bottom w:val="nil"/>
              <w:right w:val="nil"/>
            </w:tcBorders>
            <w:noWrap/>
            <w:vAlign w:val="center"/>
            <w:hideMark/>
          </w:tcPr>
          <w:p w14:paraId="299CF2E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2.32</w:t>
            </w:r>
          </w:p>
        </w:tc>
        <w:tc>
          <w:tcPr>
            <w:tcW w:w="616" w:type="pct"/>
            <w:tcBorders>
              <w:top w:val="nil"/>
              <w:left w:val="nil"/>
              <w:bottom w:val="nil"/>
              <w:right w:val="nil"/>
            </w:tcBorders>
            <w:noWrap/>
            <w:vAlign w:val="center"/>
            <w:hideMark/>
          </w:tcPr>
          <w:p w14:paraId="051F150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0.057</w:t>
            </w:r>
          </w:p>
        </w:tc>
      </w:tr>
      <w:tr w:rsidR="00120B4F" w:rsidRPr="00BE5472" w14:paraId="1740C8F5" w14:textId="77777777" w:rsidTr="003C2F5B">
        <w:trPr>
          <w:trHeight w:val="315"/>
        </w:trPr>
        <w:tc>
          <w:tcPr>
            <w:tcW w:w="2002" w:type="pct"/>
            <w:tcBorders>
              <w:top w:val="nil"/>
              <w:left w:val="nil"/>
              <w:bottom w:val="nil"/>
              <w:right w:val="nil"/>
            </w:tcBorders>
            <w:noWrap/>
            <w:vAlign w:val="bottom"/>
            <w:hideMark/>
          </w:tcPr>
          <w:p w14:paraId="26BAF82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6DCEE4C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0.09</w:t>
            </w:r>
          </w:p>
        </w:tc>
        <w:tc>
          <w:tcPr>
            <w:tcW w:w="903" w:type="pct"/>
            <w:tcBorders>
              <w:top w:val="nil"/>
              <w:left w:val="nil"/>
              <w:bottom w:val="nil"/>
              <w:right w:val="nil"/>
            </w:tcBorders>
            <w:noWrap/>
            <w:vAlign w:val="center"/>
            <w:hideMark/>
          </w:tcPr>
          <w:p w14:paraId="352AB23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w:t>
            </w:r>
          </w:p>
        </w:tc>
        <w:tc>
          <w:tcPr>
            <w:tcW w:w="957" w:type="pct"/>
            <w:tcBorders>
              <w:top w:val="nil"/>
              <w:left w:val="nil"/>
              <w:bottom w:val="nil"/>
              <w:right w:val="nil"/>
            </w:tcBorders>
            <w:noWrap/>
            <w:vAlign w:val="center"/>
            <w:hideMark/>
          </w:tcPr>
          <w:p w14:paraId="42044D7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w:t>
            </w:r>
          </w:p>
        </w:tc>
        <w:tc>
          <w:tcPr>
            <w:tcW w:w="616" w:type="pct"/>
            <w:tcBorders>
              <w:top w:val="nil"/>
              <w:left w:val="nil"/>
              <w:bottom w:val="nil"/>
              <w:right w:val="nil"/>
            </w:tcBorders>
            <w:noWrap/>
            <w:vAlign w:val="center"/>
            <w:hideMark/>
          </w:tcPr>
          <w:p w14:paraId="3A1D75E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0.158</w:t>
            </w:r>
          </w:p>
        </w:tc>
      </w:tr>
      <w:tr w:rsidR="00120B4F" w:rsidRPr="00BE5472" w14:paraId="525EF084" w14:textId="77777777" w:rsidTr="003C2F5B">
        <w:trPr>
          <w:trHeight w:val="315"/>
        </w:trPr>
        <w:tc>
          <w:tcPr>
            <w:tcW w:w="2002" w:type="pct"/>
            <w:tcBorders>
              <w:top w:val="nil"/>
              <w:left w:val="nil"/>
              <w:bottom w:val="nil"/>
              <w:right w:val="nil"/>
            </w:tcBorders>
            <w:noWrap/>
            <w:vAlign w:val="bottom"/>
            <w:hideMark/>
          </w:tcPr>
          <w:p w14:paraId="2B6A0EA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1EC130F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747FC6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957" w:type="pct"/>
            <w:tcBorders>
              <w:top w:val="nil"/>
              <w:left w:val="nil"/>
              <w:bottom w:val="nil"/>
              <w:right w:val="nil"/>
            </w:tcBorders>
            <w:noWrap/>
            <w:vAlign w:val="center"/>
            <w:hideMark/>
          </w:tcPr>
          <w:p w14:paraId="64DCB5A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16" w:type="pct"/>
            <w:tcBorders>
              <w:top w:val="nil"/>
              <w:left w:val="nil"/>
              <w:bottom w:val="nil"/>
              <w:right w:val="nil"/>
            </w:tcBorders>
            <w:noWrap/>
            <w:vAlign w:val="center"/>
            <w:hideMark/>
          </w:tcPr>
          <w:p w14:paraId="0231FA6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0.578</w:t>
            </w:r>
          </w:p>
        </w:tc>
      </w:tr>
      <w:tr w:rsidR="00120B4F" w:rsidRPr="00BE5472" w14:paraId="3CACB3C2" w14:textId="77777777" w:rsidTr="003C2F5B">
        <w:trPr>
          <w:trHeight w:val="315"/>
        </w:trPr>
        <w:tc>
          <w:tcPr>
            <w:tcW w:w="2002" w:type="pct"/>
            <w:tcBorders>
              <w:top w:val="single" w:sz="4" w:space="0" w:color="auto"/>
              <w:left w:val="nil"/>
              <w:bottom w:val="nil"/>
              <w:right w:val="nil"/>
            </w:tcBorders>
            <w:noWrap/>
            <w:vAlign w:val="bottom"/>
            <w:hideMark/>
          </w:tcPr>
          <w:p w14:paraId="1F3DE84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25049AA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0.65</w:t>
            </w:r>
          </w:p>
        </w:tc>
      </w:tr>
      <w:tr w:rsidR="00120B4F" w:rsidRPr="00BE5472" w14:paraId="1D5AF028" w14:textId="77777777" w:rsidTr="003C2F5B">
        <w:trPr>
          <w:trHeight w:val="315"/>
        </w:trPr>
        <w:tc>
          <w:tcPr>
            <w:tcW w:w="2002" w:type="pct"/>
            <w:tcBorders>
              <w:top w:val="nil"/>
              <w:left w:val="nil"/>
              <w:bottom w:val="nil"/>
              <w:right w:val="nil"/>
            </w:tcBorders>
            <w:noWrap/>
            <w:vAlign w:val="bottom"/>
            <w:hideMark/>
          </w:tcPr>
          <w:p w14:paraId="4878E5D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6115D36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0.36</w:t>
            </w:r>
          </w:p>
        </w:tc>
      </w:tr>
      <w:tr w:rsidR="00120B4F" w:rsidRPr="00BE5472" w14:paraId="522BA7D5" w14:textId="77777777" w:rsidTr="003C2F5B">
        <w:trPr>
          <w:trHeight w:val="315"/>
        </w:trPr>
        <w:tc>
          <w:tcPr>
            <w:tcW w:w="2002" w:type="pct"/>
            <w:tcBorders>
              <w:top w:val="nil"/>
              <w:left w:val="nil"/>
              <w:bottom w:val="nil"/>
              <w:right w:val="nil"/>
            </w:tcBorders>
            <w:noWrap/>
            <w:vAlign w:val="bottom"/>
            <w:hideMark/>
          </w:tcPr>
          <w:p w14:paraId="44BBDFA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76811C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0.45</w:t>
            </w:r>
          </w:p>
        </w:tc>
      </w:tr>
      <w:tr w:rsidR="00120B4F" w:rsidRPr="00BE5472" w14:paraId="30CC62B0" w14:textId="77777777" w:rsidTr="003C2F5B">
        <w:trPr>
          <w:trHeight w:val="315"/>
        </w:trPr>
        <w:tc>
          <w:tcPr>
            <w:tcW w:w="2002" w:type="pct"/>
            <w:tcBorders>
              <w:top w:val="nil"/>
              <w:left w:val="nil"/>
              <w:bottom w:val="nil"/>
              <w:right w:val="nil"/>
            </w:tcBorders>
            <w:noWrap/>
            <w:vAlign w:val="bottom"/>
            <w:hideMark/>
          </w:tcPr>
          <w:p w14:paraId="6FD27F8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79724BA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12035410" w14:textId="77777777" w:rsidTr="003C2F5B">
        <w:trPr>
          <w:trHeight w:val="315"/>
        </w:trPr>
        <w:tc>
          <w:tcPr>
            <w:tcW w:w="2002" w:type="pct"/>
            <w:tcBorders>
              <w:top w:val="nil"/>
              <w:left w:val="nil"/>
              <w:bottom w:val="single" w:sz="4" w:space="0" w:color="auto"/>
              <w:right w:val="nil"/>
            </w:tcBorders>
            <w:noWrap/>
            <w:vAlign w:val="bottom"/>
            <w:hideMark/>
          </w:tcPr>
          <w:p w14:paraId="2BF2D5E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1E03C75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4BC9C2B" w14:textId="69B3C373"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72BFD37E" w14:textId="7846BAE9"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koeficijent zaduženosti između poduzeća koja su prošla proces preuzimanja drugog poduzeća i onih koji to nisu (B = 0.09,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[-0.02, 0.19], p = .158). Nadalje,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0.01,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 0.01], p = .002), pri čemu ovaj </w:t>
      </w:r>
      <w:r w:rsidRPr="00BE5472">
        <w:rPr>
          <w:rFonts w:ascii="Times New Roman" w:hAnsi="Times New Roman" w:cs="Times New Roman"/>
          <w:b/>
          <w:bCs/>
          <w:kern w:val="2"/>
          <w:sz w:val="24"/>
          <w14:ligatures w14:val="standardContextual"/>
        </w:rPr>
        <w:t>koeficijent raste u prosjeku 0.01 bodova godišnje</w:t>
      </w:r>
      <w:r w:rsidRPr="00BE5472">
        <w:rPr>
          <w:rFonts w:ascii="Times New Roman" w:hAnsi="Times New Roman" w:cs="Times New Roman"/>
          <w:kern w:val="2"/>
          <w:sz w:val="24"/>
          <w14:ligatures w14:val="standardContextual"/>
        </w:rPr>
        <w:t>.  Nije utvrđen statistički značajna interakcija između tipa poduzeća i vremenskog trenda (B = 0.00,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[-0.01, 0.01], p = .578).</w:t>
      </w:r>
    </w:p>
    <w:p w14:paraId="53436B27" w14:textId="77777777" w:rsidR="00120B4F" w:rsidRPr="00BE5472" w:rsidRDefault="00120B4F" w:rsidP="00490975">
      <w:pPr>
        <w:rPr>
          <w:rFonts w:ascii="Times New Roman" w:hAnsi="Times New Roman" w:cs="Times New Roman"/>
          <w:sz w:val="24"/>
          <w:szCs w:val="24"/>
        </w:rPr>
      </w:pPr>
      <w:bookmarkStart w:id="249" w:name="_Toc182495688"/>
      <w:r w:rsidRPr="00BE5472">
        <w:rPr>
          <w:rFonts w:ascii="Times New Roman" w:hAnsi="Times New Roman" w:cs="Times New Roman"/>
          <w:sz w:val="24"/>
          <w:szCs w:val="24"/>
        </w:rPr>
        <w:t>Slijedi analiza tržišnih pokazatelj</w:t>
      </w:r>
      <w:bookmarkEnd w:id="249"/>
      <w:r w:rsidRPr="00BE5472">
        <w:rPr>
          <w:rFonts w:ascii="Times New Roman" w:hAnsi="Times New Roman" w:cs="Times New Roman"/>
          <w:sz w:val="24"/>
          <w:szCs w:val="24"/>
        </w:rPr>
        <w:t>a.</w:t>
      </w:r>
    </w:p>
    <w:p w14:paraId="23A7A059" w14:textId="77777777" w:rsidR="00747403" w:rsidRPr="00BE5472" w:rsidRDefault="00747403" w:rsidP="00490975">
      <w:pPr>
        <w:rPr>
          <w:rFonts w:ascii="Times New Roman" w:eastAsiaTheme="majorEastAsia" w:hAnsi="Times New Roman" w:cs="Times New Roman"/>
          <w:b/>
          <w:bCs/>
          <w:color w:val="000000" w:themeColor="text1"/>
          <w:kern w:val="2"/>
          <w:sz w:val="24"/>
          <w:szCs w:val="24"/>
          <w14:ligatures w14:val="standardContextual"/>
        </w:rPr>
        <w:sectPr w:rsidR="00747403" w:rsidRPr="00BE5472" w:rsidSect="00D63A8E">
          <w:pgSz w:w="12240" w:h="15840"/>
          <w:pgMar w:top="1440" w:right="1440" w:bottom="1440" w:left="1440" w:header="708" w:footer="708" w:gutter="0"/>
          <w:cols w:space="708"/>
          <w:docGrid w:linePitch="360"/>
        </w:sectPr>
      </w:pPr>
      <w:bookmarkStart w:id="250" w:name="_Toc182495689"/>
    </w:p>
    <w:p w14:paraId="5C729F51" w14:textId="77777777" w:rsidR="00120B4F" w:rsidRPr="00BE5472" w:rsidRDefault="00120B4F" w:rsidP="00490975">
      <w:pPr>
        <w:rPr>
          <w:rFonts w:ascii="Times New Roman" w:eastAsiaTheme="majorEastAsia" w:hAnsi="Times New Roman" w:cs="Times New Roman"/>
          <w:b/>
          <w:bCs/>
          <w:color w:val="000000" w:themeColor="text1"/>
          <w:kern w:val="2"/>
          <w:sz w:val="24"/>
          <w:szCs w:val="24"/>
          <w14:ligatures w14:val="standardContextual"/>
        </w:rPr>
      </w:pPr>
      <w:r w:rsidRPr="00BE5472">
        <w:rPr>
          <w:rFonts w:ascii="Times New Roman" w:eastAsiaTheme="majorEastAsia" w:hAnsi="Times New Roman" w:cs="Times New Roman"/>
          <w:b/>
          <w:bCs/>
          <w:color w:val="000000" w:themeColor="text1"/>
          <w:kern w:val="2"/>
          <w:sz w:val="24"/>
          <w:szCs w:val="24"/>
          <w14:ligatures w14:val="standardContextual"/>
        </w:rPr>
        <w:lastRenderedPageBreak/>
        <w:t>Tržišna vrijednost dionica</w:t>
      </w:r>
      <w:bookmarkEnd w:id="250"/>
    </w:p>
    <w:p w14:paraId="3456D2B3" w14:textId="4AF92688"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2A7DD3">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7</w:t>
      </w:r>
      <w:r w:rsidRPr="00BE5472">
        <w:rPr>
          <w:rFonts w:ascii="Times New Roman" w:hAnsi="Times New Roman" w:cs="Times New Roman"/>
          <w:kern w:val="2"/>
          <w:sz w:val="24"/>
          <w14:ligatures w14:val="standardContextual"/>
        </w:rPr>
        <w:t xml:space="preserve"> prikazani su rezultati testiranja razlike u visini pokazatelja tržišna vrijednost dionica između poduzeća koja su prošla proces preuzimanja drugog poduzeća i onih koji to nisu.</w:t>
      </w:r>
    </w:p>
    <w:p w14:paraId="01DDE291" w14:textId="2A0CECBE" w:rsidR="00120B4F" w:rsidRPr="00E1098E" w:rsidRDefault="00E1098E" w:rsidP="00E1098E">
      <w:pPr>
        <w:pStyle w:val="Caption"/>
        <w:rPr>
          <w:rFonts w:ascii="Times New Roman" w:hAnsi="Times New Roman" w:cs="Times New Roman"/>
          <w:kern w:val="2"/>
          <w:sz w:val="24"/>
          <w:szCs w:val="24"/>
          <w14:ligatures w14:val="standardContextual"/>
        </w:rPr>
      </w:pPr>
      <w:bookmarkStart w:id="251" w:name="_Toc241865261"/>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67</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DE3CE4" w:rsidRPr="00E1098E">
        <w:rPr>
          <w:rFonts w:ascii="Times New Roman" w:hAnsi="Times New Roman" w:cs="Times New Roman"/>
          <w:kern w:val="2"/>
          <w:sz w:val="24"/>
          <w:szCs w:val="24"/>
          <w14:ligatures w14:val="standardContextual"/>
        </w:rPr>
        <w:t>t</w:t>
      </w:r>
      <w:r w:rsidR="00120B4F" w:rsidRPr="00E1098E">
        <w:rPr>
          <w:rFonts w:ascii="Times New Roman" w:hAnsi="Times New Roman" w:cs="Times New Roman"/>
          <w:kern w:val="2"/>
          <w:sz w:val="24"/>
          <w:szCs w:val="24"/>
          <w14:ligatures w14:val="standardContextual"/>
        </w:rPr>
        <w:t>ržišnoj vrijednosti dionica između poduzeća preuzimatelja i nepreuzimatelja</w:t>
      </w:r>
      <w:bookmarkEnd w:id="251"/>
    </w:p>
    <w:tbl>
      <w:tblPr>
        <w:tblW w:w="5000" w:type="pct"/>
        <w:tblLook w:val="04A0" w:firstRow="1" w:lastRow="0" w:firstColumn="1" w:lastColumn="0" w:noHBand="0" w:noVBand="1"/>
      </w:tblPr>
      <w:tblGrid>
        <w:gridCol w:w="3748"/>
        <w:gridCol w:w="977"/>
        <w:gridCol w:w="1690"/>
        <w:gridCol w:w="1792"/>
        <w:gridCol w:w="1153"/>
      </w:tblGrid>
      <w:tr w:rsidR="00120B4F" w:rsidRPr="00BE5472" w14:paraId="5C38B151" w14:textId="77777777" w:rsidTr="003C2F5B">
        <w:trPr>
          <w:trHeight w:val="315"/>
        </w:trPr>
        <w:tc>
          <w:tcPr>
            <w:tcW w:w="2002" w:type="pct"/>
            <w:tcBorders>
              <w:top w:val="nil"/>
              <w:left w:val="nil"/>
              <w:bottom w:val="nil"/>
              <w:right w:val="nil"/>
            </w:tcBorders>
            <w:noWrap/>
            <w:vAlign w:val="bottom"/>
            <w:hideMark/>
          </w:tcPr>
          <w:p w14:paraId="3849775E"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75752EC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2B91ADFE" w14:textId="1D734B01"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0ECCA73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4FF14448"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05F7485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7A9E27B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20674F1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3652A9B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1C464C7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2A87CEEF" w14:textId="77777777" w:rsidTr="003C2F5B">
        <w:trPr>
          <w:trHeight w:val="315"/>
        </w:trPr>
        <w:tc>
          <w:tcPr>
            <w:tcW w:w="2002" w:type="pct"/>
            <w:tcBorders>
              <w:top w:val="nil"/>
              <w:left w:val="nil"/>
              <w:bottom w:val="nil"/>
              <w:right w:val="nil"/>
            </w:tcBorders>
            <w:noWrap/>
            <w:vAlign w:val="bottom"/>
            <w:hideMark/>
          </w:tcPr>
          <w:p w14:paraId="75D5551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142D885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7.82</w:t>
            </w:r>
          </w:p>
        </w:tc>
        <w:tc>
          <w:tcPr>
            <w:tcW w:w="903" w:type="pct"/>
            <w:tcBorders>
              <w:top w:val="nil"/>
              <w:left w:val="nil"/>
              <w:bottom w:val="nil"/>
              <w:right w:val="nil"/>
            </w:tcBorders>
            <w:noWrap/>
            <w:vAlign w:val="center"/>
            <w:hideMark/>
          </w:tcPr>
          <w:p w14:paraId="31D4C56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6.84</w:t>
            </w:r>
          </w:p>
        </w:tc>
        <w:tc>
          <w:tcPr>
            <w:tcW w:w="957" w:type="pct"/>
            <w:tcBorders>
              <w:top w:val="nil"/>
              <w:left w:val="nil"/>
              <w:bottom w:val="nil"/>
              <w:right w:val="nil"/>
            </w:tcBorders>
            <w:noWrap/>
            <w:vAlign w:val="center"/>
            <w:hideMark/>
          </w:tcPr>
          <w:p w14:paraId="4AA6D38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8.81</w:t>
            </w:r>
          </w:p>
        </w:tc>
        <w:tc>
          <w:tcPr>
            <w:tcW w:w="616" w:type="pct"/>
            <w:tcBorders>
              <w:top w:val="nil"/>
              <w:left w:val="nil"/>
              <w:bottom w:val="nil"/>
              <w:right w:val="nil"/>
            </w:tcBorders>
            <w:noWrap/>
            <w:vAlign w:val="center"/>
            <w:hideMark/>
          </w:tcPr>
          <w:p w14:paraId="7D0E596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&lt; .001</w:t>
            </w:r>
          </w:p>
        </w:tc>
      </w:tr>
      <w:tr w:rsidR="00120B4F" w:rsidRPr="00BE5472" w14:paraId="4EC1314F" w14:textId="77777777" w:rsidTr="003C2F5B">
        <w:trPr>
          <w:trHeight w:val="315"/>
        </w:trPr>
        <w:tc>
          <w:tcPr>
            <w:tcW w:w="2002" w:type="pct"/>
            <w:tcBorders>
              <w:top w:val="nil"/>
              <w:left w:val="nil"/>
              <w:bottom w:val="nil"/>
              <w:right w:val="nil"/>
            </w:tcBorders>
            <w:noWrap/>
            <w:vAlign w:val="bottom"/>
            <w:hideMark/>
          </w:tcPr>
          <w:p w14:paraId="371A617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0A1B013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0.14</w:t>
            </w:r>
          </w:p>
        </w:tc>
        <w:tc>
          <w:tcPr>
            <w:tcW w:w="903" w:type="pct"/>
            <w:tcBorders>
              <w:top w:val="nil"/>
              <w:left w:val="nil"/>
              <w:bottom w:val="nil"/>
              <w:right w:val="nil"/>
            </w:tcBorders>
            <w:noWrap/>
            <w:vAlign w:val="center"/>
            <w:hideMark/>
          </w:tcPr>
          <w:p w14:paraId="490B01D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957" w:type="pct"/>
            <w:tcBorders>
              <w:top w:val="nil"/>
              <w:left w:val="nil"/>
              <w:bottom w:val="nil"/>
              <w:right w:val="nil"/>
            </w:tcBorders>
            <w:noWrap/>
            <w:vAlign w:val="center"/>
            <w:hideMark/>
          </w:tcPr>
          <w:p w14:paraId="46523A9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w:t>
            </w:r>
          </w:p>
        </w:tc>
        <w:tc>
          <w:tcPr>
            <w:tcW w:w="616" w:type="pct"/>
            <w:tcBorders>
              <w:top w:val="nil"/>
              <w:left w:val="nil"/>
              <w:bottom w:val="nil"/>
              <w:right w:val="nil"/>
            </w:tcBorders>
            <w:noWrap/>
            <w:vAlign w:val="center"/>
            <w:hideMark/>
          </w:tcPr>
          <w:p w14:paraId="5B9DC5F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0.011</w:t>
            </w:r>
          </w:p>
        </w:tc>
      </w:tr>
      <w:tr w:rsidR="00120B4F" w:rsidRPr="00BE5472" w14:paraId="0FF94604" w14:textId="77777777" w:rsidTr="003C2F5B">
        <w:trPr>
          <w:trHeight w:val="315"/>
        </w:trPr>
        <w:tc>
          <w:tcPr>
            <w:tcW w:w="2002" w:type="pct"/>
            <w:tcBorders>
              <w:top w:val="nil"/>
              <w:left w:val="nil"/>
              <w:bottom w:val="nil"/>
              <w:right w:val="nil"/>
            </w:tcBorders>
            <w:noWrap/>
            <w:vAlign w:val="bottom"/>
            <w:hideMark/>
          </w:tcPr>
          <w:p w14:paraId="648D789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2258315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w:t>
            </w:r>
          </w:p>
        </w:tc>
        <w:tc>
          <w:tcPr>
            <w:tcW w:w="903" w:type="pct"/>
            <w:tcBorders>
              <w:top w:val="nil"/>
              <w:left w:val="nil"/>
              <w:bottom w:val="nil"/>
              <w:right w:val="nil"/>
            </w:tcBorders>
            <w:noWrap/>
            <w:vAlign w:val="center"/>
            <w:hideMark/>
          </w:tcPr>
          <w:p w14:paraId="2C69B37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0.55</w:t>
            </w:r>
          </w:p>
        </w:tc>
        <w:tc>
          <w:tcPr>
            <w:tcW w:w="957" w:type="pct"/>
            <w:tcBorders>
              <w:top w:val="nil"/>
              <w:left w:val="nil"/>
              <w:bottom w:val="nil"/>
              <w:right w:val="nil"/>
            </w:tcBorders>
            <w:noWrap/>
            <w:vAlign w:val="center"/>
            <w:hideMark/>
          </w:tcPr>
          <w:p w14:paraId="6E15D1E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1.05</w:t>
            </w:r>
          </w:p>
        </w:tc>
        <w:tc>
          <w:tcPr>
            <w:tcW w:w="616" w:type="pct"/>
            <w:tcBorders>
              <w:top w:val="nil"/>
              <w:left w:val="nil"/>
              <w:bottom w:val="nil"/>
              <w:right w:val="nil"/>
            </w:tcBorders>
            <w:noWrap/>
            <w:vAlign w:val="center"/>
            <w:hideMark/>
          </w:tcPr>
          <w:p w14:paraId="5622CC0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0.001</w:t>
            </w:r>
          </w:p>
        </w:tc>
      </w:tr>
      <w:tr w:rsidR="00120B4F" w:rsidRPr="00BE5472" w14:paraId="004FDF84" w14:textId="77777777" w:rsidTr="003C2F5B">
        <w:trPr>
          <w:trHeight w:val="315"/>
        </w:trPr>
        <w:tc>
          <w:tcPr>
            <w:tcW w:w="2002" w:type="pct"/>
            <w:tcBorders>
              <w:top w:val="nil"/>
              <w:left w:val="nil"/>
              <w:bottom w:val="nil"/>
              <w:right w:val="nil"/>
            </w:tcBorders>
            <w:noWrap/>
            <w:vAlign w:val="bottom"/>
            <w:hideMark/>
          </w:tcPr>
          <w:p w14:paraId="68FFC06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3684E4B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-1.27</w:t>
            </w:r>
          </w:p>
        </w:tc>
        <w:tc>
          <w:tcPr>
            <w:tcW w:w="903" w:type="pct"/>
            <w:tcBorders>
              <w:top w:val="nil"/>
              <w:left w:val="nil"/>
              <w:bottom w:val="nil"/>
              <w:right w:val="nil"/>
            </w:tcBorders>
            <w:noWrap/>
            <w:vAlign w:val="center"/>
            <w:hideMark/>
          </w:tcPr>
          <w:p w14:paraId="234639C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-3.28</w:t>
            </w:r>
          </w:p>
        </w:tc>
        <w:tc>
          <w:tcPr>
            <w:tcW w:w="957" w:type="pct"/>
            <w:tcBorders>
              <w:top w:val="nil"/>
              <w:left w:val="nil"/>
              <w:bottom w:val="nil"/>
              <w:right w:val="nil"/>
            </w:tcBorders>
            <w:noWrap/>
            <w:vAlign w:val="center"/>
            <w:hideMark/>
          </w:tcPr>
          <w:p w14:paraId="5822B10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0.74</w:t>
            </w:r>
          </w:p>
        </w:tc>
        <w:tc>
          <w:tcPr>
            <w:tcW w:w="616" w:type="pct"/>
            <w:tcBorders>
              <w:top w:val="nil"/>
              <w:left w:val="nil"/>
              <w:bottom w:val="nil"/>
              <w:right w:val="nil"/>
            </w:tcBorders>
            <w:noWrap/>
            <w:vAlign w:val="center"/>
            <w:hideMark/>
          </w:tcPr>
          <w:p w14:paraId="45EF16F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0.264</w:t>
            </w:r>
          </w:p>
        </w:tc>
      </w:tr>
      <w:tr w:rsidR="00120B4F" w:rsidRPr="00BE5472" w14:paraId="6846BF43" w14:textId="77777777" w:rsidTr="003C2F5B">
        <w:trPr>
          <w:trHeight w:val="315"/>
        </w:trPr>
        <w:tc>
          <w:tcPr>
            <w:tcW w:w="2002" w:type="pct"/>
            <w:tcBorders>
              <w:top w:val="nil"/>
              <w:left w:val="nil"/>
              <w:bottom w:val="nil"/>
              <w:right w:val="nil"/>
            </w:tcBorders>
            <w:noWrap/>
            <w:vAlign w:val="bottom"/>
            <w:hideMark/>
          </w:tcPr>
          <w:p w14:paraId="133E74C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5E12445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c>
          <w:tcPr>
            <w:tcW w:w="903" w:type="pct"/>
            <w:tcBorders>
              <w:top w:val="nil"/>
              <w:left w:val="nil"/>
              <w:bottom w:val="nil"/>
              <w:right w:val="nil"/>
            </w:tcBorders>
            <w:noWrap/>
            <w:vAlign w:val="center"/>
            <w:hideMark/>
          </w:tcPr>
          <w:p w14:paraId="7DD3B9B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-0.46</w:t>
            </w:r>
          </w:p>
        </w:tc>
        <w:tc>
          <w:tcPr>
            <w:tcW w:w="957" w:type="pct"/>
            <w:tcBorders>
              <w:top w:val="nil"/>
              <w:left w:val="nil"/>
              <w:bottom w:val="nil"/>
              <w:right w:val="nil"/>
            </w:tcBorders>
            <w:noWrap/>
            <w:vAlign w:val="center"/>
            <w:hideMark/>
          </w:tcPr>
          <w:p w14:paraId="3E8868D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w:t>
            </w:r>
          </w:p>
        </w:tc>
        <w:tc>
          <w:tcPr>
            <w:tcW w:w="616" w:type="pct"/>
            <w:tcBorders>
              <w:top w:val="nil"/>
              <w:left w:val="nil"/>
              <w:bottom w:val="nil"/>
              <w:right w:val="nil"/>
            </w:tcBorders>
            <w:noWrap/>
            <w:vAlign w:val="center"/>
            <w:hideMark/>
          </w:tcPr>
          <w:p w14:paraId="1229CA6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0.039</w:t>
            </w:r>
          </w:p>
        </w:tc>
      </w:tr>
      <w:tr w:rsidR="00120B4F" w:rsidRPr="00BE5472" w14:paraId="4557CA07" w14:textId="77777777" w:rsidTr="003C2F5B">
        <w:trPr>
          <w:trHeight w:val="315"/>
        </w:trPr>
        <w:tc>
          <w:tcPr>
            <w:tcW w:w="2002" w:type="pct"/>
            <w:tcBorders>
              <w:top w:val="single" w:sz="4" w:space="0" w:color="auto"/>
              <w:left w:val="nil"/>
              <w:bottom w:val="nil"/>
              <w:right w:val="nil"/>
            </w:tcBorders>
            <w:noWrap/>
            <w:vAlign w:val="bottom"/>
            <w:hideMark/>
          </w:tcPr>
          <w:p w14:paraId="7D24521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756F2E8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0.82</w:t>
            </w:r>
          </w:p>
        </w:tc>
      </w:tr>
      <w:tr w:rsidR="00120B4F" w:rsidRPr="00BE5472" w14:paraId="241434D3" w14:textId="77777777" w:rsidTr="003C2F5B">
        <w:trPr>
          <w:trHeight w:val="315"/>
        </w:trPr>
        <w:tc>
          <w:tcPr>
            <w:tcW w:w="2002" w:type="pct"/>
            <w:tcBorders>
              <w:top w:val="nil"/>
              <w:left w:val="nil"/>
              <w:bottom w:val="nil"/>
              <w:right w:val="nil"/>
            </w:tcBorders>
            <w:noWrap/>
            <w:vAlign w:val="bottom"/>
            <w:hideMark/>
          </w:tcPr>
          <w:p w14:paraId="53EE4D2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7813A0F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0.70</w:t>
            </w:r>
          </w:p>
        </w:tc>
      </w:tr>
      <w:tr w:rsidR="00120B4F" w:rsidRPr="00BE5472" w14:paraId="2A9013A3" w14:textId="77777777" w:rsidTr="003C2F5B">
        <w:trPr>
          <w:trHeight w:val="315"/>
        </w:trPr>
        <w:tc>
          <w:tcPr>
            <w:tcW w:w="2002" w:type="pct"/>
            <w:tcBorders>
              <w:top w:val="nil"/>
              <w:left w:val="nil"/>
              <w:bottom w:val="nil"/>
              <w:right w:val="nil"/>
            </w:tcBorders>
            <w:noWrap/>
            <w:vAlign w:val="bottom"/>
            <w:hideMark/>
          </w:tcPr>
          <w:p w14:paraId="363B429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1A758C3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0.39</w:t>
            </w:r>
          </w:p>
        </w:tc>
      </w:tr>
      <w:tr w:rsidR="00120B4F" w:rsidRPr="00BE5472" w14:paraId="2BAAB01A" w14:textId="77777777" w:rsidTr="003C2F5B">
        <w:trPr>
          <w:trHeight w:val="315"/>
        </w:trPr>
        <w:tc>
          <w:tcPr>
            <w:tcW w:w="2002" w:type="pct"/>
            <w:tcBorders>
              <w:top w:val="nil"/>
              <w:left w:val="nil"/>
              <w:bottom w:val="nil"/>
              <w:right w:val="nil"/>
            </w:tcBorders>
            <w:noWrap/>
            <w:vAlign w:val="bottom"/>
            <w:hideMark/>
          </w:tcPr>
          <w:p w14:paraId="744E13E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725E6DE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0D3C63B7" w14:textId="77777777" w:rsidTr="003C2F5B">
        <w:trPr>
          <w:trHeight w:val="315"/>
        </w:trPr>
        <w:tc>
          <w:tcPr>
            <w:tcW w:w="2002" w:type="pct"/>
            <w:tcBorders>
              <w:top w:val="nil"/>
              <w:left w:val="nil"/>
              <w:bottom w:val="single" w:sz="4" w:space="0" w:color="auto"/>
              <w:right w:val="nil"/>
            </w:tcBorders>
            <w:noWrap/>
            <w:vAlign w:val="bottom"/>
            <w:hideMark/>
          </w:tcPr>
          <w:p w14:paraId="4E329B0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0673381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60CA1947" w14:textId="0E53CF58"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4438A2AB" w14:textId="1D63000E"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tržišna vrijednost dionica između poduzeća koja su prošla proces preuzimanja drugog poduzeća i onih koji to nisu (B = -1.27,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[-3.28, 0.74], p = .264). Nadalje,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0.14,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[0.03, 0.26], p = .011), pri čemu </w:t>
      </w:r>
      <w:r w:rsidRPr="00BE5472">
        <w:rPr>
          <w:rFonts w:ascii="Times New Roman" w:hAnsi="Times New Roman" w:cs="Times New Roman"/>
          <w:b/>
          <w:bCs/>
          <w:kern w:val="2"/>
          <w:sz w:val="24"/>
          <w14:ligatures w14:val="standardContextual"/>
        </w:rPr>
        <w:t>tržišna vrijednost dionica u prosjeku raste 15</w:t>
      </w:r>
      <w:r w:rsidR="00DE3CE4" w:rsidRPr="00BE5472">
        <w:rPr>
          <w:rFonts w:ascii="Times New Roman" w:hAnsi="Times New Roman" w:cs="Times New Roman"/>
          <w:b/>
          <w:bCs/>
          <w:kern w:val="2"/>
          <w:sz w:val="24"/>
          <w14:ligatures w14:val="standardContextual"/>
        </w:rPr>
        <w:t xml:space="preserve"> </w:t>
      </w:r>
      <w:r w:rsidRPr="00BE5472">
        <w:rPr>
          <w:rFonts w:ascii="Times New Roman" w:hAnsi="Times New Roman" w:cs="Times New Roman"/>
          <w:b/>
          <w:bCs/>
          <w:kern w:val="2"/>
          <w:sz w:val="24"/>
          <w14:ligatures w14:val="standardContextual"/>
        </w:rPr>
        <w:t>% godišnje</w:t>
      </w:r>
      <w:r w:rsidRPr="00BE5472">
        <w:rPr>
          <w:rFonts w:ascii="Times New Roman" w:hAnsi="Times New Roman" w:cs="Times New Roman"/>
          <w:kern w:val="2"/>
          <w:sz w:val="24"/>
          <w14:ligatures w14:val="standardContextual"/>
        </w:rPr>
        <w:t>. Također je utvrđena i statistički značajna interakcija između tipa poduzeća i vremenskog trenda (B = -0.23,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[-0.46, -0.01], p = .039). Analizom jednostavnih nagiba utvrđeno je da je </w:t>
      </w:r>
      <w:r w:rsidRPr="00BE5472">
        <w:rPr>
          <w:rFonts w:ascii="Times New Roman" w:hAnsi="Times New Roman" w:cs="Times New Roman"/>
          <w:b/>
          <w:bCs/>
          <w:kern w:val="2"/>
          <w:sz w:val="24"/>
          <w14:ligatures w14:val="standardContextual"/>
        </w:rPr>
        <w:t>godišnja stopa rasta kod poduzeća koja nisu prošla proces akvizicije približno 30</w:t>
      </w:r>
      <w:r w:rsidR="00DE3CE4" w:rsidRPr="00BE5472">
        <w:rPr>
          <w:rFonts w:ascii="Times New Roman" w:hAnsi="Times New Roman" w:cs="Times New Roman"/>
          <w:b/>
          <w:bCs/>
          <w:kern w:val="2"/>
          <w:sz w:val="24"/>
          <w14:ligatures w14:val="standardContextual"/>
        </w:rPr>
        <w:t xml:space="preserve"> </w:t>
      </w:r>
      <w:r w:rsidRPr="00BE5472">
        <w:rPr>
          <w:rFonts w:ascii="Times New Roman" w:hAnsi="Times New Roman" w:cs="Times New Roman"/>
          <w:b/>
          <w:bCs/>
          <w:kern w:val="2"/>
          <w:sz w:val="24"/>
          <w14:ligatures w14:val="standardContextual"/>
        </w:rPr>
        <w:t>%</w:t>
      </w:r>
      <w:r w:rsidRPr="00BE5472">
        <w:rPr>
          <w:rFonts w:ascii="Times New Roman" w:hAnsi="Times New Roman" w:cs="Times New Roman"/>
          <w:kern w:val="2"/>
          <w:sz w:val="24"/>
          <w14:ligatures w14:val="standardContextual"/>
        </w:rPr>
        <w:t xml:space="preserve"> (B = 0.26,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[0.09, 0.44], p = .004), dok kod poduzeća preuzimatelja nije utvrđen značajan vremenski trend (B = 0.03, 95%  CI [-0.11, 0.16], p = .688).</w:t>
      </w:r>
    </w:p>
    <w:p w14:paraId="6A3BCCAB" w14:textId="77777777" w:rsidR="00120B4F" w:rsidRPr="00BE5472" w:rsidRDefault="00120B4F" w:rsidP="00490975">
      <w:pPr>
        <w:rPr>
          <w:rFonts w:ascii="Times New Roman" w:hAnsi="Times New Roman" w:cs="Times New Roman"/>
          <w:b/>
          <w:bCs/>
          <w:sz w:val="24"/>
          <w:szCs w:val="24"/>
        </w:rPr>
      </w:pPr>
      <w:bookmarkStart w:id="252" w:name="_Toc182495690"/>
      <w:r w:rsidRPr="00BE5472">
        <w:rPr>
          <w:rFonts w:ascii="Times New Roman" w:hAnsi="Times New Roman" w:cs="Times New Roman"/>
          <w:b/>
          <w:bCs/>
          <w:sz w:val="24"/>
          <w:szCs w:val="24"/>
        </w:rPr>
        <w:t>Dobit po dionici</w:t>
      </w:r>
      <w:bookmarkEnd w:id="252"/>
    </w:p>
    <w:p w14:paraId="1327B429" w14:textId="0D808899"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lastRenderedPageBreak/>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8</w:t>
      </w:r>
      <w:r w:rsidRPr="00BE5472">
        <w:rPr>
          <w:rFonts w:ascii="Times New Roman" w:hAnsi="Times New Roman" w:cs="Times New Roman"/>
          <w:kern w:val="2"/>
          <w:sz w:val="24"/>
          <w14:ligatures w14:val="standardContextual"/>
        </w:rPr>
        <w:t xml:space="preserve"> prikazani su rezultati testiranja razlike u visini pokazatelja dobit po dionici između poduzeća koja su prošla proces preuzimanja drugog poduzeća i onih koji to nisu.</w:t>
      </w:r>
    </w:p>
    <w:p w14:paraId="75373BEB" w14:textId="66DDBEEE" w:rsidR="00120B4F" w:rsidRPr="00E1098E" w:rsidRDefault="00E1098E" w:rsidP="00E1098E">
      <w:pPr>
        <w:pStyle w:val="Caption"/>
        <w:rPr>
          <w:rFonts w:ascii="Times New Roman" w:hAnsi="Times New Roman" w:cs="Times New Roman"/>
          <w:kern w:val="2"/>
          <w:sz w:val="24"/>
          <w:szCs w:val="24"/>
          <w14:ligatures w14:val="standardContextual"/>
        </w:rPr>
      </w:pPr>
      <w:bookmarkStart w:id="253" w:name="_Toc241865262"/>
      <w:r w:rsidRPr="00E1098E">
        <w:rPr>
          <w:rFonts w:ascii="Times New Roman" w:hAnsi="Times New Roman" w:cs="Times New Roman"/>
          <w:sz w:val="24"/>
          <w:szCs w:val="24"/>
        </w:rPr>
        <w:t xml:space="preserve">Tablica </w:t>
      </w:r>
      <w:r w:rsidRPr="00E1098E">
        <w:rPr>
          <w:rFonts w:ascii="Times New Roman" w:hAnsi="Times New Roman" w:cs="Times New Roman"/>
          <w:sz w:val="24"/>
          <w:szCs w:val="24"/>
        </w:rPr>
        <w:fldChar w:fldCharType="begin"/>
      </w:r>
      <w:r w:rsidRPr="00E1098E">
        <w:rPr>
          <w:rFonts w:ascii="Times New Roman" w:hAnsi="Times New Roman" w:cs="Times New Roman"/>
          <w:sz w:val="24"/>
          <w:szCs w:val="24"/>
        </w:rPr>
        <w:instrText xml:space="preserve"> SEQ Tablica \* ARABIC </w:instrText>
      </w:r>
      <w:r w:rsidRPr="00E1098E">
        <w:rPr>
          <w:rFonts w:ascii="Times New Roman" w:hAnsi="Times New Roman" w:cs="Times New Roman"/>
          <w:sz w:val="24"/>
          <w:szCs w:val="24"/>
        </w:rPr>
        <w:fldChar w:fldCharType="separate"/>
      </w:r>
      <w:r w:rsidR="00044BF6">
        <w:rPr>
          <w:rFonts w:ascii="Times New Roman" w:hAnsi="Times New Roman" w:cs="Times New Roman"/>
          <w:noProof/>
          <w:sz w:val="24"/>
          <w:szCs w:val="24"/>
        </w:rPr>
        <w:t>68</w:t>
      </w:r>
      <w:r w:rsidRPr="00E1098E">
        <w:rPr>
          <w:rFonts w:ascii="Times New Roman" w:hAnsi="Times New Roman" w:cs="Times New Roman"/>
          <w:sz w:val="24"/>
          <w:szCs w:val="24"/>
        </w:rPr>
        <w:fldChar w:fldCharType="end"/>
      </w:r>
      <w:r w:rsidR="00D83A34" w:rsidRPr="00E1098E">
        <w:rPr>
          <w:rFonts w:ascii="Times New Roman" w:hAnsi="Times New Roman" w:cs="Times New Roman"/>
          <w:kern w:val="2"/>
          <w:sz w:val="24"/>
          <w:szCs w:val="24"/>
          <w14:ligatures w14:val="standardContextual"/>
        </w:rPr>
        <w:t>:</w:t>
      </w:r>
      <w:r w:rsidR="00120B4F" w:rsidRPr="00E1098E">
        <w:rPr>
          <w:rFonts w:ascii="Times New Roman" w:hAnsi="Times New Roman" w:cs="Times New Roman"/>
          <w:kern w:val="2"/>
          <w:sz w:val="24"/>
          <w:szCs w:val="24"/>
          <w14:ligatures w14:val="standardContextual"/>
        </w:rPr>
        <w:t xml:space="preserve"> Testiranje razlike u </w:t>
      </w:r>
      <w:r w:rsidR="00DE3CE4" w:rsidRPr="00E1098E">
        <w:rPr>
          <w:rFonts w:ascii="Times New Roman" w:hAnsi="Times New Roman" w:cs="Times New Roman"/>
          <w:kern w:val="2"/>
          <w:sz w:val="24"/>
          <w:szCs w:val="24"/>
          <w14:ligatures w14:val="standardContextual"/>
        </w:rPr>
        <w:t>d</w:t>
      </w:r>
      <w:r w:rsidR="00120B4F" w:rsidRPr="00E1098E">
        <w:rPr>
          <w:rFonts w:ascii="Times New Roman" w:hAnsi="Times New Roman" w:cs="Times New Roman"/>
          <w:kern w:val="2"/>
          <w:sz w:val="24"/>
          <w:szCs w:val="24"/>
          <w14:ligatures w14:val="standardContextual"/>
        </w:rPr>
        <w:t>obiti po dionici između poduzeća preuzimatelja i nepreuzimatelja</w:t>
      </w:r>
      <w:bookmarkEnd w:id="253"/>
    </w:p>
    <w:tbl>
      <w:tblPr>
        <w:tblW w:w="5000" w:type="pct"/>
        <w:tblLook w:val="04A0" w:firstRow="1" w:lastRow="0" w:firstColumn="1" w:lastColumn="0" w:noHBand="0" w:noVBand="1"/>
      </w:tblPr>
      <w:tblGrid>
        <w:gridCol w:w="3748"/>
        <w:gridCol w:w="977"/>
        <w:gridCol w:w="1690"/>
        <w:gridCol w:w="1792"/>
        <w:gridCol w:w="1153"/>
      </w:tblGrid>
      <w:tr w:rsidR="00120B4F" w:rsidRPr="00BE5472" w14:paraId="6706CB41" w14:textId="77777777" w:rsidTr="003C2F5B">
        <w:trPr>
          <w:trHeight w:val="315"/>
        </w:trPr>
        <w:tc>
          <w:tcPr>
            <w:tcW w:w="2002" w:type="pct"/>
            <w:tcBorders>
              <w:top w:val="nil"/>
              <w:left w:val="nil"/>
              <w:bottom w:val="nil"/>
              <w:right w:val="nil"/>
            </w:tcBorders>
            <w:noWrap/>
            <w:vAlign w:val="bottom"/>
            <w:hideMark/>
          </w:tcPr>
          <w:p w14:paraId="63029AF5"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75FF9B1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69EEC03D" w14:textId="2A1C286B"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0751C53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3279C19"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0AB0706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2DD4051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39D3301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75E9F2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2AF6A51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6F30B5FD" w14:textId="77777777" w:rsidTr="003C2F5B">
        <w:trPr>
          <w:trHeight w:val="315"/>
        </w:trPr>
        <w:tc>
          <w:tcPr>
            <w:tcW w:w="2002" w:type="pct"/>
            <w:tcBorders>
              <w:top w:val="nil"/>
              <w:left w:val="nil"/>
              <w:bottom w:val="nil"/>
              <w:right w:val="nil"/>
            </w:tcBorders>
            <w:noWrap/>
            <w:vAlign w:val="bottom"/>
            <w:hideMark/>
          </w:tcPr>
          <w:p w14:paraId="319C4EE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548B32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15.95</w:t>
            </w:r>
          </w:p>
        </w:tc>
        <w:tc>
          <w:tcPr>
            <w:tcW w:w="903" w:type="pct"/>
            <w:tcBorders>
              <w:top w:val="nil"/>
              <w:left w:val="nil"/>
              <w:bottom w:val="nil"/>
              <w:right w:val="nil"/>
            </w:tcBorders>
            <w:noWrap/>
            <w:vAlign w:val="center"/>
            <w:hideMark/>
          </w:tcPr>
          <w:p w14:paraId="7B11E9A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-21.03</w:t>
            </w:r>
          </w:p>
        </w:tc>
        <w:tc>
          <w:tcPr>
            <w:tcW w:w="957" w:type="pct"/>
            <w:tcBorders>
              <w:top w:val="nil"/>
              <w:left w:val="nil"/>
              <w:bottom w:val="nil"/>
              <w:right w:val="nil"/>
            </w:tcBorders>
            <w:noWrap/>
            <w:vAlign w:val="center"/>
            <w:hideMark/>
          </w:tcPr>
          <w:p w14:paraId="793C9F2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52.93</w:t>
            </w:r>
          </w:p>
        </w:tc>
        <w:tc>
          <w:tcPr>
            <w:tcW w:w="616" w:type="pct"/>
            <w:tcBorders>
              <w:top w:val="nil"/>
              <w:left w:val="nil"/>
              <w:bottom w:val="nil"/>
              <w:right w:val="nil"/>
            </w:tcBorders>
            <w:noWrap/>
            <w:vAlign w:val="center"/>
            <w:hideMark/>
          </w:tcPr>
          <w:p w14:paraId="25B36B8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0.43</w:t>
            </w:r>
          </w:p>
        </w:tc>
      </w:tr>
      <w:tr w:rsidR="00120B4F" w:rsidRPr="00BE5472" w14:paraId="793879BB" w14:textId="77777777" w:rsidTr="003C2F5B">
        <w:trPr>
          <w:trHeight w:val="315"/>
        </w:trPr>
        <w:tc>
          <w:tcPr>
            <w:tcW w:w="2002" w:type="pct"/>
            <w:tcBorders>
              <w:top w:val="nil"/>
              <w:left w:val="nil"/>
              <w:bottom w:val="nil"/>
              <w:right w:val="nil"/>
            </w:tcBorders>
            <w:noWrap/>
            <w:vAlign w:val="bottom"/>
            <w:hideMark/>
          </w:tcPr>
          <w:p w14:paraId="3AC2A19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57BE39A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-6.79</w:t>
            </w:r>
          </w:p>
        </w:tc>
        <w:tc>
          <w:tcPr>
            <w:tcW w:w="903" w:type="pct"/>
            <w:tcBorders>
              <w:top w:val="nil"/>
              <w:left w:val="nil"/>
              <w:bottom w:val="nil"/>
              <w:right w:val="nil"/>
            </w:tcBorders>
            <w:noWrap/>
            <w:vAlign w:val="center"/>
            <w:hideMark/>
          </w:tcPr>
          <w:p w14:paraId="37B5C7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-12.59</w:t>
            </w:r>
          </w:p>
        </w:tc>
        <w:tc>
          <w:tcPr>
            <w:tcW w:w="957" w:type="pct"/>
            <w:tcBorders>
              <w:top w:val="nil"/>
              <w:left w:val="nil"/>
              <w:bottom w:val="nil"/>
              <w:right w:val="nil"/>
            </w:tcBorders>
            <w:noWrap/>
            <w:vAlign w:val="center"/>
            <w:hideMark/>
          </w:tcPr>
          <w:p w14:paraId="53B4716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-0.99</w:t>
            </w:r>
          </w:p>
        </w:tc>
        <w:tc>
          <w:tcPr>
            <w:tcW w:w="616" w:type="pct"/>
            <w:tcBorders>
              <w:top w:val="nil"/>
              <w:left w:val="nil"/>
              <w:bottom w:val="nil"/>
              <w:right w:val="nil"/>
            </w:tcBorders>
            <w:noWrap/>
            <w:vAlign w:val="center"/>
            <w:hideMark/>
          </w:tcPr>
          <w:p w14:paraId="4C6FD48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0.023</w:t>
            </w:r>
          </w:p>
        </w:tc>
      </w:tr>
      <w:tr w:rsidR="00120B4F" w:rsidRPr="00BE5472" w14:paraId="491F7CFD" w14:textId="77777777" w:rsidTr="003C2F5B">
        <w:trPr>
          <w:trHeight w:val="315"/>
        </w:trPr>
        <w:tc>
          <w:tcPr>
            <w:tcW w:w="2002" w:type="pct"/>
            <w:tcBorders>
              <w:top w:val="nil"/>
              <w:left w:val="nil"/>
              <w:bottom w:val="nil"/>
              <w:right w:val="nil"/>
            </w:tcBorders>
            <w:noWrap/>
            <w:vAlign w:val="bottom"/>
            <w:hideMark/>
          </w:tcPr>
          <w:p w14:paraId="06A2FA7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356F60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40.87</w:t>
            </w:r>
          </w:p>
        </w:tc>
        <w:tc>
          <w:tcPr>
            <w:tcW w:w="903" w:type="pct"/>
            <w:tcBorders>
              <w:top w:val="nil"/>
              <w:left w:val="nil"/>
              <w:bottom w:val="nil"/>
              <w:right w:val="nil"/>
            </w:tcBorders>
            <w:noWrap/>
            <w:vAlign w:val="center"/>
            <w:hideMark/>
          </w:tcPr>
          <w:p w14:paraId="0CDD991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-13.04</w:t>
            </w:r>
          </w:p>
        </w:tc>
        <w:tc>
          <w:tcPr>
            <w:tcW w:w="957" w:type="pct"/>
            <w:tcBorders>
              <w:top w:val="nil"/>
              <w:left w:val="nil"/>
              <w:bottom w:val="nil"/>
              <w:right w:val="nil"/>
            </w:tcBorders>
            <w:noWrap/>
            <w:vAlign w:val="center"/>
            <w:hideMark/>
          </w:tcPr>
          <w:p w14:paraId="2C467D3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94.78</w:t>
            </w:r>
          </w:p>
        </w:tc>
        <w:tc>
          <w:tcPr>
            <w:tcW w:w="616" w:type="pct"/>
            <w:tcBorders>
              <w:top w:val="nil"/>
              <w:left w:val="nil"/>
              <w:bottom w:val="nil"/>
              <w:right w:val="nil"/>
            </w:tcBorders>
            <w:noWrap/>
            <w:vAlign w:val="center"/>
            <w:hideMark/>
          </w:tcPr>
          <w:p w14:paraId="273F795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0.192</w:t>
            </w:r>
          </w:p>
        </w:tc>
      </w:tr>
      <w:tr w:rsidR="00120B4F" w:rsidRPr="00BE5472" w14:paraId="78ED1E90" w14:textId="77777777" w:rsidTr="003C2F5B">
        <w:trPr>
          <w:trHeight w:val="315"/>
        </w:trPr>
        <w:tc>
          <w:tcPr>
            <w:tcW w:w="2002" w:type="pct"/>
            <w:tcBorders>
              <w:top w:val="nil"/>
              <w:left w:val="nil"/>
              <w:bottom w:val="nil"/>
              <w:right w:val="nil"/>
            </w:tcBorders>
            <w:noWrap/>
            <w:vAlign w:val="bottom"/>
            <w:hideMark/>
          </w:tcPr>
          <w:p w14:paraId="580AC31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2FEB004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49.28</w:t>
            </w:r>
          </w:p>
        </w:tc>
        <w:tc>
          <w:tcPr>
            <w:tcW w:w="903" w:type="pct"/>
            <w:tcBorders>
              <w:top w:val="nil"/>
              <w:left w:val="nil"/>
              <w:bottom w:val="nil"/>
              <w:right w:val="nil"/>
            </w:tcBorders>
            <w:noWrap/>
            <w:vAlign w:val="center"/>
            <w:hideMark/>
          </w:tcPr>
          <w:p w14:paraId="657683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-26.17</w:t>
            </w:r>
          </w:p>
        </w:tc>
        <w:tc>
          <w:tcPr>
            <w:tcW w:w="957" w:type="pct"/>
            <w:tcBorders>
              <w:top w:val="nil"/>
              <w:left w:val="nil"/>
              <w:bottom w:val="nil"/>
              <w:right w:val="nil"/>
            </w:tcBorders>
            <w:noWrap/>
            <w:vAlign w:val="center"/>
            <w:hideMark/>
          </w:tcPr>
          <w:p w14:paraId="0E90581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124.73</w:t>
            </w:r>
          </w:p>
        </w:tc>
        <w:tc>
          <w:tcPr>
            <w:tcW w:w="616" w:type="pct"/>
            <w:tcBorders>
              <w:top w:val="nil"/>
              <w:left w:val="nil"/>
              <w:bottom w:val="nil"/>
              <w:right w:val="nil"/>
            </w:tcBorders>
            <w:noWrap/>
            <w:vAlign w:val="center"/>
            <w:hideMark/>
          </w:tcPr>
          <w:p w14:paraId="528FFD1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0.250</w:t>
            </w:r>
          </w:p>
        </w:tc>
      </w:tr>
      <w:tr w:rsidR="00120B4F" w:rsidRPr="00BE5472" w14:paraId="5B41FF43" w14:textId="77777777" w:rsidTr="003C2F5B">
        <w:trPr>
          <w:trHeight w:val="315"/>
        </w:trPr>
        <w:tc>
          <w:tcPr>
            <w:tcW w:w="2002" w:type="pct"/>
            <w:tcBorders>
              <w:top w:val="nil"/>
              <w:left w:val="nil"/>
              <w:bottom w:val="nil"/>
              <w:right w:val="nil"/>
            </w:tcBorders>
            <w:noWrap/>
            <w:vAlign w:val="bottom"/>
            <w:hideMark/>
          </w:tcPr>
          <w:p w14:paraId="3BBA77E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7B96502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7.76</w:t>
            </w:r>
          </w:p>
        </w:tc>
        <w:tc>
          <w:tcPr>
            <w:tcW w:w="903" w:type="pct"/>
            <w:tcBorders>
              <w:top w:val="nil"/>
              <w:left w:val="nil"/>
              <w:bottom w:val="nil"/>
              <w:right w:val="nil"/>
            </w:tcBorders>
            <w:noWrap/>
            <w:vAlign w:val="center"/>
            <w:hideMark/>
          </w:tcPr>
          <w:p w14:paraId="508DB85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-3.85</w:t>
            </w:r>
          </w:p>
        </w:tc>
        <w:tc>
          <w:tcPr>
            <w:tcW w:w="957" w:type="pct"/>
            <w:tcBorders>
              <w:top w:val="nil"/>
              <w:left w:val="nil"/>
              <w:bottom w:val="nil"/>
              <w:right w:val="nil"/>
            </w:tcBorders>
            <w:noWrap/>
            <w:vAlign w:val="center"/>
            <w:hideMark/>
          </w:tcPr>
          <w:p w14:paraId="67E5C93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19.36</w:t>
            </w:r>
          </w:p>
        </w:tc>
        <w:tc>
          <w:tcPr>
            <w:tcW w:w="616" w:type="pct"/>
            <w:tcBorders>
              <w:top w:val="nil"/>
              <w:left w:val="nil"/>
              <w:bottom w:val="nil"/>
              <w:right w:val="nil"/>
            </w:tcBorders>
            <w:noWrap/>
            <w:vAlign w:val="center"/>
            <w:hideMark/>
          </w:tcPr>
          <w:p w14:paraId="7565BE4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0.187</w:t>
            </w:r>
          </w:p>
        </w:tc>
      </w:tr>
      <w:tr w:rsidR="00120B4F" w:rsidRPr="00BE5472" w14:paraId="13F4B639" w14:textId="77777777" w:rsidTr="003C2F5B">
        <w:trPr>
          <w:trHeight w:val="315"/>
        </w:trPr>
        <w:tc>
          <w:tcPr>
            <w:tcW w:w="2002" w:type="pct"/>
            <w:tcBorders>
              <w:top w:val="single" w:sz="4" w:space="0" w:color="auto"/>
              <w:left w:val="nil"/>
              <w:bottom w:val="nil"/>
              <w:right w:val="nil"/>
            </w:tcBorders>
            <w:noWrap/>
            <w:vAlign w:val="bottom"/>
            <w:hideMark/>
          </w:tcPr>
          <w:p w14:paraId="0DEA9A3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7C2AE0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0.38</w:t>
            </w:r>
          </w:p>
        </w:tc>
      </w:tr>
      <w:tr w:rsidR="00120B4F" w:rsidRPr="00BE5472" w14:paraId="4DC1AEB7" w14:textId="77777777" w:rsidTr="003C2F5B">
        <w:trPr>
          <w:trHeight w:val="315"/>
        </w:trPr>
        <w:tc>
          <w:tcPr>
            <w:tcW w:w="2002" w:type="pct"/>
            <w:tcBorders>
              <w:top w:val="nil"/>
              <w:left w:val="nil"/>
              <w:bottom w:val="nil"/>
              <w:right w:val="nil"/>
            </w:tcBorders>
            <w:noWrap/>
            <w:vAlign w:val="bottom"/>
            <w:hideMark/>
          </w:tcPr>
          <w:p w14:paraId="2DFF6314"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3988BCD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w:t>
            </w:r>
          </w:p>
        </w:tc>
      </w:tr>
      <w:tr w:rsidR="00120B4F" w:rsidRPr="00BE5472" w14:paraId="1628DBE9" w14:textId="77777777" w:rsidTr="003C2F5B">
        <w:trPr>
          <w:trHeight w:val="315"/>
        </w:trPr>
        <w:tc>
          <w:tcPr>
            <w:tcW w:w="2002" w:type="pct"/>
            <w:tcBorders>
              <w:top w:val="nil"/>
              <w:left w:val="nil"/>
              <w:bottom w:val="nil"/>
              <w:right w:val="nil"/>
            </w:tcBorders>
            <w:noWrap/>
            <w:vAlign w:val="bottom"/>
            <w:hideMark/>
          </w:tcPr>
          <w:p w14:paraId="1A58932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5312E0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0.23</w:t>
            </w:r>
          </w:p>
        </w:tc>
      </w:tr>
      <w:tr w:rsidR="00120B4F" w:rsidRPr="00BE5472" w14:paraId="5024FB62" w14:textId="77777777" w:rsidTr="003C2F5B">
        <w:trPr>
          <w:trHeight w:val="315"/>
        </w:trPr>
        <w:tc>
          <w:tcPr>
            <w:tcW w:w="2002" w:type="pct"/>
            <w:tcBorders>
              <w:top w:val="nil"/>
              <w:left w:val="nil"/>
              <w:bottom w:val="nil"/>
              <w:right w:val="nil"/>
            </w:tcBorders>
            <w:noWrap/>
            <w:vAlign w:val="bottom"/>
            <w:hideMark/>
          </w:tcPr>
          <w:p w14:paraId="3889470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0577633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55C5EC55" w14:textId="77777777" w:rsidTr="003C2F5B">
        <w:trPr>
          <w:trHeight w:val="315"/>
        </w:trPr>
        <w:tc>
          <w:tcPr>
            <w:tcW w:w="2002" w:type="pct"/>
            <w:tcBorders>
              <w:top w:val="nil"/>
              <w:left w:val="nil"/>
              <w:bottom w:val="single" w:sz="4" w:space="0" w:color="auto"/>
              <w:right w:val="nil"/>
            </w:tcBorders>
            <w:noWrap/>
            <w:vAlign w:val="bottom"/>
            <w:hideMark/>
          </w:tcPr>
          <w:p w14:paraId="35CCBB5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0A3CB3A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87</w:t>
            </w:r>
          </w:p>
        </w:tc>
      </w:tr>
    </w:tbl>
    <w:p w14:paraId="250855B8" w14:textId="234BAC03"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1A5929A0" w14:textId="2E08C4B2" w:rsidR="00747403" w:rsidRPr="00BE5472" w:rsidRDefault="00120B4F" w:rsidP="00747403">
      <w:pPr>
        <w:spacing w:line="360" w:lineRule="auto"/>
        <w:jc w:val="both"/>
        <w:rPr>
          <w:rFonts w:ascii="Times New Roman" w:hAnsi="Times New Roman" w:cs="Times New Roman"/>
          <w:kern w:val="2"/>
          <w:sz w:val="24"/>
          <w14:ligatures w14:val="standardContextual"/>
        </w:rPr>
        <w:sectPr w:rsidR="00747403" w:rsidRPr="00BE5472" w:rsidSect="00D63A8E">
          <w:pgSz w:w="12240" w:h="15840"/>
          <w:pgMar w:top="1440" w:right="1440" w:bottom="1440" w:left="1440" w:header="708" w:footer="708" w:gutter="0"/>
          <w:cols w:space="708"/>
          <w:docGrid w:linePitch="360"/>
        </w:sect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dobit po dionici između poduzeća koja su prošla proces preuzimanja drugog poduzeća i onih koji to nisu (B = 49.28,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[-26.17, 124.73], p = .250). Nadalje, </w:t>
      </w:r>
      <w:r w:rsidRPr="00BE5472">
        <w:rPr>
          <w:rFonts w:ascii="Times New Roman" w:hAnsi="Times New Roman" w:cs="Times New Roman"/>
          <w:b/>
          <w:bCs/>
          <w:kern w:val="2"/>
          <w:sz w:val="24"/>
          <w14:ligatures w14:val="standardContextual"/>
        </w:rPr>
        <w:t>utvrđen je statistički značajan vremenski trend</w:t>
      </w:r>
      <w:r w:rsidRPr="00BE5472">
        <w:rPr>
          <w:rFonts w:ascii="Times New Roman" w:hAnsi="Times New Roman" w:cs="Times New Roman"/>
          <w:kern w:val="2"/>
          <w:sz w:val="24"/>
          <w14:ligatures w14:val="standardContextual"/>
        </w:rPr>
        <w:t xml:space="preserve"> (B = -6.79,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[-12.29, -0.99], p = .023), pri čemu ovaj </w:t>
      </w:r>
      <w:r w:rsidRPr="00BE5472">
        <w:rPr>
          <w:rFonts w:ascii="Times New Roman" w:hAnsi="Times New Roman" w:cs="Times New Roman"/>
          <w:b/>
          <w:bCs/>
          <w:kern w:val="2"/>
          <w:sz w:val="24"/>
          <w14:ligatures w14:val="standardContextual"/>
        </w:rPr>
        <w:t xml:space="preserve">koeficijent pada u </w:t>
      </w:r>
      <w:r w:rsidRPr="00DD01AD">
        <w:rPr>
          <w:rFonts w:ascii="Times New Roman" w:hAnsi="Times New Roman" w:cs="Times New Roman"/>
          <w:b/>
          <w:bCs/>
          <w:kern w:val="2"/>
          <w:sz w:val="24"/>
          <w14:ligatures w14:val="standardContextual"/>
        </w:rPr>
        <w:t>prosjeku 6.79 godišnje</w:t>
      </w:r>
      <w:r w:rsidRPr="00DD01AD">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Nije utvrđen statistički značajna interakcija između tipa poduzeća i vremenskog trenda (B = 7.76,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[-3.85, 19.36], p = .187).</w:t>
      </w:r>
      <w:bookmarkStart w:id="254" w:name="_Toc182495691"/>
    </w:p>
    <w:p w14:paraId="618B214E" w14:textId="2F924B22" w:rsidR="00120B4F" w:rsidRPr="00BE5472" w:rsidRDefault="00120B4F" w:rsidP="00747403">
      <w:pPr>
        <w:spacing w:line="360" w:lineRule="auto"/>
        <w:jc w:val="both"/>
        <w:rPr>
          <w:rFonts w:ascii="Times New Roman" w:hAnsi="Times New Roman" w:cs="Times New Roman"/>
          <w:b/>
          <w:bCs/>
          <w:sz w:val="24"/>
          <w:szCs w:val="24"/>
        </w:rPr>
      </w:pPr>
      <w:r w:rsidRPr="00BE5472">
        <w:rPr>
          <w:rFonts w:ascii="Times New Roman" w:hAnsi="Times New Roman" w:cs="Times New Roman"/>
          <w:b/>
          <w:bCs/>
          <w:sz w:val="24"/>
          <w:szCs w:val="24"/>
        </w:rPr>
        <w:lastRenderedPageBreak/>
        <w:t>Dividenda po dionici</w:t>
      </w:r>
      <w:bookmarkEnd w:id="254"/>
    </w:p>
    <w:p w14:paraId="318985AD" w14:textId="36592036"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0E4A4D" w:rsidRPr="00BE5472">
        <w:rPr>
          <w:rFonts w:ascii="Times New Roman" w:hAnsi="Times New Roman" w:cs="Times New Roman"/>
          <w:kern w:val="2"/>
          <w:sz w:val="24"/>
          <w14:ligatures w14:val="standardContextual"/>
        </w:rPr>
        <w:t>6</w:t>
      </w:r>
      <w:r w:rsidR="00127A4E">
        <w:rPr>
          <w:rFonts w:ascii="Times New Roman" w:hAnsi="Times New Roman" w:cs="Times New Roman"/>
          <w:kern w:val="2"/>
          <w:sz w:val="24"/>
          <w14:ligatures w14:val="standardContextual"/>
        </w:rPr>
        <w:t>9</w:t>
      </w:r>
      <w:r w:rsidRPr="00BE5472">
        <w:rPr>
          <w:rFonts w:ascii="Times New Roman" w:hAnsi="Times New Roman" w:cs="Times New Roman"/>
          <w:kern w:val="2"/>
          <w:sz w:val="24"/>
          <w14:ligatures w14:val="standardContextual"/>
        </w:rPr>
        <w:t xml:space="preserve"> prikazani su rezultati testiranja razlike u visini pokazatelja dividenda po dionici između poduzeća koja su prošla proces preuzimanja drugog poduzeća i onih koji to nisu.</w:t>
      </w:r>
    </w:p>
    <w:p w14:paraId="03DA1D9C" w14:textId="04F4F94E" w:rsidR="00120B4F" w:rsidRPr="00044BF6" w:rsidRDefault="00044BF6" w:rsidP="00044BF6">
      <w:pPr>
        <w:pStyle w:val="Caption"/>
        <w:rPr>
          <w:rFonts w:ascii="Times New Roman" w:hAnsi="Times New Roman" w:cs="Times New Roman"/>
          <w:kern w:val="2"/>
          <w:sz w:val="24"/>
          <w:szCs w:val="24"/>
          <w14:ligatures w14:val="standardContextual"/>
        </w:rPr>
      </w:pPr>
      <w:bookmarkStart w:id="255" w:name="_Toc241865263"/>
      <w:r w:rsidRPr="00044BF6">
        <w:rPr>
          <w:rFonts w:ascii="Times New Roman" w:hAnsi="Times New Roman" w:cs="Times New Roman"/>
          <w:sz w:val="24"/>
          <w:szCs w:val="24"/>
        </w:rPr>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Pr>
          <w:rFonts w:ascii="Times New Roman" w:hAnsi="Times New Roman" w:cs="Times New Roman"/>
          <w:noProof/>
          <w:sz w:val="24"/>
          <w:szCs w:val="24"/>
        </w:rPr>
        <w:t>69</w:t>
      </w:r>
      <w:r w:rsidRPr="00044BF6">
        <w:rPr>
          <w:rFonts w:ascii="Times New Roman" w:hAnsi="Times New Roman" w:cs="Times New Roman"/>
          <w:sz w:val="24"/>
          <w:szCs w:val="24"/>
        </w:rPr>
        <w:fldChar w:fldCharType="end"/>
      </w:r>
      <w:r w:rsidR="00D83A34" w:rsidRPr="00044BF6">
        <w:rPr>
          <w:rFonts w:ascii="Times New Roman" w:hAnsi="Times New Roman" w:cs="Times New Roman"/>
          <w:kern w:val="2"/>
          <w:sz w:val="24"/>
          <w:szCs w:val="24"/>
          <w14:ligatures w14:val="standardContextual"/>
        </w:rPr>
        <w:t>:</w:t>
      </w:r>
      <w:r w:rsidR="00120B4F" w:rsidRPr="00044BF6">
        <w:rPr>
          <w:rFonts w:ascii="Times New Roman" w:hAnsi="Times New Roman" w:cs="Times New Roman"/>
          <w:kern w:val="2"/>
          <w:sz w:val="24"/>
          <w:szCs w:val="24"/>
          <w14:ligatures w14:val="standardContextual"/>
        </w:rPr>
        <w:t xml:space="preserve"> Testiranje razlike u </w:t>
      </w:r>
      <w:r w:rsidR="00DE3CE4" w:rsidRPr="00044BF6">
        <w:rPr>
          <w:rFonts w:ascii="Times New Roman" w:hAnsi="Times New Roman" w:cs="Times New Roman"/>
          <w:kern w:val="2"/>
          <w:sz w:val="24"/>
          <w:szCs w:val="24"/>
          <w14:ligatures w14:val="standardContextual"/>
        </w:rPr>
        <w:t>d</w:t>
      </w:r>
      <w:r w:rsidR="00120B4F" w:rsidRPr="00044BF6">
        <w:rPr>
          <w:rFonts w:ascii="Times New Roman" w:hAnsi="Times New Roman" w:cs="Times New Roman"/>
          <w:kern w:val="2"/>
          <w:sz w:val="24"/>
          <w:szCs w:val="24"/>
          <w14:ligatures w14:val="standardContextual"/>
        </w:rPr>
        <w:t>ividendi po dionici između poduzeća preuzimatelja i nepreuzimatelja</w:t>
      </w:r>
      <w:bookmarkEnd w:id="255"/>
    </w:p>
    <w:tbl>
      <w:tblPr>
        <w:tblW w:w="5000" w:type="pct"/>
        <w:tblLook w:val="04A0" w:firstRow="1" w:lastRow="0" w:firstColumn="1" w:lastColumn="0" w:noHBand="0" w:noVBand="1"/>
      </w:tblPr>
      <w:tblGrid>
        <w:gridCol w:w="3748"/>
        <w:gridCol w:w="977"/>
        <w:gridCol w:w="1690"/>
        <w:gridCol w:w="1792"/>
        <w:gridCol w:w="1153"/>
      </w:tblGrid>
      <w:tr w:rsidR="00120B4F" w:rsidRPr="00BE5472" w14:paraId="38D7C88D" w14:textId="77777777" w:rsidTr="003C2F5B">
        <w:trPr>
          <w:trHeight w:val="315"/>
        </w:trPr>
        <w:tc>
          <w:tcPr>
            <w:tcW w:w="2002" w:type="pct"/>
            <w:tcBorders>
              <w:top w:val="nil"/>
              <w:left w:val="nil"/>
              <w:bottom w:val="nil"/>
              <w:right w:val="nil"/>
            </w:tcBorders>
            <w:noWrap/>
            <w:vAlign w:val="bottom"/>
            <w:hideMark/>
          </w:tcPr>
          <w:p w14:paraId="61AEA264"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0398C36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168DF20F" w14:textId="4DCA2A42"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5E8BEB8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D0A07B9"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4935A4A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29F9CBC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6F0B142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17107F2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6EEB899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5F812D3F" w14:textId="77777777" w:rsidTr="003C2F5B">
        <w:trPr>
          <w:trHeight w:val="315"/>
        </w:trPr>
        <w:tc>
          <w:tcPr>
            <w:tcW w:w="2002" w:type="pct"/>
            <w:tcBorders>
              <w:top w:val="nil"/>
              <w:left w:val="nil"/>
              <w:bottom w:val="nil"/>
              <w:right w:val="nil"/>
            </w:tcBorders>
            <w:noWrap/>
            <w:vAlign w:val="bottom"/>
            <w:hideMark/>
          </w:tcPr>
          <w:p w14:paraId="64D721F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2C3DFD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11.98</w:t>
            </w:r>
          </w:p>
        </w:tc>
        <w:tc>
          <w:tcPr>
            <w:tcW w:w="903" w:type="pct"/>
            <w:tcBorders>
              <w:top w:val="nil"/>
              <w:left w:val="nil"/>
              <w:bottom w:val="nil"/>
              <w:right w:val="nil"/>
            </w:tcBorders>
            <w:noWrap/>
            <w:vAlign w:val="center"/>
            <w:hideMark/>
          </w:tcPr>
          <w:p w14:paraId="612B829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-7.91</w:t>
            </w:r>
          </w:p>
        </w:tc>
        <w:tc>
          <w:tcPr>
            <w:tcW w:w="957" w:type="pct"/>
            <w:tcBorders>
              <w:top w:val="nil"/>
              <w:left w:val="nil"/>
              <w:bottom w:val="nil"/>
              <w:right w:val="nil"/>
            </w:tcBorders>
            <w:noWrap/>
            <w:vAlign w:val="center"/>
            <w:hideMark/>
          </w:tcPr>
          <w:p w14:paraId="5D3E7C6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31.87</w:t>
            </w:r>
          </w:p>
        </w:tc>
        <w:tc>
          <w:tcPr>
            <w:tcW w:w="616" w:type="pct"/>
            <w:tcBorders>
              <w:top w:val="nil"/>
              <w:left w:val="nil"/>
              <w:bottom w:val="nil"/>
              <w:right w:val="nil"/>
            </w:tcBorders>
            <w:noWrap/>
            <w:vAlign w:val="center"/>
            <w:hideMark/>
          </w:tcPr>
          <w:p w14:paraId="413669A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0.228</w:t>
            </w:r>
          </w:p>
        </w:tc>
      </w:tr>
      <w:tr w:rsidR="00120B4F" w:rsidRPr="00BE5472" w14:paraId="2145D3A9" w14:textId="77777777" w:rsidTr="003C2F5B">
        <w:trPr>
          <w:trHeight w:val="315"/>
        </w:trPr>
        <w:tc>
          <w:tcPr>
            <w:tcW w:w="2002" w:type="pct"/>
            <w:tcBorders>
              <w:top w:val="nil"/>
              <w:left w:val="nil"/>
              <w:bottom w:val="nil"/>
              <w:right w:val="nil"/>
            </w:tcBorders>
            <w:noWrap/>
            <w:vAlign w:val="bottom"/>
            <w:hideMark/>
          </w:tcPr>
          <w:p w14:paraId="79B1BF7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330A786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1.89</w:t>
            </w:r>
          </w:p>
        </w:tc>
        <w:tc>
          <w:tcPr>
            <w:tcW w:w="903" w:type="pct"/>
            <w:tcBorders>
              <w:top w:val="nil"/>
              <w:left w:val="nil"/>
              <w:bottom w:val="nil"/>
              <w:right w:val="nil"/>
            </w:tcBorders>
            <w:noWrap/>
            <w:vAlign w:val="center"/>
            <w:hideMark/>
          </w:tcPr>
          <w:p w14:paraId="33B9777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-3.77</w:t>
            </w:r>
          </w:p>
        </w:tc>
        <w:tc>
          <w:tcPr>
            <w:tcW w:w="957" w:type="pct"/>
            <w:tcBorders>
              <w:top w:val="nil"/>
              <w:left w:val="nil"/>
              <w:bottom w:val="nil"/>
              <w:right w:val="nil"/>
            </w:tcBorders>
            <w:noWrap/>
            <w:vAlign w:val="center"/>
            <w:hideMark/>
          </w:tcPr>
          <w:p w14:paraId="6D28A9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7.56</w:t>
            </w:r>
          </w:p>
        </w:tc>
        <w:tc>
          <w:tcPr>
            <w:tcW w:w="616" w:type="pct"/>
            <w:tcBorders>
              <w:top w:val="nil"/>
              <w:left w:val="nil"/>
              <w:bottom w:val="nil"/>
              <w:right w:val="nil"/>
            </w:tcBorders>
            <w:noWrap/>
            <w:vAlign w:val="center"/>
            <w:hideMark/>
          </w:tcPr>
          <w:p w14:paraId="4BF2161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0.501</w:t>
            </w:r>
          </w:p>
        </w:tc>
      </w:tr>
      <w:tr w:rsidR="00120B4F" w:rsidRPr="00BE5472" w14:paraId="51B772C7" w14:textId="77777777" w:rsidTr="003C2F5B">
        <w:trPr>
          <w:trHeight w:val="315"/>
        </w:trPr>
        <w:tc>
          <w:tcPr>
            <w:tcW w:w="2002" w:type="pct"/>
            <w:tcBorders>
              <w:top w:val="nil"/>
              <w:left w:val="nil"/>
              <w:bottom w:val="nil"/>
              <w:right w:val="nil"/>
            </w:tcBorders>
            <w:noWrap/>
            <w:vAlign w:val="bottom"/>
            <w:hideMark/>
          </w:tcPr>
          <w:p w14:paraId="0ED5BE6F"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38F7591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28.28</w:t>
            </w:r>
          </w:p>
        </w:tc>
        <w:tc>
          <w:tcPr>
            <w:tcW w:w="903" w:type="pct"/>
            <w:tcBorders>
              <w:top w:val="nil"/>
              <w:left w:val="nil"/>
              <w:bottom w:val="nil"/>
              <w:right w:val="nil"/>
            </w:tcBorders>
            <w:noWrap/>
            <w:vAlign w:val="center"/>
            <w:hideMark/>
          </w:tcPr>
          <w:p w14:paraId="04221DC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9.69</w:t>
            </w:r>
          </w:p>
        </w:tc>
        <w:tc>
          <w:tcPr>
            <w:tcW w:w="957" w:type="pct"/>
            <w:tcBorders>
              <w:top w:val="nil"/>
              <w:left w:val="nil"/>
              <w:bottom w:val="nil"/>
              <w:right w:val="nil"/>
            </w:tcBorders>
            <w:noWrap/>
            <w:vAlign w:val="center"/>
            <w:hideMark/>
          </w:tcPr>
          <w:p w14:paraId="2BDE15C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46.88</w:t>
            </w:r>
          </w:p>
        </w:tc>
        <w:tc>
          <w:tcPr>
            <w:tcW w:w="616" w:type="pct"/>
            <w:tcBorders>
              <w:top w:val="nil"/>
              <w:left w:val="nil"/>
              <w:bottom w:val="nil"/>
              <w:right w:val="nil"/>
            </w:tcBorders>
            <w:noWrap/>
            <w:vAlign w:val="center"/>
            <w:hideMark/>
          </w:tcPr>
          <w:p w14:paraId="01F5E7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0.004</w:t>
            </w:r>
          </w:p>
        </w:tc>
      </w:tr>
      <w:tr w:rsidR="00120B4F" w:rsidRPr="00BE5472" w14:paraId="70E3B4DE" w14:textId="77777777" w:rsidTr="003C2F5B">
        <w:trPr>
          <w:trHeight w:val="315"/>
        </w:trPr>
        <w:tc>
          <w:tcPr>
            <w:tcW w:w="2002" w:type="pct"/>
            <w:tcBorders>
              <w:top w:val="nil"/>
              <w:left w:val="nil"/>
              <w:bottom w:val="nil"/>
              <w:right w:val="nil"/>
            </w:tcBorders>
            <w:noWrap/>
            <w:vAlign w:val="bottom"/>
            <w:hideMark/>
          </w:tcPr>
          <w:p w14:paraId="05BB152A"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7527A0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-5.52</w:t>
            </w:r>
          </w:p>
        </w:tc>
        <w:tc>
          <w:tcPr>
            <w:tcW w:w="903" w:type="pct"/>
            <w:tcBorders>
              <w:top w:val="nil"/>
              <w:left w:val="nil"/>
              <w:bottom w:val="nil"/>
              <w:right w:val="nil"/>
            </w:tcBorders>
            <w:noWrap/>
            <w:vAlign w:val="center"/>
            <w:hideMark/>
          </w:tcPr>
          <w:p w14:paraId="0C4D1F4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-48.82</w:t>
            </w:r>
          </w:p>
        </w:tc>
        <w:tc>
          <w:tcPr>
            <w:tcW w:w="957" w:type="pct"/>
            <w:tcBorders>
              <w:top w:val="nil"/>
              <w:left w:val="nil"/>
              <w:bottom w:val="nil"/>
              <w:right w:val="nil"/>
            </w:tcBorders>
            <w:noWrap/>
            <w:vAlign w:val="center"/>
            <w:hideMark/>
          </w:tcPr>
          <w:p w14:paraId="05B6242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37.79</w:t>
            </w:r>
          </w:p>
        </w:tc>
        <w:tc>
          <w:tcPr>
            <w:tcW w:w="616" w:type="pct"/>
            <w:tcBorders>
              <w:top w:val="nil"/>
              <w:left w:val="nil"/>
              <w:bottom w:val="nil"/>
              <w:right w:val="nil"/>
            </w:tcBorders>
            <w:noWrap/>
            <w:vAlign w:val="center"/>
            <w:hideMark/>
          </w:tcPr>
          <w:p w14:paraId="37952CC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0.797</w:t>
            </w:r>
          </w:p>
        </w:tc>
      </w:tr>
      <w:tr w:rsidR="00120B4F" w:rsidRPr="00BE5472" w14:paraId="581BADD3" w14:textId="77777777" w:rsidTr="003C2F5B">
        <w:trPr>
          <w:trHeight w:val="315"/>
        </w:trPr>
        <w:tc>
          <w:tcPr>
            <w:tcW w:w="2002" w:type="pct"/>
            <w:tcBorders>
              <w:top w:val="nil"/>
              <w:left w:val="nil"/>
              <w:bottom w:val="nil"/>
              <w:right w:val="nil"/>
            </w:tcBorders>
            <w:noWrap/>
            <w:vAlign w:val="bottom"/>
            <w:hideMark/>
          </w:tcPr>
          <w:p w14:paraId="6A9E9C0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61D4FAF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3.67</w:t>
            </w:r>
          </w:p>
        </w:tc>
        <w:tc>
          <w:tcPr>
            <w:tcW w:w="903" w:type="pct"/>
            <w:tcBorders>
              <w:top w:val="nil"/>
              <w:left w:val="nil"/>
              <w:bottom w:val="nil"/>
              <w:right w:val="nil"/>
            </w:tcBorders>
            <w:noWrap/>
            <w:vAlign w:val="center"/>
            <w:hideMark/>
          </w:tcPr>
          <w:p w14:paraId="42AD56BC"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-7.66</w:t>
            </w:r>
          </w:p>
        </w:tc>
        <w:tc>
          <w:tcPr>
            <w:tcW w:w="957" w:type="pct"/>
            <w:tcBorders>
              <w:top w:val="nil"/>
              <w:left w:val="nil"/>
              <w:bottom w:val="nil"/>
              <w:right w:val="nil"/>
            </w:tcBorders>
            <w:noWrap/>
            <w:vAlign w:val="center"/>
            <w:hideMark/>
          </w:tcPr>
          <w:p w14:paraId="0EE5453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15.01</w:t>
            </w:r>
          </w:p>
        </w:tc>
        <w:tc>
          <w:tcPr>
            <w:tcW w:w="616" w:type="pct"/>
            <w:tcBorders>
              <w:top w:val="nil"/>
              <w:left w:val="nil"/>
              <w:bottom w:val="nil"/>
              <w:right w:val="nil"/>
            </w:tcBorders>
            <w:noWrap/>
            <w:vAlign w:val="center"/>
            <w:hideMark/>
          </w:tcPr>
          <w:p w14:paraId="0C9C029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0.514</w:t>
            </w:r>
          </w:p>
        </w:tc>
      </w:tr>
      <w:tr w:rsidR="00120B4F" w:rsidRPr="00BE5472" w14:paraId="2E076619" w14:textId="77777777" w:rsidTr="003C2F5B">
        <w:trPr>
          <w:trHeight w:val="315"/>
        </w:trPr>
        <w:tc>
          <w:tcPr>
            <w:tcW w:w="2002" w:type="pct"/>
            <w:tcBorders>
              <w:top w:val="single" w:sz="4" w:space="0" w:color="auto"/>
              <w:left w:val="nil"/>
              <w:bottom w:val="nil"/>
              <w:right w:val="nil"/>
            </w:tcBorders>
            <w:noWrap/>
            <w:vAlign w:val="bottom"/>
            <w:hideMark/>
          </w:tcPr>
          <w:p w14:paraId="38E84B2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4296CB7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w:t>
            </w:r>
          </w:p>
        </w:tc>
      </w:tr>
      <w:tr w:rsidR="00120B4F" w:rsidRPr="00BE5472" w14:paraId="7FF7B7C0" w14:textId="77777777" w:rsidTr="003C2F5B">
        <w:trPr>
          <w:trHeight w:val="315"/>
        </w:trPr>
        <w:tc>
          <w:tcPr>
            <w:tcW w:w="2002" w:type="pct"/>
            <w:tcBorders>
              <w:top w:val="nil"/>
              <w:left w:val="nil"/>
              <w:bottom w:val="nil"/>
              <w:right w:val="nil"/>
            </w:tcBorders>
            <w:noWrap/>
            <w:vAlign w:val="bottom"/>
            <w:hideMark/>
          </w:tcPr>
          <w:p w14:paraId="6CE4A1D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1A21063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0.26</w:t>
            </w:r>
          </w:p>
        </w:tc>
      </w:tr>
      <w:tr w:rsidR="00120B4F" w:rsidRPr="00BE5472" w14:paraId="437C67FF" w14:textId="77777777" w:rsidTr="003C2F5B">
        <w:trPr>
          <w:trHeight w:val="315"/>
        </w:trPr>
        <w:tc>
          <w:tcPr>
            <w:tcW w:w="2002" w:type="pct"/>
            <w:tcBorders>
              <w:top w:val="nil"/>
              <w:left w:val="nil"/>
              <w:bottom w:val="nil"/>
              <w:right w:val="nil"/>
            </w:tcBorders>
            <w:noWrap/>
            <w:vAlign w:val="bottom"/>
            <w:hideMark/>
          </w:tcPr>
          <w:p w14:paraId="5D51502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137D283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r>
      <w:tr w:rsidR="00120B4F" w:rsidRPr="00BE5472" w14:paraId="7D7903A3" w14:textId="77777777" w:rsidTr="003C2F5B">
        <w:trPr>
          <w:trHeight w:val="315"/>
        </w:trPr>
        <w:tc>
          <w:tcPr>
            <w:tcW w:w="2002" w:type="pct"/>
            <w:tcBorders>
              <w:top w:val="nil"/>
              <w:left w:val="nil"/>
              <w:bottom w:val="nil"/>
              <w:right w:val="nil"/>
            </w:tcBorders>
            <w:noWrap/>
            <w:vAlign w:val="bottom"/>
            <w:hideMark/>
          </w:tcPr>
          <w:p w14:paraId="16AE8D5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416FEA3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3595D06D" w14:textId="77777777" w:rsidTr="003C2F5B">
        <w:trPr>
          <w:trHeight w:val="315"/>
        </w:trPr>
        <w:tc>
          <w:tcPr>
            <w:tcW w:w="2002" w:type="pct"/>
            <w:tcBorders>
              <w:top w:val="nil"/>
              <w:left w:val="nil"/>
              <w:bottom w:val="single" w:sz="4" w:space="0" w:color="auto"/>
              <w:right w:val="nil"/>
            </w:tcBorders>
            <w:noWrap/>
            <w:vAlign w:val="bottom"/>
            <w:hideMark/>
          </w:tcPr>
          <w:p w14:paraId="268D853E"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1E3D6D4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39</w:t>
            </w:r>
          </w:p>
        </w:tc>
      </w:tr>
    </w:tbl>
    <w:p w14:paraId="4F69AFB3" w14:textId="7B3FDD5B"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24865885" w14:textId="17540E42"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dividenda po dionici između poduzeća koja su prošla proces preuzimanja drugog poduzeća i onih koji to nisu (B = -5.52,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[-48.82, 37.79], p = .797). Nije utvrđen ni statistički značajan vremenski trend (B = 1.89,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[-3.77, 7.56], p = .501), kao ni statistički značajna interakcija između tipa poduzeća i vremenskog trenda (B = 3.67,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[-7.66, 15.01], p = .514).</w:t>
      </w:r>
    </w:p>
    <w:p w14:paraId="5D40CBA4" w14:textId="77777777" w:rsidR="00747403" w:rsidRPr="00BE5472" w:rsidRDefault="00747403" w:rsidP="00490975">
      <w:pPr>
        <w:rPr>
          <w:rFonts w:ascii="Times New Roman" w:hAnsi="Times New Roman" w:cs="Times New Roman"/>
          <w:b/>
          <w:bCs/>
          <w:sz w:val="24"/>
          <w:szCs w:val="24"/>
        </w:rPr>
        <w:sectPr w:rsidR="00747403" w:rsidRPr="00BE5472" w:rsidSect="00D63A8E">
          <w:pgSz w:w="12240" w:h="15840"/>
          <w:pgMar w:top="1440" w:right="1440" w:bottom="1440" w:left="1440" w:header="708" w:footer="708" w:gutter="0"/>
          <w:cols w:space="708"/>
          <w:docGrid w:linePitch="360"/>
        </w:sectPr>
      </w:pPr>
      <w:bookmarkStart w:id="256" w:name="_Toc182495692"/>
    </w:p>
    <w:p w14:paraId="5583AE35" w14:textId="77777777" w:rsidR="00120B4F" w:rsidRPr="00BE5472" w:rsidRDefault="00120B4F" w:rsidP="00490975">
      <w:pPr>
        <w:rPr>
          <w:rFonts w:ascii="Times New Roman" w:hAnsi="Times New Roman" w:cs="Times New Roman"/>
          <w:b/>
          <w:bCs/>
          <w:sz w:val="24"/>
          <w:szCs w:val="24"/>
        </w:rPr>
      </w:pPr>
      <w:r w:rsidRPr="00BE5472">
        <w:rPr>
          <w:rFonts w:ascii="Times New Roman" w:hAnsi="Times New Roman" w:cs="Times New Roman"/>
          <w:b/>
          <w:bCs/>
          <w:sz w:val="24"/>
          <w:szCs w:val="24"/>
        </w:rPr>
        <w:lastRenderedPageBreak/>
        <w:t>Tržišni udio</w:t>
      </w:r>
      <w:bookmarkEnd w:id="256"/>
    </w:p>
    <w:p w14:paraId="37BEFDA6" w14:textId="6276B113" w:rsidR="00120B4F" w:rsidRPr="00BE5472" w:rsidRDefault="00120B4F" w:rsidP="00120B4F">
      <w:pPr>
        <w:spacing w:line="360" w:lineRule="auto"/>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70</w:t>
      </w:r>
      <w:r w:rsidRPr="00BE5472">
        <w:rPr>
          <w:rFonts w:ascii="Times New Roman" w:hAnsi="Times New Roman" w:cs="Times New Roman"/>
          <w:kern w:val="2"/>
          <w:sz w:val="24"/>
          <w14:ligatures w14:val="standardContextual"/>
        </w:rPr>
        <w:t xml:space="preserve"> prikazani su rezultati testiranja razlike u visini pokazatelja tržišni udio između poduzeća koja su prošla proces preuzimanja drugog poduzeća i onih koji to nisu.</w:t>
      </w:r>
    </w:p>
    <w:p w14:paraId="35158D57" w14:textId="06B8159F" w:rsidR="00120B4F" w:rsidRPr="00044BF6" w:rsidRDefault="00044BF6" w:rsidP="00044BF6">
      <w:pPr>
        <w:pStyle w:val="Caption"/>
        <w:rPr>
          <w:rFonts w:ascii="Times New Roman" w:hAnsi="Times New Roman" w:cs="Times New Roman"/>
          <w:kern w:val="2"/>
          <w:sz w:val="24"/>
          <w:szCs w:val="24"/>
          <w14:ligatures w14:val="standardContextual"/>
        </w:rPr>
      </w:pPr>
      <w:bookmarkStart w:id="257" w:name="_Toc241865264"/>
      <w:r w:rsidRPr="00044BF6">
        <w:rPr>
          <w:rFonts w:ascii="Times New Roman" w:hAnsi="Times New Roman" w:cs="Times New Roman"/>
          <w:sz w:val="24"/>
          <w:szCs w:val="24"/>
        </w:rPr>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Pr>
          <w:rFonts w:ascii="Times New Roman" w:hAnsi="Times New Roman" w:cs="Times New Roman"/>
          <w:noProof/>
          <w:sz w:val="24"/>
          <w:szCs w:val="24"/>
        </w:rPr>
        <w:t>70</w:t>
      </w:r>
      <w:r w:rsidRPr="00044BF6">
        <w:rPr>
          <w:rFonts w:ascii="Times New Roman" w:hAnsi="Times New Roman" w:cs="Times New Roman"/>
          <w:sz w:val="24"/>
          <w:szCs w:val="24"/>
        </w:rPr>
        <w:fldChar w:fldCharType="end"/>
      </w:r>
      <w:r w:rsidR="00D83A34" w:rsidRPr="00044BF6">
        <w:rPr>
          <w:rFonts w:ascii="Times New Roman" w:hAnsi="Times New Roman" w:cs="Times New Roman"/>
          <w:kern w:val="2"/>
          <w:sz w:val="24"/>
          <w:szCs w:val="24"/>
          <w14:ligatures w14:val="standardContextual"/>
        </w:rPr>
        <w:t>:</w:t>
      </w:r>
      <w:r w:rsidR="00120B4F" w:rsidRPr="00044BF6">
        <w:rPr>
          <w:rFonts w:ascii="Times New Roman" w:hAnsi="Times New Roman" w:cs="Times New Roman"/>
          <w:kern w:val="2"/>
          <w:sz w:val="24"/>
          <w:szCs w:val="24"/>
          <w14:ligatures w14:val="standardContextual"/>
        </w:rPr>
        <w:t xml:space="preserve"> Testiranje razlike u </w:t>
      </w:r>
      <w:r w:rsidR="00DE3CE4" w:rsidRPr="00044BF6">
        <w:rPr>
          <w:rFonts w:ascii="Times New Roman" w:hAnsi="Times New Roman" w:cs="Times New Roman"/>
          <w:kern w:val="2"/>
          <w:sz w:val="24"/>
          <w:szCs w:val="24"/>
          <w14:ligatures w14:val="standardContextual"/>
        </w:rPr>
        <w:t>t</w:t>
      </w:r>
      <w:r w:rsidR="00120B4F" w:rsidRPr="00044BF6">
        <w:rPr>
          <w:rFonts w:ascii="Times New Roman" w:hAnsi="Times New Roman" w:cs="Times New Roman"/>
          <w:kern w:val="2"/>
          <w:sz w:val="24"/>
          <w:szCs w:val="24"/>
          <w14:ligatures w14:val="standardContextual"/>
        </w:rPr>
        <w:t>ržišnom udjelu između poduzeća preuzimatelja i nepreuzimatelja</w:t>
      </w:r>
      <w:bookmarkEnd w:id="257"/>
    </w:p>
    <w:tbl>
      <w:tblPr>
        <w:tblW w:w="5000" w:type="pct"/>
        <w:tblLook w:val="04A0" w:firstRow="1" w:lastRow="0" w:firstColumn="1" w:lastColumn="0" w:noHBand="0" w:noVBand="1"/>
      </w:tblPr>
      <w:tblGrid>
        <w:gridCol w:w="3748"/>
        <w:gridCol w:w="977"/>
        <w:gridCol w:w="1690"/>
        <w:gridCol w:w="1792"/>
        <w:gridCol w:w="1153"/>
      </w:tblGrid>
      <w:tr w:rsidR="00120B4F" w:rsidRPr="00BE5472" w14:paraId="621B1C7C" w14:textId="77777777" w:rsidTr="003C2F5B">
        <w:trPr>
          <w:trHeight w:val="315"/>
        </w:trPr>
        <w:tc>
          <w:tcPr>
            <w:tcW w:w="2002" w:type="pct"/>
            <w:tcBorders>
              <w:top w:val="nil"/>
              <w:left w:val="nil"/>
              <w:bottom w:val="nil"/>
              <w:right w:val="nil"/>
            </w:tcBorders>
            <w:noWrap/>
            <w:vAlign w:val="bottom"/>
            <w:hideMark/>
          </w:tcPr>
          <w:p w14:paraId="16DC19C0"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14D497B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3ACE2852" w14:textId="7E4F9D73"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11ED92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0A62A760"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452099E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0EBD69D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13915F8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4B0A876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6DF9273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140380B0" w14:textId="77777777" w:rsidTr="003C2F5B">
        <w:trPr>
          <w:trHeight w:val="315"/>
        </w:trPr>
        <w:tc>
          <w:tcPr>
            <w:tcW w:w="2002" w:type="pct"/>
            <w:tcBorders>
              <w:top w:val="nil"/>
              <w:left w:val="nil"/>
              <w:bottom w:val="nil"/>
              <w:right w:val="nil"/>
            </w:tcBorders>
            <w:noWrap/>
            <w:vAlign w:val="bottom"/>
            <w:hideMark/>
          </w:tcPr>
          <w:p w14:paraId="05BBD67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122006E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5.32</w:t>
            </w:r>
          </w:p>
        </w:tc>
        <w:tc>
          <w:tcPr>
            <w:tcW w:w="903" w:type="pct"/>
            <w:tcBorders>
              <w:top w:val="nil"/>
              <w:left w:val="nil"/>
              <w:bottom w:val="nil"/>
              <w:right w:val="nil"/>
            </w:tcBorders>
            <w:noWrap/>
            <w:vAlign w:val="center"/>
            <w:hideMark/>
          </w:tcPr>
          <w:p w14:paraId="71B573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w:t>
            </w:r>
          </w:p>
        </w:tc>
        <w:tc>
          <w:tcPr>
            <w:tcW w:w="957" w:type="pct"/>
            <w:tcBorders>
              <w:top w:val="nil"/>
              <w:left w:val="nil"/>
              <w:bottom w:val="nil"/>
              <w:right w:val="nil"/>
            </w:tcBorders>
            <w:noWrap/>
            <w:vAlign w:val="center"/>
            <w:hideMark/>
          </w:tcPr>
          <w:p w14:paraId="5924AB8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7.75</w:t>
            </w:r>
          </w:p>
        </w:tc>
        <w:tc>
          <w:tcPr>
            <w:tcW w:w="616" w:type="pct"/>
            <w:tcBorders>
              <w:top w:val="nil"/>
              <w:left w:val="nil"/>
              <w:bottom w:val="nil"/>
              <w:right w:val="nil"/>
            </w:tcBorders>
            <w:noWrap/>
            <w:vAlign w:val="center"/>
            <w:hideMark/>
          </w:tcPr>
          <w:p w14:paraId="6ED59D6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0.007</w:t>
            </w:r>
          </w:p>
        </w:tc>
      </w:tr>
      <w:tr w:rsidR="00120B4F" w:rsidRPr="00BE5472" w14:paraId="4673C67D" w14:textId="77777777" w:rsidTr="003C2F5B">
        <w:trPr>
          <w:trHeight w:val="315"/>
        </w:trPr>
        <w:tc>
          <w:tcPr>
            <w:tcW w:w="2002" w:type="pct"/>
            <w:tcBorders>
              <w:top w:val="nil"/>
              <w:left w:val="nil"/>
              <w:bottom w:val="nil"/>
              <w:right w:val="nil"/>
            </w:tcBorders>
            <w:noWrap/>
            <w:vAlign w:val="bottom"/>
            <w:hideMark/>
          </w:tcPr>
          <w:p w14:paraId="656C898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0FE4AC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-0.15</w:t>
            </w:r>
          </w:p>
        </w:tc>
        <w:tc>
          <w:tcPr>
            <w:tcW w:w="903" w:type="pct"/>
            <w:tcBorders>
              <w:top w:val="nil"/>
              <w:left w:val="nil"/>
              <w:bottom w:val="nil"/>
              <w:right w:val="nil"/>
            </w:tcBorders>
            <w:noWrap/>
            <w:vAlign w:val="center"/>
            <w:hideMark/>
          </w:tcPr>
          <w:p w14:paraId="52B0F3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-0.33</w:t>
            </w:r>
          </w:p>
        </w:tc>
        <w:tc>
          <w:tcPr>
            <w:tcW w:w="957" w:type="pct"/>
            <w:tcBorders>
              <w:top w:val="nil"/>
              <w:left w:val="nil"/>
              <w:bottom w:val="nil"/>
              <w:right w:val="nil"/>
            </w:tcBorders>
            <w:noWrap/>
            <w:vAlign w:val="center"/>
            <w:hideMark/>
          </w:tcPr>
          <w:p w14:paraId="697B91E7"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c>
          <w:tcPr>
            <w:tcW w:w="616" w:type="pct"/>
            <w:tcBorders>
              <w:top w:val="nil"/>
              <w:left w:val="nil"/>
              <w:bottom w:val="nil"/>
              <w:right w:val="nil"/>
            </w:tcBorders>
            <w:noWrap/>
            <w:vAlign w:val="center"/>
            <w:hideMark/>
          </w:tcPr>
          <w:p w14:paraId="4499418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0.110</w:t>
            </w:r>
          </w:p>
        </w:tc>
      </w:tr>
      <w:tr w:rsidR="00120B4F" w:rsidRPr="00BE5472" w14:paraId="475B71CB" w14:textId="77777777" w:rsidTr="003C2F5B">
        <w:trPr>
          <w:trHeight w:val="315"/>
        </w:trPr>
        <w:tc>
          <w:tcPr>
            <w:tcW w:w="2002" w:type="pct"/>
            <w:tcBorders>
              <w:top w:val="nil"/>
              <w:left w:val="nil"/>
              <w:bottom w:val="nil"/>
              <w:right w:val="nil"/>
            </w:tcBorders>
            <w:noWrap/>
            <w:vAlign w:val="bottom"/>
            <w:hideMark/>
          </w:tcPr>
          <w:p w14:paraId="6292793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2840D14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21.07</w:t>
            </w:r>
          </w:p>
        </w:tc>
        <w:tc>
          <w:tcPr>
            <w:tcW w:w="903" w:type="pct"/>
            <w:tcBorders>
              <w:top w:val="nil"/>
              <w:left w:val="nil"/>
              <w:bottom w:val="nil"/>
              <w:right w:val="nil"/>
            </w:tcBorders>
            <w:noWrap/>
            <w:vAlign w:val="center"/>
            <w:hideMark/>
          </w:tcPr>
          <w:p w14:paraId="59A86CC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12.31</w:t>
            </w:r>
          </w:p>
        </w:tc>
        <w:tc>
          <w:tcPr>
            <w:tcW w:w="957" w:type="pct"/>
            <w:tcBorders>
              <w:top w:val="nil"/>
              <w:left w:val="nil"/>
              <w:bottom w:val="nil"/>
              <w:right w:val="nil"/>
            </w:tcBorders>
            <w:noWrap/>
            <w:vAlign w:val="center"/>
            <w:hideMark/>
          </w:tcPr>
          <w:p w14:paraId="2D61D0AE"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29.83</w:t>
            </w:r>
          </w:p>
        </w:tc>
        <w:tc>
          <w:tcPr>
            <w:tcW w:w="616" w:type="pct"/>
            <w:tcBorders>
              <w:top w:val="nil"/>
              <w:left w:val="nil"/>
              <w:bottom w:val="nil"/>
              <w:right w:val="nil"/>
            </w:tcBorders>
            <w:noWrap/>
            <w:vAlign w:val="center"/>
            <w:hideMark/>
          </w:tcPr>
          <w:p w14:paraId="1C8F7A81"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0.005</w:t>
            </w:r>
          </w:p>
        </w:tc>
      </w:tr>
      <w:tr w:rsidR="00120B4F" w:rsidRPr="00BE5472" w14:paraId="1CB77B17" w14:textId="77777777" w:rsidTr="003C2F5B">
        <w:trPr>
          <w:trHeight w:val="315"/>
        </w:trPr>
        <w:tc>
          <w:tcPr>
            <w:tcW w:w="2002" w:type="pct"/>
            <w:tcBorders>
              <w:top w:val="nil"/>
              <w:left w:val="nil"/>
              <w:bottom w:val="nil"/>
              <w:right w:val="nil"/>
            </w:tcBorders>
            <w:noWrap/>
            <w:vAlign w:val="bottom"/>
            <w:hideMark/>
          </w:tcPr>
          <w:p w14:paraId="1A2944C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3C412DF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-0.49</w:t>
            </w:r>
          </w:p>
        </w:tc>
        <w:tc>
          <w:tcPr>
            <w:tcW w:w="903" w:type="pct"/>
            <w:tcBorders>
              <w:top w:val="nil"/>
              <w:left w:val="nil"/>
              <w:bottom w:val="nil"/>
              <w:right w:val="nil"/>
            </w:tcBorders>
            <w:noWrap/>
            <w:vAlign w:val="center"/>
            <w:hideMark/>
          </w:tcPr>
          <w:p w14:paraId="2B8D06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-5.99</w:t>
            </w:r>
          </w:p>
        </w:tc>
        <w:tc>
          <w:tcPr>
            <w:tcW w:w="957" w:type="pct"/>
            <w:tcBorders>
              <w:top w:val="nil"/>
              <w:left w:val="nil"/>
              <w:bottom w:val="nil"/>
              <w:right w:val="nil"/>
            </w:tcBorders>
            <w:noWrap/>
            <w:vAlign w:val="center"/>
            <w:hideMark/>
          </w:tcPr>
          <w:p w14:paraId="5C49633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5.01</w:t>
            </w:r>
          </w:p>
        </w:tc>
        <w:tc>
          <w:tcPr>
            <w:tcW w:w="616" w:type="pct"/>
            <w:tcBorders>
              <w:top w:val="nil"/>
              <w:left w:val="nil"/>
              <w:bottom w:val="nil"/>
              <w:right w:val="nil"/>
            </w:tcBorders>
            <w:noWrap/>
            <w:vAlign w:val="center"/>
            <w:hideMark/>
          </w:tcPr>
          <w:p w14:paraId="0670494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0.867</w:t>
            </w:r>
          </w:p>
        </w:tc>
      </w:tr>
      <w:tr w:rsidR="00120B4F" w:rsidRPr="00BE5472" w14:paraId="347712A7" w14:textId="77777777" w:rsidTr="003C2F5B">
        <w:trPr>
          <w:trHeight w:val="315"/>
        </w:trPr>
        <w:tc>
          <w:tcPr>
            <w:tcW w:w="2002" w:type="pct"/>
            <w:tcBorders>
              <w:top w:val="nil"/>
              <w:left w:val="nil"/>
              <w:bottom w:val="nil"/>
              <w:right w:val="nil"/>
            </w:tcBorders>
            <w:noWrap/>
            <w:vAlign w:val="bottom"/>
            <w:hideMark/>
          </w:tcPr>
          <w:p w14:paraId="45F9DC7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1D8BF3D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-0.19</w:t>
            </w:r>
          </w:p>
        </w:tc>
        <w:tc>
          <w:tcPr>
            <w:tcW w:w="903" w:type="pct"/>
            <w:tcBorders>
              <w:top w:val="nil"/>
              <w:left w:val="nil"/>
              <w:bottom w:val="nil"/>
              <w:right w:val="nil"/>
            </w:tcBorders>
            <w:noWrap/>
            <w:vAlign w:val="center"/>
            <w:hideMark/>
          </w:tcPr>
          <w:p w14:paraId="1D1719F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-0.55</w:t>
            </w:r>
          </w:p>
        </w:tc>
        <w:tc>
          <w:tcPr>
            <w:tcW w:w="957" w:type="pct"/>
            <w:tcBorders>
              <w:top w:val="nil"/>
              <w:left w:val="nil"/>
              <w:bottom w:val="nil"/>
              <w:right w:val="nil"/>
            </w:tcBorders>
            <w:noWrap/>
            <w:vAlign w:val="center"/>
            <w:hideMark/>
          </w:tcPr>
          <w:p w14:paraId="1A4BC07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0.17</w:t>
            </w:r>
          </w:p>
        </w:tc>
        <w:tc>
          <w:tcPr>
            <w:tcW w:w="616" w:type="pct"/>
            <w:tcBorders>
              <w:top w:val="nil"/>
              <w:left w:val="nil"/>
              <w:bottom w:val="nil"/>
              <w:right w:val="nil"/>
            </w:tcBorders>
            <w:noWrap/>
            <w:vAlign w:val="center"/>
            <w:hideMark/>
          </w:tcPr>
          <w:p w14:paraId="6722933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0.297</w:t>
            </w:r>
          </w:p>
        </w:tc>
      </w:tr>
      <w:tr w:rsidR="00120B4F" w:rsidRPr="00BE5472" w14:paraId="39CDE5C3" w14:textId="77777777" w:rsidTr="003C2F5B">
        <w:trPr>
          <w:trHeight w:val="315"/>
        </w:trPr>
        <w:tc>
          <w:tcPr>
            <w:tcW w:w="2002" w:type="pct"/>
            <w:tcBorders>
              <w:top w:val="single" w:sz="4" w:space="0" w:color="auto"/>
              <w:left w:val="nil"/>
              <w:bottom w:val="nil"/>
              <w:right w:val="nil"/>
            </w:tcBorders>
            <w:noWrap/>
            <w:vAlign w:val="bottom"/>
            <w:hideMark/>
          </w:tcPr>
          <w:p w14:paraId="571370C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1FDB440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0.88</w:t>
            </w:r>
          </w:p>
        </w:tc>
      </w:tr>
      <w:tr w:rsidR="00120B4F" w:rsidRPr="00BE5472" w14:paraId="6476FB7F" w14:textId="77777777" w:rsidTr="003C2F5B">
        <w:trPr>
          <w:trHeight w:val="315"/>
        </w:trPr>
        <w:tc>
          <w:tcPr>
            <w:tcW w:w="2002" w:type="pct"/>
            <w:tcBorders>
              <w:top w:val="nil"/>
              <w:left w:val="nil"/>
              <w:bottom w:val="nil"/>
              <w:right w:val="nil"/>
            </w:tcBorders>
            <w:noWrap/>
            <w:vAlign w:val="bottom"/>
            <w:hideMark/>
          </w:tcPr>
          <w:p w14:paraId="2AF4312C"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750F3BD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0.70</w:t>
            </w:r>
          </w:p>
        </w:tc>
      </w:tr>
      <w:tr w:rsidR="00120B4F" w:rsidRPr="00BE5472" w14:paraId="3358AAFB" w14:textId="77777777" w:rsidTr="003C2F5B">
        <w:trPr>
          <w:trHeight w:val="315"/>
        </w:trPr>
        <w:tc>
          <w:tcPr>
            <w:tcW w:w="2002" w:type="pct"/>
            <w:tcBorders>
              <w:top w:val="nil"/>
              <w:left w:val="nil"/>
              <w:bottom w:val="nil"/>
              <w:right w:val="nil"/>
            </w:tcBorders>
            <w:noWrap/>
            <w:vAlign w:val="bottom"/>
            <w:hideMark/>
          </w:tcPr>
          <w:p w14:paraId="439B1C11"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3090855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0.60</w:t>
            </w:r>
          </w:p>
        </w:tc>
      </w:tr>
      <w:tr w:rsidR="00120B4F" w:rsidRPr="00BE5472" w14:paraId="336CF2AE" w14:textId="77777777" w:rsidTr="003C2F5B">
        <w:trPr>
          <w:trHeight w:val="315"/>
        </w:trPr>
        <w:tc>
          <w:tcPr>
            <w:tcW w:w="2002" w:type="pct"/>
            <w:tcBorders>
              <w:top w:val="nil"/>
              <w:left w:val="nil"/>
              <w:bottom w:val="nil"/>
              <w:right w:val="nil"/>
            </w:tcBorders>
            <w:noWrap/>
            <w:vAlign w:val="bottom"/>
            <w:hideMark/>
          </w:tcPr>
          <w:p w14:paraId="6BA43E7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16FE436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0ECE8C03" w14:textId="77777777" w:rsidTr="003C2F5B">
        <w:trPr>
          <w:trHeight w:val="315"/>
        </w:trPr>
        <w:tc>
          <w:tcPr>
            <w:tcW w:w="2002" w:type="pct"/>
            <w:tcBorders>
              <w:top w:val="nil"/>
              <w:left w:val="nil"/>
              <w:bottom w:val="single" w:sz="4" w:space="0" w:color="auto"/>
              <w:right w:val="nil"/>
            </w:tcBorders>
            <w:noWrap/>
            <w:vAlign w:val="bottom"/>
            <w:hideMark/>
          </w:tcPr>
          <w:p w14:paraId="75A6C763"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1A3C1A6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24DDFC59" w14:textId="08698236"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7326B114" w14:textId="3129D176"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tržišni udio između poduzeća koja su prošla proces preuzimanja drugog poduzeća i onih koji to nisu (B = -0.49,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[-5.99, 5.01], p = .867). Nije utvrđen ni statistički značajan vremenski trend (B = -0.15,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[-0.33, 0.03], p = .110), kao ni statistički značajna interakcija između tipa poduzeća i vremenskog trenda (B = -0.19,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[-0.55, 0.17], p = .297).</w:t>
      </w:r>
    </w:p>
    <w:p w14:paraId="1C605999" w14:textId="77777777" w:rsidR="008274F8" w:rsidRPr="00BE5472" w:rsidRDefault="008274F8" w:rsidP="008274F8">
      <w:pPr>
        <w:ind w:right="4"/>
        <w:rPr>
          <w:rFonts w:ascii="Times New Roman" w:hAnsi="Times New Roman" w:cs="Times New Roman"/>
          <w:b/>
          <w:bCs/>
          <w:sz w:val="24"/>
          <w:szCs w:val="24"/>
        </w:rPr>
        <w:sectPr w:rsidR="008274F8" w:rsidRPr="00BE5472" w:rsidSect="00D63A8E">
          <w:pgSz w:w="12240" w:h="15840"/>
          <w:pgMar w:top="1440" w:right="1440" w:bottom="1440" w:left="1440" w:header="708" w:footer="708" w:gutter="0"/>
          <w:cols w:space="708"/>
          <w:docGrid w:linePitch="360"/>
        </w:sectPr>
      </w:pPr>
      <w:bookmarkStart w:id="258" w:name="_Toc182495693"/>
    </w:p>
    <w:p w14:paraId="0BBBC47D" w14:textId="19BB436B" w:rsidR="008274F8" w:rsidRPr="00BE5472" w:rsidRDefault="00120B4F" w:rsidP="008274F8">
      <w:pPr>
        <w:ind w:right="4"/>
        <w:rPr>
          <w:rFonts w:ascii="Times New Roman" w:hAnsi="Times New Roman" w:cs="Times New Roman"/>
          <w:b/>
          <w:bCs/>
          <w:sz w:val="24"/>
          <w:szCs w:val="24"/>
        </w:rPr>
      </w:pPr>
      <w:r w:rsidRPr="00BE5472">
        <w:rPr>
          <w:rFonts w:ascii="Times New Roman" w:hAnsi="Times New Roman" w:cs="Times New Roman"/>
          <w:b/>
          <w:bCs/>
          <w:sz w:val="24"/>
          <w:szCs w:val="24"/>
        </w:rPr>
        <w:lastRenderedPageBreak/>
        <w:t>MVA</w:t>
      </w:r>
      <w:bookmarkEnd w:id="258"/>
      <w:r w:rsidRPr="00BE5472">
        <w:rPr>
          <w:rFonts w:ascii="Times New Roman" w:hAnsi="Times New Roman" w:cs="Times New Roman"/>
          <w:b/>
          <w:bCs/>
          <w:sz w:val="24"/>
          <w:szCs w:val="24"/>
        </w:rPr>
        <w:t xml:space="preserve"> </w:t>
      </w:r>
    </w:p>
    <w:p w14:paraId="7BB9F3C9" w14:textId="47B5F930" w:rsidR="00120B4F" w:rsidRPr="00BE5472" w:rsidRDefault="00120B4F" w:rsidP="00127A4E">
      <w:pPr>
        <w:spacing w:line="360" w:lineRule="auto"/>
        <w:ind w:right="6"/>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U </w:t>
      </w:r>
      <w:r w:rsidR="00127A4E">
        <w:rPr>
          <w:rFonts w:ascii="Times New Roman" w:hAnsi="Times New Roman" w:cs="Times New Roman"/>
          <w:kern w:val="2"/>
          <w:sz w:val="24"/>
          <w14:ligatures w14:val="standardContextual"/>
        </w:rPr>
        <w:t>Tablici</w:t>
      </w:r>
      <w:r w:rsidRPr="00BE5472">
        <w:rPr>
          <w:rFonts w:ascii="Times New Roman" w:hAnsi="Times New Roman" w:cs="Times New Roman"/>
          <w:kern w:val="2"/>
          <w:sz w:val="24"/>
          <w14:ligatures w14:val="standardContextual"/>
        </w:rPr>
        <w:t xml:space="preserve"> </w:t>
      </w:r>
      <w:r w:rsidR="00127A4E">
        <w:rPr>
          <w:rFonts w:ascii="Times New Roman" w:hAnsi="Times New Roman" w:cs="Times New Roman"/>
          <w:kern w:val="2"/>
          <w:sz w:val="24"/>
          <w14:ligatures w14:val="standardContextual"/>
        </w:rPr>
        <w:t>71</w:t>
      </w:r>
      <w:r w:rsidRPr="00BE5472">
        <w:rPr>
          <w:rFonts w:ascii="Times New Roman" w:hAnsi="Times New Roman" w:cs="Times New Roman"/>
          <w:kern w:val="2"/>
          <w:sz w:val="24"/>
          <w14:ligatures w14:val="standardContextual"/>
        </w:rPr>
        <w:t xml:space="preserve"> prikazani su rezultati testiranja razlike u visini pokazatelja MVA</w:t>
      </w:r>
      <w:r w:rsidR="00DE3CE4" w:rsidRPr="00BE5472">
        <w:rPr>
          <w:rFonts w:ascii="Times New Roman" w:hAnsi="Times New Roman" w:cs="Times New Roman"/>
          <w:kern w:val="2"/>
          <w:sz w:val="24"/>
          <w14:ligatures w14:val="standardContextual"/>
        </w:rPr>
        <w:t>-e</w:t>
      </w:r>
      <w:r w:rsidRPr="00BE5472">
        <w:rPr>
          <w:rFonts w:ascii="Times New Roman" w:hAnsi="Times New Roman" w:cs="Times New Roman"/>
          <w:kern w:val="2"/>
          <w:sz w:val="24"/>
          <w14:ligatures w14:val="standardContextual"/>
        </w:rPr>
        <w:t xml:space="preserve"> između poduzeća koja su prošla proces preuzimanja drugog poduzeća i onih koji to nisu.</w:t>
      </w:r>
    </w:p>
    <w:p w14:paraId="27CA6BFE" w14:textId="1A730851" w:rsidR="00120B4F" w:rsidRPr="00044BF6" w:rsidRDefault="00044BF6" w:rsidP="00044BF6">
      <w:pPr>
        <w:pStyle w:val="Caption"/>
        <w:rPr>
          <w:rFonts w:ascii="Times New Roman" w:hAnsi="Times New Roman" w:cs="Times New Roman"/>
          <w:kern w:val="2"/>
          <w:sz w:val="24"/>
          <w:szCs w:val="24"/>
          <w14:ligatures w14:val="standardContextual"/>
        </w:rPr>
      </w:pPr>
      <w:bookmarkStart w:id="259" w:name="_Toc241865265"/>
      <w:r w:rsidRPr="00044BF6">
        <w:rPr>
          <w:rFonts w:ascii="Times New Roman" w:hAnsi="Times New Roman" w:cs="Times New Roman"/>
          <w:sz w:val="24"/>
          <w:szCs w:val="24"/>
        </w:rPr>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Pr>
          <w:rFonts w:ascii="Times New Roman" w:hAnsi="Times New Roman" w:cs="Times New Roman"/>
          <w:noProof/>
          <w:sz w:val="24"/>
          <w:szCs w:val="24"/>
        </w:rPr>
        <w:t>71</w:t>
      </w:r>
      <w:r w:rsidRPr="00044BF6">
        <w:rPr>
          <w:rFonts w:ascii="Times New Roman" w:hAnsi="Times New Roman" w:cs="Times New Roman"/>
          <w:sz w:val="24"/>
          <w:szCs w:val="24"/>
        </w:rPr>
        <w:fldChar w:fldCharType="end"/>
      </w:r>
      <w:r w:rsidR="00D83A34" w:rsidRPr="00044BF6">
        <w:rPr>
          <w:rFonts w:ascii="Times New Roman" w:hAnsi="Times New Roman" w:cs="Times New Roman"/>
          <w:kern w:val="2"/>
          <w:sz w:val="24"/>
          <w:szCs w:val="24"/>
          <w14:ligatures w14:val="standardContextual"/>
        </w:rPr>
        <w:t>:</w:t>
      </w:r>
      <w:r w:rsidR="00120B4F" w:rsidRPr="00044BF6">
        <w:rPr>
          <w:rFonts w:ascii="Times New Roman" w:hAnsi="Times New Roman" w:cs="Times New Roman"/>
          <w:kern w:val="2"/>
          <w:sz w:val="24"/>
          <w:szCs w:val="24"/>
          <w14:ligatures w14:val="standardContextual"/>
        </w:rPr>
        <w:t xml:space="preserve"> Testiranje razlike u MVA</w:t>
      </w:r>
      <w:r w:rsidR="00DE3CE4" w:rsidRPr="00044BF6">
        <w:rPr>
          <w:rFonts w:ascii="Times New Roman" w:hAnsi="Times New Roman" w:cs="Times New Roman"/>
          <w:kern w:val="2"/>
          <w:sz w:val="24"/>
          <w:szCs w:val="24"/>
          <w14:ligatures w14:val="standardContextual"/>
        </w:rPr>
        <w:t>-i</w:t>
      </w:r>
      <w:r w:rsidR="00120B4F" w:rsidRPr="00044BF6">
        <w:rPr>
          <w:rFonts w:ascii="Times New Roman" w:hAnsi="Times New Roman" w:cs="Times New Roman"/>
          <w:kern w:val="2"/>
          <w:sz w:val="24"/>
          <w:szCs w:val="24"/>
          <w14:ligatures w14:val="standardContextual"/>
        </w:rPr>
        <w:t xml:space="preserve"> između poduzeća preuzimatelja i nepreuzimatelja</w:t>
      </w:r>
      <w:bookmarkEnd w:id="259"/>
    </w:p>
    <w:tbl>
      <w:tblPr>
        <w:tblW w:w="5000" w:type="pct"/>
        <w:tblLook w:val="04A0" w:firstRow="1" w:lastRow="0" w:firstColumn="1" w:lastColumn="0" w:noHBand="0" w:noVBand="1"/>
      </w:tblPr>
      <w:tblGrid>
        <w:gridCol w:w="3748"/>
        <w:gridCol w:w="977"/>
        <w:gridCol w:w="1690"/>
        <w:gridCol w:w="1792"/>
        <w:gridCol w:w="1153"/>
      </w:tblGrid>
      <w:tr w:rsidR="00120B4F" w:rsidRPr="00BE5472" w14:paraId="114E9393" w14:textId="77777777" w:rsidTr="003C2F5B">
        <w:trPr>
          <w:trHeight w:val="315"/>
        </w:trPr>
        <w:tc>
          <w:tcPr>
            <w:tcW w:w="2002" w:type="pct"/>
            <w:tcBorders>
              <w:top w:val="nil"/>
              <w:left w:val="nil"/>
              <w:bottom w:val="nil"/>
              <w:right w:val="nil"/>
            </w:tcBorders>
            <w:noWrap/>
            <w:vAlign w:val="bottom"/>
            <w:hideMark/>
          </w:tcPr>
          <w:p w14:paraId="1B9DC06C" w14:textId="77777777" w:rsidR="00120B4F" w:rsidRPr="00BE5472" w:rsidRDefault="00120B4F" w:rsidP="003C2F5B">
            <w:pPr>
              <w:spacing w:after="0" w:line="360" w:lineRule="auto"/>
              <w:rPr>
                <w:rFonts w:ascii="Times New Roman" w:eastAsia="Times New Roman" w:hAnsi="Times New Roman" w:cs="Times New Roman"/>
                <w:sz w:val="24"/>
                <w:szCs w:val="24"/>
                <w:lang w:eastAsia="hr-HR"/>
              </w:rPr>
            </w:pPr>
          </w:p>
        </w:tc>
        <w:tc>
          <w:tcPr>
            <w:tcW w:w="522" w:type="pct"/>
            <w:tcBorders>
              <w:top w:val="single" w:sz="4" w:space="0" w:color="auto"/>
              <w:left w:val="nil"/>
              <w:bottom w:val="nil"/>
              <w:right w:val="nil"/>
            </w:tcBorders>
            <w:noWrap/>
            <w:vAlign w:val="center"/>
            <w:hideMark/>
          </w:tcPr>
          <w:p w14:paraId="0DEBBE3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c>
          <w:tcPr>
            <w:tcW w:w="1860" w:type="pct"/>
            <w:gridSpan w:val="2"/>
            <w:tcBorders>
              <w:top w:val="single" w:sz="4" w:space="0" w:color="auto"/>
              <w:left w:val="nil"/>
              <w:bottom w:val="nil"/>
              <w:right w:val="nil"/>
            </w:tcBorders>
            <w:noWrap/>
            <w:vAlign w:val="center"/>
            <w:hideMark/>
          </w:tcPr>
          <w:p w14:paraId="27ECE254" w14:textId="1E81099D"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w:t>
            </w:r>
            <w:r w:rsidR="00DE3CE4" w:rsidRPr="00BE5472">
              <w:rPr>
                <w:rFonts w:ascii="Times New Roman" w:eastAsia="Times New Roman" w:hAnsi="Times New Roman" w:cs="Times New Roman"/>
                <w:color w:val="000000"/>
                <w:sz w:val="24"/>
                <w:szCs w:val="24"/>
                <w:lang w:eastAsia="hr-HR"/>
              </w:rPr>
              <w:t xml:space="preserve"> </w:t>
            </w:r>
            <w:r w:rsidRPr="00BE5472">
              <w:rPr>
                <w:rFonts w:ascii="Times New Roman" w:eastAsia="Times New Roman" w:hAnsi="Times New Roman" w:cs="Times New Roman"/>
                <w:color w:val="000000"/>
                <w:sz w:val="24"/>
                <w:szCs w:val="24"/>
                <w:lang w:eastAsia="hr-HR"/>
              </w:rPr>
              <w:t>% CI</w:t>
            </w:r>
          </w:p>
        </w:tc>
        <w:tc>
          <w:tcPr>
            <w:tcW w:w="616" w:type="pct"/>
            <w:tcBorders>
              <w:top w:val="single" w:sz="4" w:space="0" w:color="auto"/>
              <w:left w:val="nil"/>
              <w:bottom w:val="nil"/>
              <w:right w:val="nil"/>
            </w:tcBorders>
            <w:noWrap/>
            <w:vAlign w:val="center"/>
            <w:hideMark/>
          </w:tcPr>
          <w:p w14:paraId="45B379A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 </w:t>
            </w:r>
          </w:p>
        </w:tc>
      </w:tr>
      <w:tr w:rsidR="00120B4F" w:rsidRPr="00BE5472" w14:paraId="5737D9E3" w14:textId="77777777" w:rsidTr="003C2F5B">
        <w:trPr>
          <w:trHeight w:val="315"/>
        </w:trPr>
        <w:tc>
          <w:tcPr>
            <w:tcW w:w="2002" w:type="pct"/>
            <w:tcBorders>
              <w:top w:val="single" w:sz="4" w:space="0" w:color="auto"/>
              <w:left w:val="nil"/>
              <w:bottom w:val="single" w:sz="4" w:space="0" w:color="auto"/>
              <w:right w:val="nil"/>
            </w:tcBorders>
            <w:noWrap/>
            <w:vAlign w:val="bottom"/>
            <w:hideMark/>
          </w:tcPr>
          <w:p w14:paraId="0E801FB5"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Prediktor</w:t>
            </w:r>
          </w:p>
        </w:tc>
        <w:tc>
          <w:tcPr>
            <w:tcW w:w="522" w:type="pct"/>
            <w:tcBorders>
              <w:top w:val="single" w:sz="4" w:space="0" w:color="auto"/>
              <w:left w:val="nil"/>
              <w:bottom w:val="single" w:sz="4" w:space="0" w:color="auto"/>
              <w:right w:val="nil"/>
            </w:tcBorders>
            <w:noWrap/>
            <w:vAlign w:val="center"/>
            <w:hideMark/>
          </w:tcPr>
          <w:p w14:paraId="644D2A29"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B</w:t>
            </w:r>
          </w:p>
        </w:tc>
        <w:tc>
          <w:tcPr>
            <w:tcW w:w="903" w:type="pct"/>
            <w:tcBorders>
              <w:top w:val="single" w:sz="4" w:space="0" w:color="auto"/>
              <w:left w:val="nil"/>
              <w:bottom w:val="single" w:sz="4" w:space="0" w:color="auto"/>
              <w:right w:val="nil"/>
            </w:tcBorders>
            <w:noWrap/>
            <w:vAlign w:val="center"/>
            <w:hideMark/>
          </w:tcPr>
          <w:p w14:paraId="7F5744B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Donja granica</w:t>
            </w:r>
          </w:p>
        </w:tc>
        <w:tc>
          <w:tcPr>
            <w:tcW w:w="957" w:type="pct"/>
            <w:tcBorders>
              <w:top w:val="single" w:sz="4" w:space="0" w:color="auto"/>
              <w:left w:val="nil"/>
              <w:bottom w:val="single" w:sz="4" w:space="0" w:color="auto"/>
              <w:right w:val="nil"/>
            </w:tcBorders>
            <w:noWrap/>
            <w:vAlign w:val="center"/>
            <w:hideMark/>
          </w:tcPr>
          <w:p w14:paraId="51F3971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Gornja granica</w:t>
            </w:r>
          </w:p>
        </w:tc>
        <w:tc>
          <w:tcPr>
            <w:tcW w:w="616" w:type="pct"/>
            <w:tcBorders>
              <w:top w:val="single" w:sz="4" w:space="0" w:color="auto"/>
              <w:left w:val="nil"/>
              <w:bottom w:val="single" w:sz="4" w:space="0" w:color="auto"/>
              <w:right w:val="nil"/>
            </w:tcBorders>
            <w:noWrap/>
            <w:vAlign w:val="center"/>
            <w:hideMark/>
          </w:tcPr>
          <w:p w14:paraId="08F918C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w:t>
            </w:r>
          </w:p>
        </w:tc>
      </w:tr>
      <w:tr w:rsidR="00120B4F" w:rsidRPr="00BE5472" w14:paraId="12D35256" w14:textId="77777777" w:rsidTr="003C2F5B">
        <w:trPr>
          <w:trHeight w:val="315"/>
        </w:trPr>
        <w:tc>
          <w:tcPr>
            <w:tcW w:w="2002" w:type="pct"/>
            <w:tcBorders>
              <w:top w:val="nil"/>
              <w:left w:val="nil"/>
              <w:bottom w:val="nil"/>
              <w:right w:val="nil"/>
            </w:tcBorders>
            <w:noWrap/>
            <w:vAlign w:val="bottom"/>
            <w:hideMark/>
          </w:tcPr>
          <w:p w14:paraId="14AECCA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Odsječak</w:t>
            </w:r>
          </w:p>
        </w:tc>
        <w:tc>
          <w:tcPr>
            <w:tcW w:w="522" w:type="pct"/>
            <w:tcBorders>
              <w:top w:val="nil"/>
              <w:left w:val="nil"/>
              <w:bottom w:val="nil"/>
              <w:right w:val="nil"/>
            </w:tcBorders>
            <w:noWrap/>
            <w:vAlign w:val="center"/>
            <w:hideMark/>
          </w:tcPr>
          <w:p w14:paraId="10ED1D4D"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2.84</w:t>
            </w:r>
          </w:p>
        </w:tc>
        <w:tc>
          <w:tcPr>
            <w:tcW w:w="903" w:type="pct"/>
            <w:tcBorders>
              <w:top w:val="nil"/>
              <w:left w:val="nil"/>
              <w:bottom w:val="nil"/>
              <w:right w:val="nil"/>
            </w:tcBorders>
            <w:noWrap/>
            <w:vAlign w:val="center"/>
            <w:hideMark/>
          </w:tcPr>
          <w:p w14:paraId="7389BA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-2.13</w:t>
            </w:r>
          </w:p>
        </w:tc>
        <w:tc>
          <w:tcPr>
            <w:tcW w:w="957" w:type="pct"/>
            <w:tcBorders>
              <w:top w:val="nil"/>
              <w:left w:val="nil"/>
              <w:bottom w:val="nil"/>
              <w:right w:val="nil"/>
            </w:tcBorders>
            <w:noWrap/>
            <w:vAlign w:val="center"/>
            <w:hideMark/>
          </w:tcPr>
          <w:p w14:paraId="05B790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7.81</w:t>
            </w:r>
          </w:p>
        </w:tc>
        <w:tc>
          <w:tcPr>
            <w:tcW w:w="616" w:type="pct"/>
            <w:tcBorders>
              <w:top w:val="nil"/>
              <w:left w:val="nil"/>
              <w:bottom w:val="nil"/>
              <w:right w:val="nil"/>
            </w:tcBorders>
            <w:noWrap/>
            <w:vAlign w:val="center"/>
            <w:hideMark/>
          </w:tcPr>
          <w:p w14:paraId="6E356E3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0.307</w:t>
            </w:r>
          </w:p>
        </w:tc>
      </w:tr>
      <w:tr w:rsidR="00120B4F" w:rsidRPr="00BE5472" w14:paraId="0C866499" w14:textId="77777777" w:rsidTr="003C2F5B">
        <w:trPr>
          <w:trHeight w:val="315"/>
        </w:trPr>
        <w:tc>
          <w:tcPr>
            <w:tcW w:w="2002" w:type="pct"/>
            <w:tcBorders>
              <w:top w:val="nil"/>
              <w:left w:val="nil"/>
              <w:bottom w:val="nil"/>
              <w:right w:val="nil"/>
            </w:tcBorders>
            <w:noWrap/>
            <w:vAlign w:val="bottom"/>
            <w:hideMark/>
          </w:tcPr>
          <w:p w14:paraId="500A730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w:t>
            </w:r>
          </w:p>
        </w:tc>
        <w:tc>
          <w:tcPr>
            <w:tcW w:w="522" w:type="pct"/>
            <w:tcBorders>
              <w:top w:val="nil"/>
              <w:left w:val="nil"/>
              <w:bottom w:val="nil"/>
              <w:right w:val="nil"/>
            </w:tcBorders>
            <w:noWrap/>
            <w:vAlign w:val="center"/>
            <w:hideMark/>
          </w:tcPr>
          <w:p w14:paraId="3BEAA4F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903" w:type="pct"/>
            <w:tcBorders>
              <w:top w:val="nil"/>
              <w:left w:val="nil"/>
              <w:bottom w:val="nil"/>
              <w:right w:val="nil"/>
            </w:tcBorders>
            <w:noWrap/>
            <w:vAlign w:val="center"/>
            <w:hideMark/>
          </w:tcPr>
          <w:p w14:paraId="33C742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0.12</w:t>
            </w:r>
          </w:p>
        </w:tc>
        <w:tc>
          <w:tcPr>
            <w:tcW w:w="957" w:type="pct"/>
            <w:tcBorders>
              <w:top w:val="nil"/>
              <w:left w:val="nil"/>
              <w:bottom w:val="nil"/>
              <w:right w:val="nil"/>
            </w:tcBorders>
            <w:noWrap/>
            <w:vAlign w:val="center"/>
            <w:hideMark/>
          </w:tcPr>
          <w:p w14:paraId="7E5550AA"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0.83</w:t>
            </w:r>
          </w:p>
        </w:tc>
        <w:tc>
          <w:tcPr>
            <w:tcW w:w="616" w:type="pct"/>
            <w:tcBorders>
              <w:top w:val="nil"/>
              <w:left w:val="nil"/>
              <w:bottom w:val="nil"/>
              <w:right w:val="nil"/>
            </w:tcBorders>
            <w:noWrap/>
            <w:vAlign w:val="center"/>
            <w:hideMark/>
          </w:tcPr>
          <w:p w14:paraId="2A0492F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0.010</w:t>
            </w:r>
          </w:p>
        </w:tc>
      </w:tr>
      <w:tr w:rsidR="00120B4F" w:rsidRPr="00BE5472" w14:paraId="3E503783" w14:textId="77777777" w:rsidTr="003C2F5B">
        <w:trPr>
          <w:trHeight w:val="315"/>
        </w:trPr>
        <w:tc>
          <w:tcPr>
            <w:tcW w:w="2002" w:type="pct"/>
            <w:tcBorders>
              <w:top w:val="nil"/>
              <w:left w:val="nil"/>
              <w:bottom w:val="nil"/>
              <w:right w:val="nil"/>
            </w:tcBorders>
            <w:noWrap/>
            <w:vAlign w:val="bottom"/>
            <w:hideMark/>
          </w:tcPr>
          <w:p w14:paraId="1ACDFFC6"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Početna vrijednost</w:t>
            </w:r>
          </w:p>
        </w:tc>
        <w:tc>
          <w:tcPr>
            <w:tcW w:w="522" w:type="pct"/>
            <w:tcBorders>
              <w:top w:val="nil"/>
              <w:left w:val="nil"/>
              <w:bottom w:val="nil"/>
              <w:right w:val="nil"/>
            </w:tcBorders>
            <w:noWrap/>
            <w:vAlign w:val="center"/>
            <w:hideMark/>
          </w:tcPr>
          <w:p w14:paraId="6BDA1FA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-0.04</w:t>
            </w:r>
          </w:p>
        </w:tc>
        <w:tc>
          <w:tcPr>
            <w:tcW w:w="903" w:type="pct"/>
            <w:tcBorders>
              <w:top w:val="nil"/>
              <w:left w:val="nil"/>
              <w:bottom w:val="nil"/>
              <w:right w:val="nil"/>
            </w:tcBorders>
            <w:noWrap/>
            <w:vAlign w:val="center"/>
            <w:hideMark/>
          </w:tcPr>
          <w:p w14:paraId="29FC2F0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-1.36</w:t>
            </w:r>
          </w:p>
        </w:tc>
        <w:tc>
          <w:tcPr>
            <w:tcW w:w="957" w:type="pct"/>
            <w:tcBorders>
              <w:top w:val="nil"/>
              <w:left w:val="nil"/>
              <w:bottom w:val="nil"/>
              <w:right w:val="nil"/>
            </w:tcBorders>
            <w:noWrap/>
            <w:vAlign w:val="center"/>
            <w:hideMark/>
          </w:tcPr>
          <w:p w14:paraId="4AA489E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1.28</w:t>
            </w:r>
          </w:p>
        </w:tc>
        <w:tc>
          <w:tcPr>
            <w:tcW w:w="616" w:type="pct"/>
            <w:tcBorders>
              <w:top w:val="nil"/>
              <w:left w:val="nil"/>
              <w:bottom w:val="nil"/>
              <w:right w:val="nil"/>
            </w:tcBorders>
            <w:noWrap/>
            <w:vAlign w:val="center"/>
            <w:hideMark/>
          </w:tcPr>
          <w:p w14:paraId="254AB6B6"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0.956</w:t>
            </w:r>
          </w:p>
        </w:tc>
      </w:tr>
      <w:tr w:rsidR="00120B4F" w:rsidRPr="00BE5472" w14:paraId="63DD6BAB" w14:textId="77777777" w:rsidTr="003C2F5B">
        <w:trPr>
          <w:trHeight w:val="315"/>
        </w:trPr>
        <w:tc>
          <w:tcPr>
            <w:tcW w:w="2002" w:type="pct"/>
            <w:tcBorders>
              <w:top w:val="nil"/>
              <w:left w:val="nil"/>
              <w:bottom w:val="nil"/>
              <w:right w:val="nil"/>
            </w:tcBorders>
            <w:noWrap/>
            <w:vAlign w:val="bottom"/>
            <w:hideMark/>
          </w:tcPr>
          <w:p w14:paraId="266E7CCD"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Tip poduzeća (ref. nepreuzimatelji)</w:t>
            </w:r>
          </w:p>
        </w:tc>
        <w:tc>
          <w:tcPr>
            <w:tcW w:w="522" w:type="pct"/>
            <w:tcBorders>
              <w:top w:val="nil"/>
              <w:left w:val="nil"/>
              <w:bottom w:val="nil"/>
              <w:right w:val="nil"/>
            </w:tcBorders>
            <w:noWrap/>
            <w:vAlign w:val="center"/>
            <w:hideMark/>
          </w:tcPr>
          <w:p w14:paraId="77B680A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-0.48</w:t>
            </w:r>
          </w:p>
        </w:tc>
        <w:tc>
          <w:tcPr>
            <w:tcW w:w="903" w:type="pct"/>
            <w:tcBorders>
              <w:top w:val="nil"/>
              <w:left w:val="nil"/>
              <w:bottom w:val="nil"/>
              <w:right w:val="nil"/>
            </w:tcBorders>
            <w:noWrap/>
            <w:vAlign w:val="center"/>
            <w:hideMark/>
          </w:tcPr>
          <w:p w14:paraId="2F71E7F3"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-10.51</w:t>
            </w:r>
          </w:p>
        </w:tc>
        <w:tc>
          <w:tcPr>
            <w:tcW w:w="957" w:type="pct"/>
            <w:tcBorders>
              <w:top w:val="nil"/>
              <w:left w:val="nil"/>
              <w:bottom w:val="nil"/>
              <w:right w:val="nil"/>
            </w:tcBorders>
            <w:noWrap/>
            <w:vAlign w:val="center"/>
            <w:hideMark/>
          </w:tcPr>
          <w:p w14:paraId="3FDC1D2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9.56</w:t>
            </w:r>
          </w:p>
        </w:tc>
        <w:tc>
          <w:tcPr>
            <w:tcW w:w="616" w:type="pct"/>
            <w:tcBorders>
              <w:top w:val="nil"/>
              <w:left w:val="nil"/>
              <w:bottom w:val="nil"/>
              <w:right w:val="nil"/>
            </w:tcBorders>
            <w:noWrap/>
            <w:vAlign w:val="center"/>
            <w:hideMark/>
          </w:tcPr>
          <w:p w14:paraId="7A56829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0.928</w:t>
            </w:r>
          </w:p>
        </w:tc>
      </w:tr>
      <w:tr w:rsidR="00120B4F" w:rsidRPr="00BE5472" w14:paraId="540289B8" w14:textId="77777777" w:rsidTr="003C2F5B">
        <w:trPr>
          <w:trHeight w:val="315"/>
        </w:trPr>
        <w:tc>
          <w:tcPr>
            <w:tcW w:w="2002" w:type="pct"/>
            <w:tcBorders>
              <w:top w:val="nil"/>
              <w:left w:val="nil"/>
              <w:bottom w:val="nil"/>
              <w:right w:val="nil"/>
            </w:tcBorders>
            <w:noWrap/>
            <w:vAlign w:val="bottom"/>
            <w:hideMark/>
          </w:tcPr>
          <w:p w14:paraId="40786699"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Godina X Tip poduzeća</w:t>
            </w:r>
          </w:p>
        </w:tc>
        <w:tc>
          <w:tcPr>
            <w:tcW w:w="522" w:type="pct"/>
            <w:tcBorders>
              <w:top w:val="nil"/>
              <w:left w:val="nil"/>
              <w:bottom w:val="nil"/>
              <w:right w:val="nil"/>
            </w:tcBorders>
            <w:noWrap/>
            <w:vAlign w:val="center"/>
            <w:hideMark/>
          </w:tcPr>
          <w:p w14:paraId="6604CF80"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w:t>
            </w:r>
          </w:p>
        </w:tc>
        <w:tc>
          <w:tcPr>
            <w:tcW w:w="903" w:type="pct"/>
            <w:tcBorders>
              <w:top w:val="nil"/>
              <w:left w:val="nil"/>
              <w:bottom w:val="nil"/>
              <w:right w:val="nil"/>
            </w:tcBorders>
            <w:noWrap/>
            <w:vAlign w:val="center"/>
            <w:hideMark/>
          </w:tcPr>
          <w:p w14:paraId="61994C1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-0.72</w:t>
            </w:r>
          </w:p>
        </w:tc>
        <w:tc>
          <w:tcPr>
            <w:tcW w:w="957" w:type="pct"/>
            <w:tcBorders>
              <w:top w:val="nil"/>
              <w:left w:val="nil"/>
              <w:bottom w:val="nil"/>
              <w:right w:val="nil"/>
            </w:tcBorders>
            <w:noWrap/>
            <w:vAlign w:val="center"/>
            <w:hideMark/>
          </w:tcPr>
          <w:p w14:paraId="510A2D4F"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0.71</w:t>
            </w:r>
          </w:p>
        </w:tc>
        <w:tc>
          <w:tcPr>
            <w:tcW w:w="616" w:type="pct"/>
            <w:tcBorders>
              <w:top w:val="nil"/>
              <w:left w:val="nil"/>
              <w:bottom w:val="nil"/>
              <w:right w:val="nil"/>
            </w:tcBorders>
            <w:noWrap/>
            <w:vAlign w:val="center"/>
            <w:hideMark/>
          </w:tcPr>
          <w:p w14:paraId="0E7906B2"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0.993</w:t>
            </w:r>
          </w:p>
        </w:tc>
      </w:tr>
      <w:tr w:rsidR="00120B4F" w:rsidRPr="00BE5472" w14:paraId="0E5BA658" w14:textId="77777777" w:rsidTr="003C2F5B">
        <w:trPr>
          <w:trHeight w:val="315"/>
        </w:trPr>
        <w:tc>
          <w:tcPr>
            <w:tcW w:w="2002" w:type="pct"/>
            <w:tcBorders>
              <w:top w:val="single" w:sz="4" w:space="0" w:color="auto"/>
              <w:left w:val="nil"/>
              <w:bottom w:val="nil"/>
              <w:right w:val="nil"/>
            </w:tcBorders>
            <w:noWrap/>
            <w:vAlign w:val="bottom"/>
            <w:hideMark/>
          </w:tcPr>
          <w:p w14:paraId="006A3462"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Kondicionalna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single" w:sz="4" w:space="0" w:color="auto"/>
              <w:left w:val="nil"/>
              <w:bottom w:val="nil"/>
              <w:right w:val="nil"/>
            </w:tcBorders>
            <w:noWrap/>
            <w:vAlign w:val="center"/>
            <w:hideMark/>
          </w:tcPr>
          <w:p w14:paraId="0568539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0.64</w:t>
            </w:r>
          </w:p>
        </w:tc>
      </w:tr>
      <w:tr w:rsidR="00120B4F" w:rsidRPr="00BE5472" w14:paraId="36D02642" w14:textId="77777777" w:rsidTr="003C2F5B">
        <w:trPr>
          <w:trHeight w:val="315"/>
        </w:trPr>
        <w:tc>
          <w:tcPr>
            <w:tcW w:w="2002" w:type="pct"/>
            <w:tcBorders>
              <w:top w:val="nil"/>
              <w:left w:val="nil"/>
              <w:bottom w:val="nil"/>
              <w:right w:val="nil"/>
            </w:tcBorders>
            <w:noWrap/>
            <w:vAlign w:val="bottom"/>
            <w:hideMark/>
          </w:tcPr>
          <w:p w14:paraId="6D093ED0"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Marginalna R</w:t>
            </w:r>
            <w:r w:rsidRPr="00BE5472">
              <w:rPr>
                <w:rFonts w:ascii="Times New Roman" w:eastAsia="Times New Roman" w:hAnsi="Times New Roman" w:cs="Times New Roman"/>
                <w:color w:val="000000"/>
                <w:sz w:val="24"/>
                <w:szCs w:val="24"/>
                <w:vertAlign w:val="superscript"/>
                <w:lang w:eastAsia="hr-HR"/>
              </w:rPr>
              <w:t>2</w:t>
            </w:r>
          </w:p>
        </w:tc>
        <w:tc>
          <w:tcPr>
            <w:tcW w:w="2998" w:type="pct"/>
            <w:gridSpan w:val="4"/>
            <w:tcBorders>
              <w:top w:val="nil"/>
              <w:left w:val="nil"/>
              <w:bottom w:val="nil"/>
              <w:right w:val="nil"/>
            </w:tcBorders>
            <w:noWrap/>
            <w:vAlign w:val="center"/>
            <w:hideMark/>
          </w:tcPr>
          <w:p w14:paraId="16BB9F04"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0.03</w:t>
            </w:r>
          </w:p>
        </w:tc>
      </w:tr>
      <w:tr w:rsidR="00120B4F" w:rsidRPr="00BE5472" w14:paraId="14AED7AD" w14:textId="77777777" w:rsidTr="003C2F5B">
        <w:trPr>
          <w:trHeight w:val="315"/>
        </w:trPr>
        <w:tc>
          <w:tcPr>
            <w:tcW w:w="2002" w:type="pct"/>
            <w:tcBorders>
              <w:top w:val="nil"/>
              <w:left w:val="nil"/>
              <w:bottom w:val="nil"/>
              <w:right w:val="nil"/>
            </w:tcBorders>
            <w:noWrap/>
            <w:vAlign w:val="bottom"/>
            <w:hideMark/>
          </w:tcPr>
          <w:p w14:paraId="6A58889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ICC</w:t>
            </w:r>
          </w:p>
        </w:tc>
        <w:tc>
          <w:tcPr>
            <w:tcW w:w="2998" w:type="pct"/>
            <w:gridSpan w:val="4"/>
            <w:tcBorders>
              <w:top w:val="nil"/>
              <w:left w:val="nil"/>
              <w:bottom w:val="nil"/>
              <w:right w:val="nil"/>
            </w:tcBorders>
            <w:noWrap/>
            <w:vAlign w:val="center"/>
            <w:hideMark/>
          </w:tcPr>
          <w:p w14:paraId="617D0828"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0.63</w:t>
            </w:r>
          </w:p>
        </w:tc>
      </w:tr>
      <w:tr w:rsidR="00120B4F" w:rsidRPr="00BE5472" w14:paraId="47E3A484" w14:textId="77777777" w:rsidTr="003C2F5B">
        <w:trPr>
          <w:trHeight w:val="315"/>
        </w:trPr>
        <w:tc>
          <w:tcPr>
            <w:tcW w:w="2002" w:type="pct"/>
            <w:tcBorders>
              <w:top w:val="nil"/>
              <w:left w:val="nil"/>
              <w:bottom w:val="nil"/>
              <w:right w:val="nil"/>
            </w:tcBorders>
            <w:noWrap/>
            <w:vAlign w:val="bottom"/>
            <w:hideMark/>
          </w:tcPr>
          <w:p w14:paraId="1294C5F7"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 poduzeća</w:t>
            </w:r>
          </w:p>
        </w:tc>
        <w:tc>
          <w:tcPr>
            <w:tcW w:w="2998" w:type="pct"/>
            <w:gridSpan w:val="4"/>
            <w:tcBorders>
              <w:top w:val="nil"/>
              <w:left w:val="nil"/>
              <w:bottom w:val="nil"/>
              <w:right w:val="nil"/>
            </w:tcBorders>
            <w:noWrap/>
            <w:vAlign w:val="center"/>
            <w:hideMark/>
          </w:tcPr>
          <w:p w14:paraId="707B5E75"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w:t>
            </w:r>
          </w:p>
        </w:tc>
      </w:tr>
      <w:tr w:rsidR="00120B4F" w:rsidRPr="00BE5472" w14:paraId="4707DB74" w14:textId="77777777" w:rsidTr="003C2F5B">
        <w:trPr>
          <w:trHeight w:val="315"/>
        </w:trPr>
        <w:tc>
          <w:tcPr>
            <w:tcW w:w="2002" w:type="pct"/>
            <w:tcBorders>
              <w:top w:val="nil"/>
              <w:left w:val="nil"/>
              <w:bottom w:val="single" w:sz="4" w:space="0" w:color="auto"/>
              <w:right w:val="nil"/>
            </w:tcBorders>
            <w:noWrap/>
            <w:vAlign w:val="bottom"/>
            <w:hideMark/>
          </w:tcPr>
          <w:p w14:paraId="032B3918" w14:textId="77777777" w:rsidR="00120B4F" w:rsidRPr="00BE5472" w:rsidRDefault="00120B4F" w:rsidP="003C2F5B">
            <w:pPr>
              <w:spacing w:after="0" w:line="360" w:lineRule="auto"/>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N</w:t>
            </w:r>
          </w:p>
        </w:tc>
        <w:tc>
          <w:tcPr>
            <w:tcW w:w="2998" w:type="pct"/>
            <w:gridSpan w:val="4"/>
            <w:tcBorders>
              <w:top w:val="nil"/>
              <w:left w:val="nil"/>
              <w:bottom w:val="single" w:sz="4" w:space="0" w:color="auto"/>
              <w:right w:val="nil"/>
            </w:tcBorders>
            <w:noWrap/>
            <w:vAlign w:val="center"/>
            <w:hideMark/>
          </w:tcPr>
          <w:p w14:paraId="2C39F8BB" w14:textId="77777777" w:rsidR="00120B4F" w:rsidRPr="00BE5472" w:rsidRDefault="00120B4F" w:rsidP="003C2F5B">
            <w:pPr>
              <w:spacing w:after="0" w:line="360" w:lineRule="auto"/>
              <w:jc w:val="center"/>
              <w:rPr>
                <w:rFonts w:ascii="Times New Roman" w:eastAsia="Times New Roman" w:hAnsi="Times New Roman" w:cs="Times New Roman"/>
                <w:color w:val="000000"/>
                <w:sz w:val="24"/>
                <w:szCs w:val="24"/>
                <w:lang w:eastAsia="hr-HR"/>
              </w:rPr>
            </w:pPr>
            <w:r w:rsidRPr="00BE5472">
              <w:rPr>
                <w:rFonts w:ascii="Times New Roman" w:eastAsia="Times New Roman" w:hAnsi="Times New Roman" w:cs="Times New Roman"/>
                <w:color w:val="000000"/>
                <w:sz w:val="24"/>
                <w:szCs w:val="24"/>
                <w:lang w:eastAsia="hr-HR"/>
              </w:rPr>
              <w:t>88</w:t>
            </w:r>
          </w:p>
        </w:tc>
      </w:tr>
    </w:tbl>
    <w:p w14:paraId="137AC07E" w14:textId="48E59337"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B – Nestandardizirani regresijski koeficijent;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%-tni interval pouzdanosti; p- p vrijednost; ICC- intraklasni koeficijent korelacije; N- ukupna veličina uzorka</w:t>
      </w:r>
    </w:p>
    <w:p w14:paraId="673762F6" w14:textId="005AF219"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Pomoću modela višerazinske linearne regresijske analize utvrđeno je da ne postoji statistički značajna razlika u pokazatelju MVA</w:t>
      </w:r>
      <w:r w:rsidR="00DE3CE4" w:rsidRPr="00BE5472">
        <w:rPr>
          <w:rFonts w:ascii="Times New Roman" w:hAnsi="Times New Roman" w:cs="Times New Roman"/>
          <w:kern w:val="2"/>
          <w:sz w:val="24"/>
          <w14:ligatures w14:val="standardContextual"/>
        </w:rPr>
        <w:t>-i</w:t>
      </w:r>
      <w:r w:rsidRPr="00BE5472">
        <w:rPr>
          <w:rFonts w:ascii="Times New Roman" w:hAnsi="Times New Roman" w:cs="Times New Roman"/>
          <w:kern w:val="2"/>
          <w:sz w:val="24"/>
          <w14:ligatures w14:val="standardContextual"/>
        </w:rPr>
        <w:t xml:space="preserve"> između poduzeća koja su prošla proces preuzimanja drugog poduzeća i onih koji to nisu (B = -0.48,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[-10.51, 9.56], p = .928). No, utvrđen je </w:t>
      </w:r>
      <w:r w:rsidRPr="00BE5472">
        <w:rPr>
          <w:rFonts w:ascii="Times New Roman" w:hAnsi="Times New Roman" w:cs="Times New Roman"/>
          <w:b/>
          <w:bCs/>
          <w:kern w:val="2"/>
          <w:sz w:val="24"/>
          <w14:ligatures w14:val="standardContextual"/>
        </w:rPr>
        <w:t>statistički značajan vremenski trend</w:t>
      </w:r>
      <w:r w:rsidRPr="00BE5472">
        <w:rPr>
          <w:rFonts w:ascii="Times New Roman" w:hAnsi="Times New Roman" w:cs="Times New Roman"/>
          <w:kern w:val="2"/>
          <w:sz w:val="24"/>
          <w14:ligatures w14:val="standardContextual"/>
        </w:rPr>
        <w:t xml:space="preserve"> (B = 0.48,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xml:space="preserve">%  CI [-0.33, 0.03], p = .110), što označava </w:t>
      </w:r>
      <w:r w:rsidRPr="00BE5472">
        <w:rPr>
          <w:rFonts w:ascii="Times New Roman" w:hAnsi="Times New Roman" w:cs="Times New Roman"/>
          <w:b/>
          <w:bCs/>
          <w:kern w:val="2"/>
          <w:sz w:val="24"/>
          <w14:ligatures w14:val="standardContextual"/>
        </w:rPr>
        <w:t>prosječan porast od približno 62</w:t>
      </w:r>
      <w:r w:rsidR="00DE3CE4" w:rsidRPr="00BE5472">
        <w:rPr>
          <w:rFonts w:ascii="Times New Roman" w:hAnsi="Times New Roman" w:cs="Times New Roman"/>
          <w:b/>
          <w:bCs/>
          <w:kern w:val="2"/>
          <w:sz w:val="24"/>
          <w14:ligatures w14:val="standardContextual"/>
        </w:rPr>
        <w:t xml:space="preserve"> </w:t>
      </w:r>
      <w:r w:rsidRPr="00BE5472">
        <w:rPr>
          <w:rFonts w:ascii="Times New Roman" w:hAnsi="Times New Roman" w:cs="Times New Roman"/>
          <w:b/>
          <w:bCs/>
          <w:kern w:val="2"/>
          <w:sz w:val="24"/>
          <w14:ligatures w14:val="standardContextual"/>
        </w:rPr>
        <w:t>%,</w:t>
      </w:r>
      <w:r w:rsidRPr="00BE5472">
        <w:rPr>
          <w:rFonts w:ascii="Times New Roman" w:hAnsi="Times New Roman" w:cs="Times New Roman"/>
          <w:kern w:val="2"/>
          <w:sz w:val="24"/>
          <w14:ligatures w14:val="standardContextual"/>
        </w:rPr>
        <w:t xml:space="preserve"> Na koncu, nije utvrđena statistički značajna interakcija između tipa poduzeća i vremenskog trenda (B = 0, 95</w:t>
      </w:r>
      <w:r w:rsidR="00DE3CE4" w:rsidRPr="00BE5472">
        <w:rPr>
          <w:rFonts w:ascii="Times New Roman" w:hAnsi="Times New Roman" w:cs="Times New Roman"/>
          <w:kern w:val="2"/>
          <w:sz w:val="24"/>
          <w14:ligatures w14:val="standardContextual"/>
        </w:rPr>
        <w:t xml:space="preserve"> </w:t>
      </w:r>
      <w:r w:rsidRPr="00BE5472">
        <w:rPr>
          <w:rFonts w:ascii="Times New Roman" w:hAnsi="Times New Roman" w:cs="Times New Roman"/>
          <w:kern w:val="2"/>
          <w:sz w:val="24"/>
          <w14:ligatures w14:val="standardContextual"/>
        </w:rPr>
        <w:t>%  CI [-0.72, 0.71], p = .297).</w:t>
      </w:r>
    </w:p>
    <w:p w14:paraId="52DC5241" w14:textId="77777777" w:rsidR="00120B4F" w:rsidRPr="00BE5472" w:rsidRDefault="00120B4F" w:rsidP="00120B4F">
      <w:pPr>
        <w:spacing w:line="360" w:lineRule="auto"/>
        <w:jc w:val="both"/>
        <w:rPr>
          <w:rFonts w:ascii="Times New Roman" w:hAnsi="Times New Roman" w:cs="Times New Roman"/>
          <w:kern w:val="2"/>
          <w:sz w:val="24"/>
          <w14:ligatures w14:val="standardContextual"/>
        </w:rPr>
      </w:pPr>
    </w:p>
    <w:p w14:paraId="316F17D7" w14:textId="02BABD6F" w:rsidR="00120B4F" w:rsidRPr="00BE5472" w:rsidRDefault="00120B4F" w:rsidP="00120B4F">
      <w:pPr>
        <w:spacing w:line="360" w:lineRule="auto"/>
        <w:jc w:val="both"/>
        <w:rPr>
          <w:rFonts w:ascii="Times New Roman" w:hAnsi="Times New Roman" w:cs="Times New Roman"/>
          <w:kern w:val="2"/>
          <w:sz w:val="24"/>
          <w14:ligatures w14:val="standardContextual"/>
        </w:rPr>
      </w:pPr>
      <w:r w:rsidRPr="00BE5472">
        <w:rPr>
          <w:rFonts w:ascii="Times New Roman" w:hAnsi="Times New Roman" w:cs="Times New Roman"/>
          <w:kern w:val="2"/>
          <w:sz w:val="24"/>
          <w14:ligatures w14:val="standardContextual"/>
        </w:rPr>
        <w:t xml:space="preserve">Rezultati istraživanja upućuju na </w:t>
      </w:r>
      <w:r w:rsidRPr="00BE5472">
        <w:rPr>
          <w:rFonts w:ascii="Times New Roman" w:hAnsi="Times New Roman" w:cs="Times New Roman"/>
          <w:b/>
          <w:bCs/>
          <w:kern w:val="2"/>
          <w:sz w:val="24"/>
          <w14:ligatures w14:val="standardContextual"/>
        </w:rPr>
        <w:t>djelomičnu potvrdu hipoteze H4</w:t>
      </w:r>
      <w:r w:rsidRPr="00BE5472">
        <w:rPr>
          <w:rFonts w:ascii="Times New Roman" w:hAnsi="Times New Roman" w:cs="Times New Roman"/>
          <w:kern w:val="2"/>
          <w:sz w:val="24"/>
          <w14:ligatures w14:val="standardContextual"/>
        </w:rPr>
        <w:t>, budući da su poduzeća koja su ostvarivala eksterni rast kroz procese spajanja i preuzimanja pokazala bolje rezultate za pojedine ključne financijske pokazatelje, dok za ostale pokazatelje nisu utvrđene statistički značajne razlike u odnosu na poduzeća koja su rasla organskim putem</w:t>
      </w:r>
      <w:r w:rsidR="00DE3CE4" w:rsidRPr="00BE5472">
        <w:rPr>
          <w:rFonts w:ascii="Times New Roman" w:hAnsi="Times New Roman" w:cs="Times New Roman"/>
          <w:kern w:val="2"/>
          <w:sz w:val="24"/>
          <w14:ligatures w14:val="standardContextual"/>
        </w:rPr>
        <w:t>.</w:t>
      </w:r>
    </w:p>
    <w:p w14:paraId="0DF251E6" w14:textId="77777777" w:rsidR="00120B4F" w:rsidRDefault="00120B4F" w:rsidP="00E65810">
      <w:pPr>
        <w:pStyle w:val="Heading2"/>
        <w:rPr>
          <w:rFonts w:ascii="Times New Roman" w:hAnsi="Times New Roman" w:cs="Times New Roman"/>
          <w:lang w:val="it-IT"/>
        </w:rPr>
      </w:pPr>
      <w:bookmarkStart w:id="260" w:name="_Toc241865176"/>
      <w:r w:rsidRPr="00BE5472">
        <w:rPr>
          <w:rFonts w:ascii="Times New Roman" w:hAnsi="Times New Roman" w:cs="Times New Roman"/>
          <w:lang w:val="it-IT"/>
        </w:rPr>
        <w:lastRenderedPageBreak/>
        <w:t>5.3. Rasprava i kritički osvrt na rezultate istraživanja</w:t>
      </w:r>
      <w:bookmarkEnd w:id="260"/>
    </w:p>
    <w:p w14:paraId="52D485EE" w14:textId="77777777" w:rsidR="00F548D6" w:rsidRPr="00F548D6" w:rsidRDefault="00F548D6" w:rsidP="00F548D6">
      <w:pPr>
        <w:rPr>
          <w:lang w:val="it-IT"/>
        </w:rPr>
      </w:pPr>
    </w:p>
    <w:p w14:paraId="243CA046"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Rasprava empirijskih rezultata provodi se u kontekstu strukturnih obilježja procesa spajanja i preuzimanja u hrvatskom hotelijerstvu. Kako je prikazano u trećem poglavlju rada, u promatranom razdoblju dominantno su prisutne horizontalne razvojne strategije, što predstavlja važan okvir za interpretaciju financijskih, tržišnih i organizacijskih učinaka analiziranih procesa. Također, u ovom poglavlju rasprava o ključnim motivima i čimbenicima uspjeha procesa spajanja i preuzimanja u hrvatskom hotelijerstvu temelji se na integriranom pristupu, pri čemu se rezultati kvantitativnog istraživanja (procjena važnosti i razine suglasnosti stručnjaka) interpretiraju u svjetlu rezultata dobivenih tematskom analizom kvalitativnih intervjua. Takav pristup omogućuje dublje razumijevanje identificiranih čimbenika, ne samo u smislu njihove relativne važnosti, već i kroz objašnjenje njihovog značenja, međusobnih odnosa i konteksta primjene u praksi. Rasprava stoga ne odvaja kvantitativne i kvalitativne nalaze, već ih promatra komplementarno, u skladu s integrativnom logikom istraživačkog dizajna.</w:t>
      </w:r>
    </w:p>
    <w:p w14:paraId="44DD6E5A" w14:textId="77777777" w:rsidR="00120B4F" w:rsidRDefault="00120B4F" w:rsidP="00E65810">
      <w:pPr>
        <w:pStyle w:val="Heading3"/>
        <w:rPr>
          <w:rFonts w:ascii="Times New Roman" w:hAnsi="Times New Roman" w:cs="Times New Roman"/>
          <w:lang w:val="it-IT"/>
        </w:rPr>
      </w:pPr>
      <w:bookmarkStart w:id="261" w:name="_Toc241865177"/>
      <w:r w:rsidRPr="00BE5472">
        <w:rPr>
          <w:rFonts w:ascii="Times New Roman" w:hAnsi="Times New Roman" w:cs="Times New Roman"/>
          <w:lang w:val="it-IT"/>
        </w:rPr>
        <w:t>5.3.1. Rasprava o ključnim motivima i čimbenicima uspjeha procesa spajanja i preuzimanja u hotelijerstvu</w:t>
      </w:r>
      <w:bookmarkEnd w:id="261"/>
    </w:p>
    <w:p w14:paraId="182C0392" w14:textId="77777777" w:rsidR="00F548D6" w:rsidRPr="00F548D6" w:rsidRDefault="00F548D6" w:rsidP="00F548D6">
      <w:pPr>
        <w:rPr>
          <w:lang w:val="it-IT"/>
        </w:rPr>
      </w:pPr>
    </w:p>
    <w:p w14:paraId="7DDF5320" w14:textId="5EB2A43C"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ovom se po</w:t>
      </w:r>
      <w:r w:rsidR="00450F24" w:rsidRPr="00BE5472">
        <w:rPr>
          <w:rFonts w:ascii="Times New Roman" w:hAnsi="Times New Roman" w:cs="Times New Roman"/>
          <w:sz w:val="24"/>
          <w:szCs w:val="24"/>
          <w:lang w:val="it-IT"/>
        </w:rPr>
        <w:t>t</w:t>
      </w:r>
      <w:r w:rsidRPr="00BE5472">
        <w:rPr>
          <w:rFonts w:ascii="Times New Roman" w:hAnsi="Times New Roman" w:cs="Times New Roman"/>
          <w:sz w:val="24"/>
          <w:szCs w:val="24"/>
          <w:lang w:val="it-IT"/>
        </w:rPr>
        <w:t>poglavlju raspravlja o rezultatima empirijskog istraživanja prikazanim u poglavljima 5.1. i 5.2.</w:t>
      </w:r>
      <w:r w:rsidR="00450F2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koji se odnose na identifikaciju ključnih motiva i čimbenika uspjeha procesa spajanja i preuzimanja u hrvatskom hotelijerstvu. Dobiveni rezultati interpretiraju se u kontekstu relevantnih teorijskih spoznaja i prethodnih istraživanja, uz primjenu faznog pristupa analizi procesa spajanja i preuzimanja. </w:t>
      </w:r>
      <w:r w:rsidRPr="00BE5472">
        <w:rPr>
          <w:rFonts w:ascii="Times New Roman" w:hAnsi="Times New Roman" w:cs="Times New Roman"/>
          <w:bCs/>
          <w:sz w:val="24"/>
          <w:szCs w:val="24"/>
          <w:lang w:val="it-IT"/>
        </w:rPr>
        <w:t>Rasprava se temelji na integraciji kvantitativnih nalaza dobivenih Likertovom skalom i kvalitativnih uvida iz intervjua s menadžerima uključenima u procese spajanja i preuzimanja</w:t>
      </w:r>
      <w:r w:rsidR="00450F24" w:rsidRPr="00BE5472">
        <w:rPr>
          <w:rFonts w:ascii="Times New Roman" w:hAnsi="Times New Roman" w:cs="Times New Roman"/>
          <w:bCs/>
          <w:sz w:val="24"/>
          <w:szCs w:val="24"/>
          <w:lang w:val="it-IT"/>
        </w:rPr>
        <w:t>,</w:t>
      </w:r>
      <w:r w:rsidRPr="00BE5472">
        <w:rPr>
          <w:rFonts w:ascii="Times New Roman" w:hAnsi="Times New Roman" w:cs="Times New Roman"/>
          <w:bCs/>
          <w:sz w:val="24"/>
          <w:szCs w:val="24"/>
          <w:lang w:val="it-IT"/>
        </w:rPr>
        <w:t xml:space="preserve"> pri čemu kvantitativni rezultati pružaju okvir relativne važnosti pojedinih motiva i čimbenika, dok kvalitativni nalazi omogućuju dublje razumijevanje njihove operacionalizacije i uloge u različitim fazama procesa.</w:t>
      </w:r>
      <w:r w:rsidRPr="00BE5472">
        <w:rPr>
          <w:rFonts w:ascii="Times New Roman" w:hAnsi="Times New Roman" w:cs="Times New Roman"/>
          <w:sz w:val="24"/>
          <w:szCs w:val="24"/>
          <w:lang w:val="it-IT"/>
        </w:rPr>
        <w:t xml:space="preserve"> Poseban naglasak stavlja se na objašnjenje uočenih obrazaca u procjeni važnosti pojedinih motiva i čimbenika te na razumijevanje njihove promjenjive uloge kroz faze procesa.</w:t>
      </w:r>
    </w:p>
    <w:p w14:paraId="7B84EA0F" w14:textId="77777777" w:rsidR="00120B4F" w:rsidRPr="00BE5472" w:rsidRDefault="00120B4F" w:rsidP="00120B4F">
      <w:pPr>
        <w:spacing w:line="360" w:lineRule="auto"/>
        <w:jc w:val="both"/>
        <w:rPr>
          <w:rFonts w:ascii="Times New Roman" w:hAnsi="Times New Roman" w:cs="Times New Roman"/>
          <w:sz w:val="24"/>
          <w:szCs w:val="24"/>
          <w:lang w:val="it-IT"/>
        </w:rPr>
      </w:pPr>
    </w:p>
    <w:p w14:paraId="3E73894C" w14:textId="77777777" w:rsidR="00F548D6" w:rsidRDefault="00F548D6" w:rsidP="00E65810">
      <w:pPr>
        <w:pStyle w:val="Heading4"/>
        <w:rPr>
          <w:rFonts w:ascii="Times New Roman" w:hAnsi="Times New Roman" w:cs="Times New Roman"/>
          <w:lang w:val="it-IT"/>
        </w:rPr>
        <w:sectPr w:rsidR="00F548D6" w:rsidSect="00D63A8E">
          <w:pgSz w:w="12240" w:h="15840"/>
          <w:pgMar w:top="1440" w:right="1440" w:bottom="1440" w:left="1440" w:header="708" w:footer="708" w:gutter="0"/>
          <w:cols w:space="708"/>
          <w:docGrid w:linePitch="360"/>
        </w:sectPr>
      </w:pPr>
    </w:p>
    <w:p w14:paraId="35142FF8" w14:textId="77777777" w:rsidR="00120B4F" w:rsidRDefault="00120B4F" w:rsidP="00E65810">
      <w:pPr>
        <w:pStyle w:val="Heading4"/>
        <w:rPr>
          <w:rFonts w:ascii="Times New Roman" w:hAnsi="Times New Roman" w:cs="Times New Roman"/>
          <w:lang w:val="it-IT"/>
        </w:rPr>
      </w:pPr>
      <w:bookmarkStart w:id="262" w:name="_Toc241865178"/>
      <w:r w:rsidRPr="00BE5472">
        <w:rPr>
          <w:rFonts w:ascii="Times New Roman" w:hAnsi="Times New Roman" w:cs="Times New Roman"/>
          <w:lang w:val="it-IT"/>
        </w:rPr>
        <w:lastRenderedPageBreak/>
        <w:t>5.3.1.1. Rasprava o motivima pokretanja procesa spajanja i preuzimanja</w:t>
      </w:r>
      <w:bookmarkEnd w:id="262"/>
    </w:p>
    <w:p w14:paraId="4358BDBB" w14:textId="77777777" w:rsidR="00F548D6" w:rsidRPr="00F548D6" w:rsidRDefault="00F548D6" w:rsidP="00F548D6">
      <w:pPr>
        <w:rPr>
          <w:lang w:val="it-IT"/>
        </w:rPr>
      </w:pPr>
    </w:p>
    <w:p w14:paraId="628113EF" w14:textId="71675D7D"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Dobiveni rezultati upućuju na to da su procesi spajanja i preuzimanja u hrvatskom hotelijerstvu prvenstveno vođeni strateškim i razvojnim motivima, a znatno manje oportunističkim ili kratkoročnim financijskim razlozima. Dominacija motiva povećanja tržišnog udjela i povećanja kapaciteta poduzeća preuzimatelja jasno ukazuje na to da se akvizicije percipiraju kao sredstvo dugoročnog pozicioniranja i konsolidacije, a ne kao izolirani financijski pothvati. Takav rezultat u skladu je s industrijskim teorijama spajanja i preuzimanja potkrijepljenim u istraživanju Yaghoubi i sur. (2016), prema kojima </w:t>
      </w:r>
      <w:r w:rsidR="0083341A" w:rsidRPr="00BE5472">
        <w:rPr>
          <w:rFonts w:ascii="Times New Roman" w:hAnsi="Times New Roman" w:cs="Times New Roman"/>
          <w:sz w:val="24"/>
          <w:szCs w:val="24"/>
          <w:lang w:val="it-IT"/>
        </w:rPr>
        <w:t xml:space="preserve">se </w:t>
      </w:r>
      <w:r w:rsidRPr="00BE5472">
        <w:rPr>
          <w:rFonts w:ascii="Times New Roman" w:hAnsi="Times New Roman" w:cs="Times New Roman"/>
          <w:sz w:val="24"/>
          <w:szCs w:val="24"/>
          <w:lang w:val="it-IT"/>
        </w:rPr>
        <w:t>poduzeća u zrelim i kapitalno intenzivnim industrijama koriste akvizicij</w:t>
      </w:r>
      <w:r w:rsidR="0083341A" w:rsidRPr="00BE5472">
        <w:rPr>
          <w:rFonts w:ascii="Times New Roman" w:hAnsi="Times New Roman" w:cs="Times New Roman"/>
          <w:sz w:val="24"/>
          <w:szCs w:val="24"/>
          <w:lang w:val="it-IT"/>
        </w:rPr>
        <w:t>om</w:t>
      </w:r>
      <w:r w:rsidRPr="00BE5472">
        <w:rPr>
          <w:rFonts w:ascii="Times New Roman" w:hAnsi="Times New Roman" w:cs="Times New Roman"/>
          <w:sz w:val="24"/>
          <w:szCs w:val="24"/>
          <w:lang w:val="it-IT"/>
        </w:rPr>
        <w:t xml:space="preserve"> </w:t>
      </w:r>
      <w:r w:rsidR="0083341A" w:rsidRPr="00BE5472">
        <w:rPr>
          <w:rFonts w:ascii="Times New Roman" w:hAnsi="Times New Roman" w:cs="Times New Roman"/>
          <w:sz w:val="24"/>
          <w:szCs w:val="24"/>
          <w:lang w:val="it-IT"/>
        </w:rPr>
        <w:t>da</w:t>
      </w:r>
      <w:r w:rsidRPr="00BE5472">
        <w:rPr>
          <w:rFonts w:ascii="Times New Roman" w:hAnsi="Times New Roman" w:cs="Times New Roman"/>
          <w:sz w:val="24"/>
          <w:szCs w:val="24"/>
          <w:lang w:val="it-IT"/>
        </w:rPr>
        <w:t xml:space="preserve"> bi ubrzala rast i ojačala konkurentsku poziciju. Dakle, spajanja i preuzimanja u hrvatskom hotelijerstvu ne iniciraju se kao odgovor na kratkoročne tržišne prilike, već kao strateški instrument restrukturiranja i dugoročnog rasta. Dodatno,</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 xml:space="preserve">rezultati ne pružaju empirijsku potporu menadžerskim i teorijama ponašanja koje procese spajanja i preuzimanja objašnjavaju pretežito kroz agencijske probleme, menadžerski oportunizam ili </w:t>
      </w:r>
      <w:r w:rsidRPr="00BE5472">
        <w:rPr>
          <w:rFonts w:ascii="Times New Roman" w:hAnsi="Times New Roman" w:cs="Times New Roman"/>
          <w:i/>
          <w:sz w:val="24"/>
          <w:szCs w:val="24"/>
          <w:lang w:val="it-IT"/>
        </w:rPr>
        <w:t>hubris</w:t>
      </w:r>
      <w:r w:rsidRPr="00BE5472">
        <w:rPr>
          <w:rFonts w:ascii="Times New Roman" w:hAnsi="Times New Roman" w:cs="Times New Roman"/>
          <w:sz w:val="24"/>
          <w:szCs w:val="24"/>
          <w:lang w:val="it-IT"/>
        </w:rPr>
        <w:t>. Iako literatura upozorava na učestalu prisutnost ovih motiva u različitim industrijama (Goel i Thakor 2010; Nguyen, Yung i Sun 2012), u ovom istraživanju oni se ne pojavljuju kao dominantni pokretači procesa. Takav rezultat upućuje na to da su u kontekstu hrvatskog hotelijerstva odluke o spajanju i preuzimanju u većoj mjeri vođene racionalnim procjenama tržišne i razvojne vrijednosti nego individualnim interesima menadžmenta.</w:t>
      </w:r>
    </w:p>
    <w:p w14:paraId="0CE6A5AC" w14:textId="121DC628"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bCs/>
          <w:sz w:val="24"/>
          <w:szCs w:val="24"/>
          <w:lang w:val="it-IT"/>
        </w:rPr>
        <w:t xml:space="preserve">Kvalitativni rezultati dodatno potvrđuju ovakav obrazac, pri čemu ispitanici stratešku logiku akvizicija ne objašnjavaju apstraktnim ciljevima rasta, već konkretnim razvojnim pretpostavkama, poput jačanja portfelja u atraktivnim destinacijama, ostvarivanja dugoročnog </w:t>
      </w:r>
      <w:r w:rsidRPr="00BE5472">
        <w:rPr>
          <w:rFonts w:ascii="Times New Roman" w:hAnsi="Times New Roman" w:cs="Times New Roman"/>
          <w:bCs/>
          <w:i/>
          <w:sz w:val="24"/>
          <w:szCs w:val="24"/>
          <w:lang w:val="it-IT"/>
        </w:rPr>
        <w:t>upside</w:t>
      </w:r>
      <w:r w:rsidRPr="00BE5472">
        <w:rPr>
          <w:rFonts w:ascii="Times New Roman" w:hAnsi="Times New Roman" w:cs="Times New Roman"/>
          <w:bCs/>
          <w:sz w:val="24"/>
          <w:szCs w:val="24"/>
          <w:lang w:val="it-IT"/>
        </w:rPr>
        <w:t xml:space="preserve"> potencijala imovine te pozicioniranja unutar postojećih poslovnih sustava.</w:t>
      </w:r>
      <w:r w:rsidRPr="00BE5472">
        <w:rPr>
          <w:rFonts w:ascii="Times New Roman" w:hAnsi="Times New Roman" w:cs="Times New Roman"/>
          <w:sz w:val="24"/>
          <w:szCs w:val="24"/>
          <w:lang w:val="it-IT"/>
        </w:rPr>
        <w:t xml:space="preserve"> Time se strateški motivi identificirani kvantitativnim analizama operacionaliziraju kroz vrlo konkretne upravljačke odluke u praksi.</w:t>
      </w:r>
    </w:p>
    <w:p w14:paraId="076E75E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kontekstu hotelijerstva, ovakva orijentacija dodatno je razumljiva zbog strukturnih ograničenja organskog rasta. Baš kako ističu Kim i Olsen (1999), hotelska poduzeća suočena su s ograničenim brojem atraktivnih lokacija, dugim razvojnim ciklusima i visokim ulaznim troškovima, što organsko širenje čini sporim i rizičnim. Preuzimanja se stoga nameću kao racionalna strategija rasta kojom se relativno brzo stječu novi kapaciteti i tržišna prisutnost. </w:t>
      </w:r>
    </w:p>
    <w:p w14:paraId="33ADDE29" w14:textId="2678F6E6"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Motiv proširivanja tržišnih segmenata, iako prepoznat kao važan, ostvaruje nešto nižu razinu konsenzusa, što može upućivati na to da se diver</w:t>
      </w:r>
      <w:r w:rsidR="00450F24" w:rsidRPr="00BE5472">
        <w:rPr>
          <w:rFonts w:ascii="Times New Roman" w:hAnsi="Times New Roman" w:cs="Times New Roman"/>
          <w:sz w:val="24"/>
          <w:szCs w:val="24"/>
          <w:lang w:val="it-IT"/>
        </w:rPr>
        <w:t>z</w:t>
      </w:r>
      <w:r w:rsidRPr="00BE5472">
        <w:rPr>
          <w:rFonts w:ascii="Times New Roman" w:hAnsi="Times New Roman" w:cs="Times New Roman"/>
          <w:sz w:val="24"/>
          <w:szCs w:val="24"/>
          <w:lang w:val="it-IT"/>
        </w:rPr>
        <w:t>ifikacija u praksi često ostvaruje kao posljedica akvizicije, a ne kao njezin primarni cilj. Drugim riječima, tržišna širina i segmentacija percipiraju se kao dodatna vrijednost već ostvarene akvizicije, dok je temeljni pokretač i dalje strateško jačanje pozicije poduzeća preuzimatelja.</w:t>
      </w:r>
    </w:p>
    <w:p w14:paraId="30308A0F" w14:textId="0C85176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Kvantiativni odgovori ispitanika dodatno proširuju razumijevanje motiva pokretanja procesa spajanja i preuzimanja te potvrđuju njihovu višedimenzionalnost. Među dodatno navedenim motivima ističu se sinergija znanja i kadrova</w:t>
      </w:r>
      <w:r w:rsidR="00450F2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što literatura ističe u radu </w:t>
      </w:r>
      <w:r w:rsidRPr="00BE5472">
        <w:rPr>
          <w:rFonts w:ascii="Times New Roman" w:hAnsi="Times New Roman" w:cs="Times New Roman"/>
          <w:sz w:val="24"/>
          <w:szCs w:val="24"/>
        </w:rPr>
        <w:t xml:space="preserve">Campbell i Goold (1998) </w:t>
      </w:r>
      <w:r w:rsidRPr="00BE5472">
        <w:rPr>
          <w:rFonts w:ascii="Times New Roman" w:hAnsi="Times New Roman" w:cs="Times New Roman"/>
          <w:sz w:val="24"/>
          <w:szCs w:val="24"/>
          <w:lang w:val="it-IT"/>
        </w:rPr>
        <w:t xml:space="preserve">te sinergijski učinci općenito (sukladno istraživanjima </w:t>
      </w:r>
      <w:r w:rsidRPr="00BE5472">
        <w:rPr>
          <w:rFonts w:ascii="Times New Roman" w:hAnsi="Times New Roman" w:cs="Times New Roman"/>
          <w:sz w:val="24"/>
          <w:szCs w:val="24"/>
        </w:rPr>
        <w:t>Nguyena, Yunga i Suna</w:t>
      </w:r>
      <w:r w:rsidRPr="00BE5472">
        <w:rPr>
          <w:rFonts w:ascii="Times New Roman" w:hAnsi="Times New Roman" w:cs="Times New Roman"/>
          <w:sz w:val="24"/>
          <w:szCs w:val="24"/>
          <w:lang w:val="it-IT"/>
        </w:rPr>
        <w:t xml:space="preserve"> (2012))</w:t>
      </w:r>
      <w:r w:rsidR="00450F2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što upućuje na percepciju akvizicija kao prilike za jačanje organizacijskih i ljudskih resursa, a ne isključivo za povećanje fizičkih kapaciteta. Porter (1985) i Yin (2023) također spominju sinergiju kao ključnu odrednicu spajanja i preuzimanja. Nadalje, ispitanici naglašavaju potencijal rasta poduzeća koje se preuzima, pri čemu se proces spajanja i preuzimanja inicira s ciljem ostvarivanja dugoročne razvojne vrijednosti.</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Empirijski rezultati dodatno potvrđuju da se sinergija u hotelijerstvu ne promatra isključivo kroz financijske ili operativne učinke, već kao kombinacija menadžerskih, organizacijskih i tržišnih prednosti, što odgovara tipologijama sinergijskih učinaka koje navode Canina i Kim (2010) te Kim i Canina (2013).</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Intervjui pritom ukazuju da se sinergije ne promatraju kao apstraktna financijska kategorija, već kao kombinacija operativnog iskustva, menadžerskih kompetencija i znanja o specifičnostima destinacije, čime se dodatno potvrđuje njihova strateška, a ne kratkoročna priroda.</w:t>
      </w:r>
    </w:p>
    <w:p w14:paraId="512D400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Posebno je zanimljivo isticanje akvizicije kapaciteta s izraženim </w:t>
      </w:r>
      <w:r w:rsidRPr="00BE5472">
        <w:rPr>
          <w:rFonts w:ascii="Times New Roman" w:hAnsi="Times New Roman" w:cs="Times New Roman"/>
          <w:i/>
          <w:iCs/>
          <w:sz w:val="24"/>
          <w:szCs w:val="24"/>
          <w:lang w:val="it-IT"/>
        </w:rPr>
        <w:t>upside</w:t>
      </w:r>
      <w:r w:rsidRPr="00BE5472">
        <w:rPr>
          <w:rFonts w:ascii="Times New Roman" w:hAnsi="Times New Roman" w:cs="Times New Roman"/>
          <w:sz w:val="24"/>
          <w:szCs w:val="24"/>
          <w:lang w:val="it-IT"/>
        </w:rPr>
        <w:t xml:space="preserve"> potencijalom na atraktivnim lokacijama, kao i samog značaja destinacije kao motiva pokretanja procesa. Ovi rezultati upućuju na snažnu povezanost motiva rasta s prostornim i destinacijskim obilježjima hotelskog poslovanja, pri čemu lokacija i razvojni potencijal imovine djeluju kao inicijalni poticaj za razmatranje akvizicije.</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Ovi rezultati dobro nadopunjuju teorijske klasifikacije pokretača spajanja i preuzimanja, poput onih koje predlažu Napier (1989), Beena (2014) i Pohlman (2017), ukazujući na to da se u hotelijerstvu prostorni i destinacijski čimbenici javljaju kao ključni inicijalni okidači strateških odluka o preuzimanju.</w:t>
      </w:r>
    </w:p>
    <w:p w14:paraId="4FFD6F6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Dodatni motivi, poput razvoja partnerstava s financijskim investitorima, prodaje menadžment usluga te osiguravanja cjelogodišnjeg zapošljavanja zaposlenika kroz diverzifikaciju portfelja, </w:t>
      </w:r>
      <w:r w:rsidRPr="00BE5472">
        <w:rPr>
          <w:rFonts w:ascii="Times New Roman" w:hAnsi="Times New Roman" w:cs="Times New Roman"/>
          <w:sz w:val="24"/>
          <w:szCs w:val="24"/>
          <w:lang w:val="it-IT"/>
        </w:rPr>
        <w:lastRenderedPageBreak/>
        <w:t>ukazuju na to da se procesi spajanja i preuzimanja u hotelijerstvu mogu pokretati i iz šire strateške i organizacijske perspektive. Iako ovi motivi nisu dominantni u kvantitativnom dijelu istraživanja, njihova prisutnost u kvalitativnim odgovorima potvrđuje da inicijacija procesa spajanja i preuzimanja često proizlazi iz kombinacije tržišnih, razvojnih i organizacijskih razmatranja.</w:t>
      </w:r>
    </w:p>
    <w:p w14:paraId="48A7CB16" w14:textId="257A823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istraživanja upućuju na to da su motivi pokretanja procesa spajanja i preuzimanja u hotelskom sektoru pretežito strateški i dugoročno orijentirani, pri čemu financijski aspekti imaju ulogu podrške, a ne primarnog okidača. Time se dodatno potvrđuje da se preuzimanja u hotelijerstvu percipiraju kao instrument strateškog pozicioniranja, rasta i stvaranja dugoročne vrijednosti.</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Prema navedenome</w:t>
      </w:r>
      <w:r w:rsidR="0083341A"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rezultati istraživanja potvrđuju zaključke prethodnih istraživanja u hotelijerstvu</w:t>
      </w:r>
      <w:r w:rsidR="00450F2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prema kojima se stvaranje vrijednosti kroz spajanja i preuzimanja ne može promatrati kroz kratkoročne financijske učinke, osobito s aspekta dioničara poduzeća preuzimatelja (Hsu i Jang 2007; Kim i Canina 2013). Umjesto toga, motivi pokretanja procesa spajanja i preuzimanja u hotelijerstvu usmjereni su prema dugoročnom strateškom pozicioniranju, realizaciji sinergija i održivom rastu, čime se dodatno potvrđuje potreba za faznim i dugoročnim pristupom analizi ovih procesa.</w:t>
      </w:r>
    </w:p>
    <w:p w14:paraId="6826F0D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Kvalitativni rezultati iz intervjua dodatno potvrđuju stratešku i dugoročno orijentiranu prirodu motiva pokretanja procesa spajanja i preuzimanja u hrvatskom hotelijerstvu. Ispitanici u svojim odgovorima naglašavaju da se odluke o akvizicijama ne temelje isključivo na financijskim pokazateljima u trenutku preuzimanja, već na procjeni dugoročne razvojne vrijednosti imovine, potencijala destinacije te mogućnosti integracije u postojeći portfelj i poslovni sustav. Posebno se ističe percepcija preuzimanja kao sredstva za ostvarenje sinergija znanja, menadžerskih kompetencija i operativnog iskustva, pri čemu se stvaranje vrijednosti promatra kroz vremensku dimenziju, a ne kroz kratkoročne financijske učinke. Ovakvi kvalitativni uvidi dodatno pojašnjavaju kvantitativne nalaze te potvrđuju da su motivi pokretanja procesa spajanja i preuzimanja u hotelijerstvu utemeljeni na strateškoj logici dugoročnog rasta i održivog pozicioniranja.</w:t>
      </w:r>
    </w:p>
    <w:p w14:paraId="02FC38A1" w14:textId="77777777" w:rsidR="00F548D6" w:rsidRDefault="00F548D6" w:rsidP="00E65810">
      <w:pPr>
        <w:pStyle w:val="Heading4"/>
        <w:rPr>
          <w:rFonts w:ascii="Times New Roman" w:hAnsi="Times New Roman" w:cs="Times New Roman"/>
          <w:lang w:val="it-IT"/>
        </w:rPr>
        <w:sectPr w:rsidR="00F548D6" w:rsidSect="00D63A8E">
          <w:pgSz w:w="12240" w:h="15840"/>
          <w:pgMar w:top="1440" w:right="1440" w:bottom="1440" w:left="1440" w:header="708" w:footer="708" w:gutter="0"/>
          <w:cols w:space="708"/>
          <w:docGrid w:linePitch="360"/>
        </w:sectPr>
      </w:pPr>
    </w:p>
    <w:p w14:paraId="38F17C5C" w14:textId="77777777" w:rsidR="00120B4F" w:rsidRDefault="00120B4F" w:rsidP="00E65810">
      <w:pPr>
        <w:pStyle w:val="Heading4"/>
        <w:rPr>
          <w:rFonts w:ascii="Times New Roman" w:hAnsi="Times New Roman" w:cs="Times New Roman"/>
          <w:lang w:val="it-IT"/>
        </w:rPr>
      </w:pPr>
      <w:bookmarkStart w:id="263" w:name="_Toc241865179"/>
      <w:r w:rsidRPr="00BE5472">
        <w:rPr>
          <w:rFonts w:ascii="Times New Roman" w:hAnsi="Times New Roman" w:cs="Times New Roman"/>
          <w:lang w:val="it-IT"/>
        </w:rPr>
        <w:lastRenderedPageBreak/>
        <w:t>5.3.1.2. Rasprava o ključnim čimbenicima uspjeha u fazi prije preuzimanja</w:t>
      </w:r>
      <w:bookmarkEnd w:id="263"/>
    </w:p>
    <w:p w14:paraId="6B003B9F" w14:textId="77777777" w:rsidR="00F548D6" w:rsidRPr="00F548D6" w:rsidRDefault="00F548D6" w:rsidP="00F548D6">
      <w:pPr>
        <w:rPr>
          <w:lang w:val="it-IT"/>
        </w:rPr>
      </w:pPr>
    </w:p>
    <w:p w14:paraId="233CA79F" w14:textId="4E072258"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empirijskog istraživanja upućuju na to da se faza prije preuzimanja u hotelskom sektoru obilježava izrazito sveobuhvatnom i višedimenzionalnom procjenom potencijalnog poduzeća mete. Ispitanici pritom jasno ističu kombinaciju lokacijskih, upravljačkih, financijskih i strateških čimbenika, što potvrđuje složenost odlučivanja u kapitalno intenzivnoj i prostorno ograničenoj industriji poput hotelijerstva. Shodno tome, rezultati jasno potvrđuju da se u fazi prije preuzimanja naglasak stavlja na tzv.</w:t>
      </w:r>
      <w:r w:rsidR="0083341A" w:rsidRPr="00BE5472">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tvrde čimbenike uspjeha, osobito one povezane s lokacijom, destinacijom i ekonomskom održivošću transakcije. Lokacija poduzeća mete i imidž turističke destinacije dosljedno su rangirani među najvažnije čimbenike, čime se dodatno potvrđuje središnja uloga prostorne dimenzije u stvaranju vrijednosti u hotelijerstvu. Posebno isticanje lokacije, imidža destinacije i konkurentskog položaja poduzeća mete u empirijskim rezultatima izravno odgovara teorijskim naglascima na važnost prostorne dimenzije i tržišnog konteksta u hotelskoj industriji. Time se potvrđuje da se u hrvatskom hotelijerstvu faza prije preuzimanja ne može svesti isključivo na financijsku evaluaciju, već uključuje i procjenu dugoročne održivosti poslovnog modela u konkretnom destinacijskom okruženju, što je u skladu s nalazima Kim i Olsena (1999a) te Canina i Kim (2010).</w:t>
      </w:r>
    </w:p>
    <w:p w14:paraId="68F73C33" w14:textId="2390D16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Visoka važnost odnosa između očekivanih sinergija i plaćene akvizicijske premije ukazuje na snažnu svijest ispitanika o potrebi financijske discipline u procesu preuzimanja. To implicira da prihvatljivost cijene u velikoj mjeri ovisi o individualnoj procjeni potencijala rasta poduzeća mete, što potvrđuju i kvalitativni odgovori koji ističu usporedbu traženog EBITDA multiplikatora s internim projekcijama rasta poslovanja u postojećem obliku. Time se naglašava da cijena akvizicije nije promatrana izolirano, već u kontekstu očekivane buduće vrijednosti. Ovakav rezultat u skladu je s teorijskim postavkama prema kojima stvaranje vrijednosti kroz spajanje </w:t>
      </w:r>
      <w:r w:rsidR="00450F24" w:rsidRPr="00BE5472">
        <w:rPr>
          <w:rFonts w:ascii="Times New Roman" w:hAnsi="Times New Roman" w:cs="Times New Roman"/>
          <w:sz w:val="24"/>
          <w:szCs w:val="24"/>
          <w:lang w:val="it-IT"/>
        </w:rPr>
        <w:t>i</w:t>
      </w:r>
      <w:r w:rsidRPr="00BE5472">
        <w:rPr>
          <w:rFonts w:ascii="Times New Roman" w:hAnsi="Times New Roman" w:cs="Times New Roman"/>
          <w:sz w:val="24"/>
          <w:szCs w:val="24"/>
          <w:lang w:val="it-IT"/>
        </w:rPr>
        <w:t xml:space="preserve"> preuzimanje nije inherentno samom preuzimanju, već ovisi o realnosti i ostvarivosti sinergijskih učinaka. Upravo visoko rangiranje odnosa između očekivanih sinergija i plaćene akvizicijske premije potvrđuje teorijske postavke prema kojima je financijska disciplina u fazi prije preuzimanja ključna za ostvarenje vrijednosti nakon transakcije. Ovaj rezultat u skladu je s pristupima koji naglašavaju da stvaranje vrijednosti u procesima spajanja i preuzimanja nije inherentno samoj transakciji, već ovisi o realnoj procjeni budućih sinergijskih učinaka i njihovoj sadašnjoj vrijednosti (Kim i Olsen 1999a; Gomes i sur. 2013).</w:t>
      </w:r>
    </w:p>
    <w:p w14:paraId="6FCD6EA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Dubinsko snimanje poduzeća mete potvrđuje se kao ključni mehanizam smanjenja informacijske asimetrije i rizika pogrešne procjene, osobito u sektoru u kojem vrijednost često proizlazi iz kombinacije nekretninske imovine, operativnih kapaciteta i regulatornih uvjeta.</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Središnja uloga dubinskog snimanja poduzeća mete dodatno potvrđuje teorijske naglaske o važnosti informacijske dimenzije u fazi prije preuzimanja. Prema Kim i Olsenu (1999a), kvaliteta informacija i sposobnost identifikacije operativnih, financijskih i regulatornih rizika predstavljaju temelj uspješnog akvizicijskog procesa, što se jasno reflektira i u empirijskim rezultatima ovog istraživanja.</w:t>
      </w:r>
    </w:p>
    <w:p w14:paraId="371A0B3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Relativno niža važnost organizacijskih i kulturnih čimbenika u ovoj fazi sugerira da se oni u pre-akvizicijskoj fazi percipiraju kao sekundarni u odnosu na strateške i financijske aspekte. Takav obrazac ne upućuje na njihovu nevažnost, već potvrđuje faznu logiku procesa spajanja i preuzimanja, prema kojoj se organizacijska pitanja intenzivnije razmatraju tek nakon donošenja odluke o preuzimanju.</w:t>
      </w:r>
    </w:p>
    <w:p w14:paraId="7D2D89E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Među dodatnim čimbenicima koje su ispitanici naveli ističe se i pravni okvir, koji se percipira kao važan element procjene sigurnosti ulaganja i provedivosti transakcije. Iako ovaj čimbenik nije kvantitativno rangiran među najvišima, njegovo isticanje u kvalitativnim odgovorima upućuje na njegovu ulogu kao potencijalnog ograničavajućeg ili olakšavajućeg faktora u fazi prije preuzimanja. Ispitanici također ukazuju i na postojanje psihološke komponente vlasništva, koja može utjecati na inicijalnu spremnost za ulazak u analizu akvizicije, iako nema presudnu ulogu u konačnoj odluci. Ovaj rezultat potvrđuje da se, unatoč dominantnoj racionalnoj i analitičkoj logici, procesi odlučivanja prije preuzimanja odvijaju u kontekstu u kojem subjektivni elementi mogu imati poticajnu, ali ne i odlučujuću ulogu.</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Ovi čimbenici djeluju kao filteri koji utječu na inicijalnu odluku o ulasku u proces, ali ne zamjenjuju analitički i racionalni okvir donošenja odluka, što je u skladu s integriranim pristupima upravljanju procesima spajanja i preuzimanja koje zagovaraju Kim i Olsen (1999b) te Gomes i sur. (2013).</w:t>
      </w:r>
    </w:p>
    <w:p w14:paraId="5710815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Kvalitativni rezultati iz intervjua dodatno produbljuju razumijevanje načina na koji se faza prije preuzimanja provodi u praksi. Ispitanici naglašavaju da se analitički okvir ne temelji isključivo na formalnim financijskim modelima, već na kombinaciji matematički točnih projekcija i internog </w:t>
      </w:r>
      <w:r w:rsidRPr="00BE5472">
        <w:rPr>
          <w:rFonts w:ascii="Times New Roman" w:hAnsi="Times New Roman" w:cs="Times New Roman"/>
          <w:i/>
          <w:iCs/>
          <w:sz w:val="24"/>
          <w:szCs w:val="24"/>
          <w:lang w:val="it-IT"/>
        </w:rPr>
        <w:t>benchmarkinga</w:t>
      </w:r>
      <w:r w:rsidRPr="00BE5472">
        <w:rPr>
          <w:rFonts w:ascii="Times New Roman" w:hAnsi="Times New Roman" w:cs="Times New Roman"/>
          <w:sz w:val="24"/>
          <w:szCs w:val="24"/>
          <w:lang w:val="it-IT"/>
        </w:rPr>
        <w:t xml:space="preserve"> postojećeg portfelja, osobito u pogledu usporedivih lokacija i operativnih rezultata. Takav pristup povećava vjerodostojnost procjena buduće vrijednosti i omogućuje realističnije sagledavanje prihvatljivih granica rizika. Istodobno, intervjui ukazuju da dobra analiza </w:t>
      </w:r>
      <w:r w:rsidRPr="00BE5472">
        <w:rPr>
          <w:rFonts w:ascii="Times New Roman" w:hAnsi="Times New Roman" w:cs="Times New Roman"/>
          <w:sz w:val="24"/>
          <w:szCs w:val="24"/>
          <w:lang w:val="it-IT"/>
        </w:rPr>
        <w:lastRenderedPageBreak/>
        <w:t>ne uklanja rizik u potpunosti, već omogućuje njegovo jasno mapiranje i pripremu za postakvizicijsku fazu, čime se faza prije preuzimanja izravno povezuje s kasnijom uspješnošću integracije.</w:t>
      </w:r>
    </w:p>
    <w:p w14:paraId="2F3DD9F7" w14:textId="5E3DDAA2"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konačnici, zaključ</w:t>
      </w:r>
      <w:r w:rsidR="00450F24" w:rsidRPr="00BE5472">
        <w:rPr>
          <w:rFonts w:ascii="Times New Roman" w:hAnsi="Times New Roman" w:cs="Times New Roman"/>
          <w:sz w:val="24"/>
          <w:szCs w:val="24"/>
          <w:lang w:val="it-IT"/>
        </w:rPr>
        <w:t>u</w:t>
      </w:r>
      <w:r w:rsidRPr="00BE5472">
        <w:rPr>
          <w:rFonts w:ascii="Times New Roman" w:hAnsi="Times New Roman" w:cs="Times New Roman"/>
          <w:sz w:val="24"/>
          <w:szCs w:val="24"/>
          <w:lang w:val="it-IT"/>
        </w:rPr>
        <w:t xml:space="preserve">je se da faza prije preuzimanja u hotelskom sektoru predstavlja strukturiran i analitički zahtjevan proces u kojem se odluka temelji na integraciji lokacijskih, upravljačkih, financijskih i strateških procjena, uz dodatno uvažavanje institucionalnih i psiholoških čimbenika. Ovi </w:t>
      </w:r>
      <w:r w:rsidR="00450F24" w:rsidRPr="00BE5472">
        <w:rPr>
          <w:rFonts w:ascii="Times New Roman" w:hAnsi="Times New Roman" w:cs="Times New Roman"/>
          <w:sz w:val="24"/>
          <w:szCs w:val="24"/>
          <w:lang w:val="it-IT"/>
        </w:rPr>
        <w:t xml:space="preserve">su </w:t>
      </w:r>
      <w:r w:rsidRPr="00BE5472">
        <w:rPr>
          <w:rFonts w:ascii="Times New Roman" w:hAnsi="Times New Roman" w:cs="Times New Roman"/>
          <w:sz w:val="24"/>
          <w:szCs w:val="24"/>
          <w:lang w:val="it-IT"/>
        </w:rPr>
        <w:t xml:space="preserve">rezultati </w:t>
      </w:r>
      <w:r w:rsidR="00450F24" w:rsidRPr="00BE5472">
        <w:rPr>
          <w:rFonts w:ascii="Times New Roman" w:hAnsi="Times New Roman" w:cs="Times New Roman"/>
          <w:sz w:val="24"/>
          <w:szCs w:val="24"/>
          <w:lang w:val="it-IT"/>
        </w:rPr>
        <w:t xml:space="preserve">u </w:t>
      </w:r>
      <w:r w:rsidRPr="00BE5472">
        <w:rPr>
          <w:rFonts w:ascii="Times New Roman" w:hAnsi="Times New Roman" w:cs="Times New Roman"/>
          <w:sz w:val="24"/>
          <w:szCs w:val="24"/>
          <w:lang w:val="it-IT"/>
        </w:rPr>
        <w:t>potpunosti u skladu s faznim pristupima procesu spajanja i preuzimanja koji naglašavaju ključnu ulogu faze prije preuzimanja u stvaranju pretpostavki za kasniju uspješnost integracije. U tom kontekstu, rezultati ovog istraživanja potvrđuju postavke Kim i Olsen (1999a), prema kojima se faza upravljanja prije preuzimanja primarno oslanja na dimenzije namjere, informacija, vrijednosti i cijene, dok se organizacijski i kulturni aspekti u ovoj fazi razmatraju u ograničenom opsegu.</w:t>
      </w:r>
    </w:p>
    <w:p w14:paraId="72DFB4E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Ovi nalazi potvrđuju da sustavno poznavanje i praćenje ključnih čimbenika u fazi prije preuzimanja predstavlja važan preduvjet uspješnosti procesa spajanja i preuzimanja, čime se u </w:t>
      </w:r>
      <w:r w:rsidRPr="00BE5472">
        <w:rPr>
          <w:rFonts w:ascii="Times New Roman" w:hAnsi="Times New Roman" w:cs="Times New Roman"/>
          <w:b/>
          <w:sz w:val="24"/>
          <w:szCs w:val="24"/>
          <w:lang w:val="it-IT"/>
        </w:rPr>
        <w:t>ovom segmentu dodatno potvrđuje hipoteza H1.</w:t>
      </w:r>
    </w:p>
    <w:p w14:paraId="0B2B78B5" w14:textId="77777777" w:rsidR="00120B4F" w:rsidRDefault="00120B4F" w:rsidP="00E65810">
      <w:pPr>
        <w:pStyle w:val="Heading4"/>
        <w:rPr>
          <w:rFonts w:ascii="Times New Roman" w:hAnsi="Times New Roman" w:cs="Times New Roman"/>
          <w:lang w:val="it-IT"/>
        </w:rPr>
      </w:pPr>
      <w:bookmarkStart w:id="264" w:name="_Toc241865180"/>
      <w:r w:rsidRPr="00BE5472">
        <w:rPr>
          <w:rFonts w:ascii="Times New Roman" w:hAnsi="Times New Roman" w:cs="Times New Roman"/>
          <w:lang w:val="it-IT"/>
        </w:rPr>
        <w:t>5.3.1.3. Rasprava o ključnim čimbenicima uspjeha u fazi integracije</w:t>
      </w:r>
      <w:bookmarkEnd w:id="264"/>
    </w:p>
    <w:p w14:paraId="42AC46C5" w14:textId="77777777" w:rsidR="00F548D6" w:rsidRPr="00F548D6" w:rsidRDefault="00F548D6" w:rsidP="00F548D6">
      <w:pPr>
        <w:rPr>
          <w:lang w:val="it-IT"/>
        </w:rPr>
      </w:pPr>
    </w:p>
    <w:p w14:paraId="1DC25E3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Za razliku od faze koja prethodi integraciji, rezultati istraživanja pokazuju da se tijekom integracije fokus jasno pomiče prema organizacijskim i ljudskim čimbenicima uspjeha. Ovakav pomak fokusa potvrđen je i u kvalitativnim rezultatima dobivenima kroz intervjue s menadžerima koji su izravno sudjelovali u postakvizicijskoj integraciji, pri čemu se integracija dosljedno opisuje kao organizacijski i ljudski najzahtjevnija faza procesa spajanja i preuzimanja. Uspostavljanje mehanizama prijenosa znanja i resursa, postavljanje nove upravljačke strukture te pravedan i odlučan odnos prema zaposlenicima istaknuti su kao ključni preduvjeti uspješne integracije. Ovi nalazi u potpunosti su usklađeni s teorijskim pristupima koji integraciju smatraju najkritičnijom fazom procesa spajanja i preuzimanja, u kojoj se često odlučuje o konačnom uspjehu ili neuspjehu preuzimanja (Kim i Olsen 1999).</w:t>
      </w:r>
    </w:p>
    <w:p w14:paraId="44A45E9C"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Posebno je značajno isticanje važnosti zadržavanja ključnih zaposlenika i jasne komunikacije prema zaposlenima poduzeća mete. Time se potvrđuje da se uspješna integracija ne može svesti na formalno spajanje struktura, već zahtijeva aktivno upravljanje ljudskim kapitalom, povjerenjem </w:t>
      </w:r>
      <w:r w:rsidRPr="00BE5472">
        <w:rPr>
          <w:rFonts w:ascii="Times New Roman" w:hAnsi="Times New Roman" w:cs="Times New Roman"/>
          <w:sz w:val="24"/>
          <w:szCs w:val="24"/>
          <w:lang w:val="it-IT"/>
        </w:rPr>
        <w:lastRenderedPageBreak/>
        <w:t>i organizacijskom legitimnošću. Ovakvi rezultati usklađeni su s teorijskim spoznajama prema kojima su gubitak ključnih zaposlenika, otpor promjenama i neadekvatna komunikacija među najčešćim uzrocima neuspjeha integracijskih procesa.</w:t>
      </w:r>
    </w:p>
    <w:p w14:paraId="70CE543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Nešto veća raznolikost stavova u procjeni brzine integracije dodatno ukazuje na kompleksnost ove faze. Iako se brzina integracije percipira kao važna, rezultati ukazuju da ispitanici istodobno prepoznaju rizike prebrzog provođenja promjena, što upućuje na potrebu pažljivog balansiranja između učinkovitosti i stabilnosti organizacije.</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Intervjui dodatno razjašnjavaju ovu ambivalentnost, jer ispitanici istodobno naglašavaju potrebu za trenutačnim započinjanjem integracije nakon preuzimanja, ali i za postupnim, faznim uvođenjem promjena kako bi se izbjegli operativni poremećaji i pojačan otpor zaposlenika.</w:t>
      </w:r>
    </w:p>
    <w:p w14:paraId="3681E87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Kvalitativni odgovori ispitanika dodatno produbljuju razumijevanje čimbenika uspješne integracije te naglašavaju operativne i organizacijske aspekte koji nadopunjuju kvantitativne rezultate. Posebno se ističe potreba za snažnim i kontinuiranim fokusom najvišeg menadžmenta poduzeća preuzimatelja na poduzeće metu tijekom integracijskog procesa. Ispitanici naglašavaju da aktivna uključenost vrha organizacije djeluje kao signal važnosti integracije, ali i kao ključni mehanizam za brzo donošenje odluka i rješavanje operativnih izazova koji se javljaju u postakvizicijskoj fazi.</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U intervjuima se uloga najvišeg menadžmenta pritom ne pojavljuje samo kao formalna odgovornost, već kao ključni operativni i simbolički mehanizam integracije, koji omogućuje brzo donošenje odluka i zaposlenicima signalizira važnost procesa.</w:t>
      </w:r>
    </w:p>
    <w:p w14:paraId="30C034D0" w14:textId="1A6ACC9D"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Dodatno, ispitanici ističu važnost uspostave i prijenosa najboljih praksi iz poduzeća preuzimatelja na poduzeće metu, neovisno o tome dolazi li do potpune pravne integracije ili poduzeće meta ostaje zaseban pravni subjekt. U tom kontekstu naglašava se mogućnost ostvarivanja upravljačkih i organizacijskih sinergija kroz ugovore o upravljanju, što omogućuje realizaciju m</w:t>
      </w:r>
      <w:r w:rsidR="00450F24" w:rsidRPr="00BE5472">
        <w:rPr>
          <w:rFonts w:ascii="Times New Roman" w:hAnsi="Times New Roman" w:cs="Times New Roman"/>
          <w:sz w:val="24"/>
          <w:szCs w:val="24"/>
          <w:lang w:val="it-IT"/>
        </w:rPr>
        <w:t>e</w:t>
      </w:r>
      <w:r w:rsidRPr="00BE5472">
        <w:rPr>
          <w:rFonts w:ascii="Times New Roman" w:hAnsi="Times New Roman" w:cs="Times New Roman"/>
          <w:sz w:val="24"/>
          <w:szCs w:val="24"/>
          <w:lang w:val="it-IT"/>
        </w:rPr>
        <w:t>na</w:t>
      </w:r>
      <w:r w:rsidR="00450F24" w:rsidRPr="00BE5472">
        <w:rPr>
          <w:rFonts w:ascii="Times New Roman" w:hAnsi="Times New Roman" w:cs="Times New Roman"/>
          <w:sz w:val="24"/>
          <w:szCs w:val="24"/>
          <w:lang w:val="it-IT"/>
        </w:rPr>
        <w:t>dž</w:t>
      </w:r>
      <w:r w:rsidRPr="00BE5472">
        <w:rPr>
          <w:rFonts w:ascii="Times New Roman" w:hAnsi="Times New Roman" w:cs="Times New Roman"/>
          <w:sz w:val="24"/>
          <w:szCs w:val="24"/>
          <w:lang w:val="it-IT"/>
        </w:rPr>
        <w:t>erskih sinergija uz zadržavanje pravne autonomije poduzeća mete. Ovakav pristup proizlazi iz praktičnih iskustava ispitanika, koji integraciju opisuju kao prilagodljiv proces, a ne kao jedinstveni, unaprijed zadani model primjenjiv na sve objekte i destinacije. Ovi rezultati potvrđuju fleksibilnost integracijskih modela u hotelskom sektoru i prilagodbu strukture integracije specifičnostima imovine i tržišta.</w:t>
      </w:r>
      <w:r w:rsidRPr="00BE5472">
        <w:rPr>
          <w:rFonts w:ascii="Times New Roman" w:hAnsi="Times New Roman" w:cs="Times New Roman"/>
          <w:lang w:val="it-IT"/>
        </w:rPr>
        <w:t xml:space="preserve"> </w:t>
      </w:r>
    </w:p>
    <w:p w14:paraId="58B6D4A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Poseban naglasak stavlja se na upravljanje ljudskim resursima kao kritičnu dimenziju integracije. Ispitanici ponavljano naglašavaju potrebu pravodobnog identificiranja i zadržavanja izvrsnih </w:t>
      </w:r>
      <w:r w:rsidRPr="00BE5472">
        <w:rPr>
          <w:rFonts w:ascii="Times New Roman" w:hAnsi="Times New Roman" w:cs="Times New Roman"/>
          <w:sz w:val="24"/>
          <w:szCs w:val="24"/>
          <w:lang w:val="it-IT"/>
        </w:rPr>
        <w:lastRenderedPageBreak/>
        <w:t>zaposlenika i ključnih menadžera, pri čemu se kao posebno važan element ističe korporativna kultura. U slučajevima kada je postojeća kultura poduzeća mete percipirana kao kvalitetna i funkcionalna, ispitanici smatraju da ju je potrebno očuvati kako bi se izbjegao gubitak znanja, motivacije i organizacijskog identiteta.</w:t>
      </w:r>
    </w:p>
    <w:p w14:paraId="7908A9E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Nadalje, kvalitativni odgovori jasno ukazuju na važnost transparentne i dosljedne komunikacije prema zaposlenicima poduzeća mete tijekom cijelog integracijskog procesa. Jasna komunikacija o ciljevima integracije, očekivanjima i promjenama u organizaciji percipira se kao ključan alat za smanjenje neizvjesnosti, otpornosti prema promjenama i potencijalnih konflikata. Intervjui pokazuju da se komunikacija ne percipira samo kao informativna aktivnost, već kao temeljni alat upravljanja strahom, nesigurnošću i otporom zaposlenika u ranim fazama integracije. Ovaj rezultat dodatno nadopunjuje kvantitativno visoko rangirane socijalne i organizacijske čimbenike integracije.</w:t>
      </w:r>
    </w:p>
    <w:p w14:paraId="5C6B460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Ispitanici također ističu ujednačavanje radnih i materijalnih uvjeta, uključujući visinu primanja, sustave nagrađivanja i ostale koristi, kao važan element stabilizacije poslovanja nakon preuzimanja. Ovakve mjere percipiraju se kao signal pravednosti i jednakog tretmana zaposlenika, što može pozitivno utjecati na njihovu motivaciju, lojalnost i spremnost na prihvaćanje promjena u integracijskoj fazi.</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Kvalitativni rezultati ukazuju na to da se ove mjere percipiraju ne samo kao administrativne prilagodbe, već kao snažan signal pravednosti i jednakog tretmana, što izravno utječe na razinu povjerenja i spremnost zaposlenika na prihvaćanje promjena.</w:t>
      </w:r>
    </w:p>
    <w:p w14:paraId="1A6A7A7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Dodatni čimbenici koje su ispitanici naveli ukazuju na to da se uspješnost integracije u hotelskom sektoru ne temelji isključivo na formalnim strukturama i planovima, već u velikoj mjeri ovisi o kvaliteti upravljanja ljudima, komunikaciji i sposobnosti prilagodbe organizacijskih praksi specifičnom kontekstu poduzeća mete.</w:t>
      </w:r>
    </w:p>
    <w:p w14:paraId="01E8439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Dobiveni rezultati snažno su u skladu s procesnim pristupima integraciji nakon spajanja i preuzimanja, prema kojima se stvaranje vrijednosti ostvaruje prvenstveno kroz način na koji se upravlja organizacijskim, ljudskim i kulturnim aspektima integracije, a ne kroz samu formalnu transakciju (Larsson i Finkelstein 1999; Graebner i sur. 2017). Posebno isticanje prijenosa kompetencija, uspostave nove upravljačke strukture te upravljanja ljudskim resursima može se interpretirati kao potvrda teze da je organizacijska integracija ključni mehanizam ostvarivanja sinergijskih učinaka.</w:t>
      </w:r>
    </w:p>
    <w:p w14:paraId="46754847"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U tom smislu, rezultati istraživanja mogu se povezati s okvirom Haspeslagha i Jemisona (1991), prema kojem uspješnost integracije ovisi o ravnoteži između strateške međuovisnosti i organizacijske autonomije. Naglasak ispitanika na očuvanju kvalitetnih elemenata postojeće korporativne kulture, uz istodobni prijenos najboljih praksi i upravljačkih kompetencija, upućuje na preferenciju hibridnih integracijskih modela, koji omogućuju ostvarivanje menadžerskih i operativnih sinergija bez potpune kulturne asimilacije. Takav pristup osobito je prikladan u hotelskom sektoru, u kojem lokalni kontekst, organizacijska kultura i znanje zaposlenika predstavljaju ključne nematerijalne resurse.</w:t>
      </w:r>
    </w:p>
    <w:p w14:paraId="1C62988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Nadalje, snažan naglasak na komunikaciji, pravednom odnosu prema zaposlenicima te zadržavanju ključnog osoblja potvrđuje rezultate brojnih istraživanja koja ističu da su „meki“ elementi integracije jednako, ako ne i važniji, od strukturnih i financijskih intervencija (Birkinshaw i sur. 2000; Kroon i sur. 2021). Ovi rezultati dodatno podupiru tezu da uspješna integracija zahtijeva pažljivo upravljanje međuljudskim odnosima, percepcijom pravednosti i osjećajem organizacijske pripadnosti, budući da otpor zaposlenika može značajno umanjiti ostvarenje očekivanih sinergija (Larsson i Finkelstein 1999).</w:t>
      </w:r>
    </w:p>
    <w:p w14:paraId="0D821729" w14:textId="65AC82D5"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Uočena ambivalentnost u procjeni optimalne brzine integracije u skladu je s literaturom koja upozorava da prebrza integracija može povećati organizacijski stres i otpor, dok prespora integracija može dovesti do gubitka fokusa i propuštanja sinergijskih prilika (Bauer i Matzler 2014). Time se potvrđuje da integracija u hotelskom sektoru predstavlja dinamičan proces koji zahtijeva konti</w:t>
      </w:r>
      <w:r w:rsidR="00380FB4" w:rsidRPr="00BE5472">
        <w:rPr>
          <w:rFonts w:ascii="Times New Roman" w:hAnsi="Times New Roman" w:cs="Times New Roman"/>
          <w:sz w:val="24"/>
          <w:szCs w:val="24"/>
          <w:lang w:val="it-IT"/>
        </w:rPr>
        <w:t>nuirano</w:t>
      </w:r>
      <w:r w:rsidRPr="00BE5472">
        <w:rPr>
          <w:rFonts w:ascii="Times New Roman" w:hAnsi="Times New Roman" w:cs="Times New Roman"/>
          <w:sz w:val="24"/>
          <w:szCs w:val="24"/>
          <w:lang w:val="it-IT"/>
        </w:rPr>
        <w:t xml:space="preserve"> prilagođavanje pristupa specifičnim okolnostima poduzeća mete, njegovoj kulturi i strateškim ciljevima preuzimatelja.</w:t>
      </w:r>
    </w:p>
    <w:p w14:paraId="52BF488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rasprave upućuju na to da upravo faza integracije predstavlja kritičnu točku uspješnosti procesa, pri čemu se dosljedno praćenje identificiranih čimbenika pokazuje ključnim za ostvarenje planiranih sinergija, što je u skladu s hipotezom H1.</w:t>
      </w:r>
    </w:p>
    <w:p w14:paraId="0F4D30B8" w14:textId="77777777" w:rsidR="00120B4F" w:rsidRDefault="00120B4F" w:rsidP="00E65810">
      <w:pPr>
        <w:pStyle w:val="Heading4"/>
        <w:rPr>
          <w:rFonts w:ascii="Times New Roman" w:hAnsi="Times New Roman" w:cs="Times New Roman"/>
          <w:lang w:val="it-IT"/>
        </w:rPr>
      </w:pPr>
      <w:bookmarkStart w:id="265" w:name="_Toc241865181"/>
      <w:r w:rsidRPr="00BE5472">
        <w:rPr>
          <w:rFonts w:ascii="Times New Roman" w:hAnsi="Times New Roman" w:cs="Times New Roman"/>
          <w:lang w:val="it-IT"/>
        </w:rPr>
        <w:t>5.3.1.4. Rasprava o čimbenicima uspješnosti nakon spajanja i preuzimanja</w:t>
      </w:r>
      <w:bookmarkEnd w:id="265"/>
    </w:p>
    <w:p w14:paraId="05A30AEF" w14:textId="77777777" w:rsidR="00F548D6" w:rsidRPr="00F548D6" w:rsidRDefault="00F548D6" w:rsidP="00F548D6">
      <w:pPr>
        <w:rPr>
          <w:lang w:val="it-IT"/>
        </w:rPr>
      </w:pPr>
    </w:p>
    <w:p w14:paraId="1F52AAA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postakvizicijskoj fazi rezultati pokazuju povratak fokusa na operativne i financijske pokazatelje uspješnosti. Intervjui pritom jasno ukazuju na važnost vremenskog odmaka, budući da ispitanici ističu kako se stvarna uspješnost preuzimanja može pouzdano procijeniti tek nakon stabilizacije poslovanja i provedbe ključnih razvojnih aktivnosti. Novčani tijek iz operacija i uobičajeni hotelski </w:t>
      </w:r>
      <w:r w:rsidRPr="00BE5472">
        <w:rPr>
          <w:rFonts w:ascii="Times New Roman" w:hAnsi="Times New Roman" w:cs="Times New Roman"/>
          <w:sz w:val="24"/>
          <w:szCs w:val="24"/>
          <w:lang w:val="it-IT"/>
        </w:rPr>
        <w:lastRenderedPageBreak/>
        <w:t>pokazatelji uspješnosti identificirani su kao ključni kriteriji evaluacije dugoročne uspješnosti preuzimanja, dok promjene u kretanju cijene dionica imaju sekundarnu ulogu. Ovakav nalaz u skladu je s teorijskim pretpostavkama prema kojima se stvarni učinci integracije u hotelijerstvu manifestiraju postupno, kroz stabilizaciju operativnih performansi, a ne kroz kratkoročne tržišne reakcije.</w:t>
      </w:r>
    </w:p>
    <w:p w14:paraId="4168CDA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Prihvaćanje nove organizacijske strukture pritom se ističe kao važan stabilizacijski čimbenik, čime se potvrđuje da se uspješnost procesa spajanja i preuzimanja ne može promatrati kao jednokratan događaj, već kao dugotrajan proces organizacijske prilagodbe i konsolidacije.</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Kvalitativni nalazi upućuju na to da se prihvaćanje nove organizacijske strukture često događa postupno te da predstavlja preduvjet za konsolidaciju operativnih i financijskih rezultata u razdoblju nakon formalnog završetka integracije.</w:t>
      </w:r>
    </w:p>
    <w:p w14:paraId="6CA5B65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Kvalitativni odgovori ispitanika dodatno produbljuju razumijevanje načina na koji se uspješnost procesa spajanja i preuzimanja vrednuje nakon završetka integracije. Ispitanici naglašavaju da se formalni financijski i operativni pokazatelji nadopunjuju procjenom ostvarenja inicijalno definiranih poslovnih planova, osobito u pogledu realizacije razvojnih ulaganja i ostvarivanja identificiranog </w:t>
      </w:r>
      <w:r w:rsidRPr="00BE5472">
        <w:rPr>
          <w:rFonts w:ascii="Times New Roman" w:hAnsi="Times New Roman" w:cs="Times New Roman"/>
          <w:i/>
          <w:iCs/>
          <w:sz w:val="24"/>
          <w:szCs w:val="24"/>
          <w:lang w:val="it-IT"/>
        </w:rPr>
        <w:t>upside</w:t>
      </w:r>
      <w:r w:rsidRPr="00BE5472">
        <w:rPr>
          <w:rFonts w:ascii="Times New Roman" w:hAnsi="Times New Roman" w:cs="Times New Roman"/>
          <w:sz w:val="24"/>
          <w:szCs w:val="24"/>
          <w:lang w:val="it-IT"/>
        </w:rPr>
        <w:t xml:space="preserve"> potencijala. U intervjuima se uspješnost akvizicije često opisuje kroz pitanje u kojoj se mjeri poduzeće približilo razvojnim projekcijama koje su postavljene u trenutku preuzimanja, a ne isključivo kroz kratkoročne financijske rezultate. U tom kontekstu, uspješnost akvizicije promatra se kao stupanj u kojem je poduzeće preuzimatelj uspjelo realizirati strateške pretpostavke na temelju kojih je transakcija inicirana.</w:t>
      </w:r>
    </w:p>
    <w:p w14:paraId="2C4FFB92" w14:textId="22847DEC"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Poseban naglasak stavlja se na ulogu znanja kao dugoročnog pokazatelja uspješnosti, pri čemu ispitanici ističu da prijenos i zadržavanje organizacijskog znanja predstavlja ključan, ali često teško mjerljiv ishod postakvizicijskog procesa. Znanje se pritom promatra kao temelj za održivost postignutih operativnih rezultata, ali i kao preduvjet daljnjeg razvoja i prilagodbe poslovanja u promjenjivom tržišnom okruženju.</w:t>
      </w:r>
      <w:r w:rsidRPr="00BE5472">
        <w:rPr>
          <w:rFonts w:ascii="Times New Roman" w:hAnsi="Times New Roman" w:cs="Times New Roman"/>
          <w:lang w:val="it-IT"/>
        </w:rPr>
        <w:t xml:space="preserve"> </w:t>
      </w:r>
      <w:r w:rsidRPr="00BE5472">
        <w:rPr>
          <w:rFonts w:ascii="Times New Roman" w:hAnsi="Times New Roman" w:cs="Times New Roman"/>
          <w:sz w:val="24"/>
          <w:szCs w:val="24"/>
          <w:lang w:val="it-IT"/>
        </w:rPr>
        <w:t>Ispitanici u intervjuima naglašavaju da se gubitak znanja i ključnih ljudi često ne reflektira odmah u financijskim pokazateljima, ali dugoročno može značajno ograničiti ostvarenje planiranih sinergija i razvojnih ciljeva</w:t>
      </w:r>
      <w:r w:rsidR="00C31894" w:rsidRPr="00BE5472">
        <w:rPr>
          <w:rFonts w:ascii="Times New Roman" w:hAnsi="Times New Roman" w:cs="Times New Roman"/>
          <w:sz w:val="24"/>
          <w:szCs w:val="24"/>
          <w:lang w:val="it-IT"/>
        </w:rPr>
        <w:t>.</w:t>
      </w:r>
    </w:p>
    <w:p w14:paraId="1372E81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Ispitanici također naglašavaju potrebu za razlikovanjem između trenutačnih operativnih pokazatelja i dugoročnih razvojnih ciljeva. Postojeći hotelski KPI-evi prepoznaju se kao koristan orijentir za praćenje tekućeg poslovanja, no ističe se da poduzeće preuzimatelj paralelno izrađuje </w:t>
      </w:r>
      <w:r w:rsidRPr="00BE5472">
        <w:rPr>
          <w:rFonts w:ascii="Times New Roman" w:hAnsi="Times New Roman" w:cs="Times New Roman"/>
          <w:sz w:val="24"/>
          <w:szCs w:val="24"/>
          <w:lang w:val="it-IT"/>
        </w:rPr>
        <w:lastRenderedPageBreak/>
        <w:t xml:space="preserve">vlastite </w:t>
      </w:r>
      <w:r w:rsidRPr="00BE5472">
        <w:rPr>
          <w:rFonts w:ascii="Times New Roman" w:hAnsi="Times New Roman" w:cs="Times New Roman"/>
          <w:i/>
          <w:iCs/>
          <w:sz w:val="24"/>
          <w:szCs w:val="24"/>
          <w:lang w:val="it-IT"/>
        </w:rPr>
        <w:t>feasibility</w:t>
      </w:r>
      <w:r w:rsidRPr="00BE5472">
        <w:rPr>
          <w:rFonts w:ascii="Times New Roman" w:hAnsi="Times New Roman" w:cs="Times New Roman"/>
          <w:sz w:val="24"/>
          <w:szCs w:val="24"/>
          <w:lang w:val="it-IT"/>
        </w:rPr>
        <w:t xml:space="preserve"> studije i poslovne planove koji reflektiraju njegovu viziju budućeg razvoja poduzeća mete. Kvalitativni rezultati pokazuju da menadžment KPI-eve doživljava prvenstveno kao operativni alat kontrole, dok se stvarna evaluacija uspješnosti preuzimanja temelji na usporedbi ostvarenog razvoja s internim studijama izvedivosti i dugoročnim strateškim planovima. Time se dodatno potvrđuje da se postakvizicijska uspješnost ne procjenjuje isključivo kroz ostvarenje kratkoročnih financijskih rezultata, već kroz sposobnost realizacije dugoročnog poslovnog koncepta.</w:t>
      </w:r>
    </w:p>
    <w:p w14:paraId="3A3E318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Prilagodba korporativne kulture navodi se kao važan kvalitativni pokazatelj uspješnosti nakon integracije, osobito u kontekstu prihvaćanja nove organizacijske strukture. Intervjui ukazuju na to da se kulturna neusklađenost često prepoznaje tek s vremenskim odmakom, kada početni financijski rezultati više ne mogu kompenzirati probleme u svakodnevnom funkcioniranju organizacije. Ispitanici ukazuju na to da neusklađenost vrijednosti, normi i načina rada može dugoročno umanjiti učinke ostvarene integracijom, čak i u slučajevima kada su financijski i operativni rezultati inicijalno zadovoljavajući. Stoga se uspješnost akvizicije promatra i kroz stupanj u kojem je ostvarena funkcionalna i održiva kulturna prilagodba.</w:t>
      </w:r>
    </w:p>
    <w:p w14:paraId="7EFE5E2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Naposljetku, ispitanici ističu praćenje realizacije studija povrata na ulaganja kao važan element postakvizicijskog upravljanja. Sustavno praćenje ostvarenja planiranih povrata omogućuje pravodobnu evaluaciju opravdanosti akvizicije te eventualnu prilagodbu strategije u slučaju odstupanja od očekivanih rezultata. Ovaj rezultat dodatno potvrđuje da se postakvizicijska faza ne percipira kao završetak procesa, već kao kontinuirani ciklus praćenja, evaluacije i prilagodbe.</w:t>
      </w:r>
    </w:p>
    <w:p w14:paraId="7F6F102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Ovakav obrazac rezultata u skladu je s teorijskim pristupima koji postakvizicijsku fazu promatraju kao fazu realizacije i evaluacije integracijskih odluka, u kojoj se stvarna uspješnost procesa spajanja i preuzimanja potvrđuje tek kroz vrijeme, stabilizacijom operativnih performansi i ostvarivanjem očekivanih sinergijskih učinaka (Kim i Olsen, 1999a; Larsson i Finkelstein, 1999; Steigenberger, 2016).</w:t>
      </w:r>
    </w:p>
    <w:p w14:paraId="62CA9588" w14:textId="5A033399"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 postakvizicijskoj fazi, rezultati rasprave dodatno potvrđuju da kontinuirano praćenje operativnih, financijskih i tržišnih pokazatelja uspješnosti predstavlja sastavni dio uspješnog integracijskog procesa, čime se hipoteza H1 potvrđuje i u ovoj fazi.</w:t>
      </w:r>
    </w:p>
    <w:p w14:paraId="5DA5593D" w14:textId="77777777" w:rsidR="00F548D6" w:rsidRDefault="00F548D6" w:rsidP="00E65810">
      <w:pPr>
        <w:pStyle w:val="Heading4"/>
        <w:rPr>
          <w:rFonts w:ascii="Times New Roman" w:hAnsi="Times New Roman" w:cs="Times New Roman"/>
          <w:lang w:val="it-IT"/>
        </w:rPr>
        <w:sectPr w:rsidR="00F548D6" w:rsidSect="00D63A8E">
          <w:pgSz w:w="12240" w:h="15840"/>
          <w:pgMar w:top="1440" w:right="1440" w:bottom="1440" w:left="1440" w:header="708" w:footer="708" w:gutter="0"/>
          <w:cols w:space="708"/>
          <w:docGrid w:linePitch="360"/>
        </w:sectPr>
      </w:pPr>
    </w:p>
    <w:p w14:paraId="10D770A1" w14:textId="77777777" w:rsidR="00120B4F" w:rsidRDefault="00120B4F" w:rsidP="00E65810">
      <w:pPr>
        <w:pStyle w:val="Heading4"/>
        <w:rPr>
          <w:rFonts w:ascii="Times New Roman" w:hAnsi="Times New Roman" w:cs="Times New Roman"/>
          <w:lang w:val="it-IT"/>
        </w:rPr>
      </w:pPr>
      <w:bookmarkStart w:id="266" w:name="_Toc241865182"/>
      <w:r w:rsidRPr="00BE5472">
        <w:rPr>
          <w:rFonts w:ascii="Times New Roman" w:hAnsi="Times New Roman" w:cs="Times New Roman"/>
          <w:lang w:val="it-IT"/>
        </w:rPr>
        <w:lastRenderedPageBreak/>
        <w:t>5.3.1.5. Sinteza i osvrt</w:t>
      </w:r>
      <w:bookmarkEnd w:id="266"/>
    </w:p>
    <w:p w14:paraId="4A955331" w14:textId="77777777" w:rsidR="00F548D6" w:rsidRPr="00F548D6" w:rsidRDefault="00F548D6" w:rsidP="00F548D6">
      <w:pPr>
        <w:rPr>
          <w:lang w:val="it-IT"/>
        </w:rPr>
      </w:pPr>
    </w:p>
    <w:p w14:paraId="34088B6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ovog istraživanja potvrđuju da uspješnost procesa spajanja i preuzimanja u hotelijerstvu nije determinirana jedinstvenim skupom čimbenika, već se oblikuje kroz niz međusobno povezanih faza, u kojima se relativna važnost pojedinih motiva i čimbenika značajno mijenja. Integracija kvantitativnih rezultata dobivenih Likertovim ispitivanjem i kvalitativnih uvida prikupljenih kroz intervjue omogućila je identifikaciju ne samo relativne važnosti pojedinih čimbenika uspješnosti, već i razumijevanje njihovog značenja, međusobnih odnosa i promjenjive uloge kroz faze procesa spajanja i preuzimanja.</w:t>
      </w:r>
    </w:p>
    <w:p w14:paraId="46D7FF9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početnim fazama procesa dominiraju strateški, lokacijski i financijski aspekti, pri čemu se odluka o preuzimanju temelji na procjeni dugoročne tržišne vrijednosti, potencijala rasta i ekonomske opravdanosti transakcije. Posebno se ističe uloga lokacije i destinacije, kao i procjena </w:t>
      </w:r>
      <w:r w:rsidRPr="00BE5472">
        <w:rPr>
          <w:rFonts w:ascii="Times New Roman" w:hAnsi="Times New Roman" w:cs="Times New Roman"/>
          <w:i/>
          <w:iCs/>
          <w:sz w:val="24"/>
          <w:szCs w:val="24"/>
          <w:lang w:val="it-IT"/>
        </w:rPr>
        <w:t>upside</w:t>
      </w:r>
      <w:r w:rsidRPr="00BE5472">
        <w:rPr>
          <w:rFonts w:ascii="Times New Roman" w:hAnsi="Times New Roman" w:cs="Times New Roman"/>
          <w:sz w:val="24"/>
          <w:szCs w:val="24"/>
          <w:lang w:val="it-IT"/>
        </w:rPr>
        <w:t xml:space="preserve"> potencijala hotelske imovine, što potvrđuje da se akvizicije u hotelijerstvu iniciraju prvenstveno kao dugoročne razvojne investicije, a ne kao kratkoročne financijske prilike. Ovakav rezultat u potpunosti je u skladu s teorijskim postavkama koje spajanja i preuzimanja promatraju kao strateške investicijske odluke, osobito u kapitalno intenzivnim sektorima poput hotelijerstva (Kim i Olsen, 1999; Yaghoubi i sur., 2016).</w:t>
      </w:r>
    </w:p>
    <w:p w14:paraId="677577FB"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Kako proces napreduje prema fazi integracije, fokus se postupno premješta s „tvrdih“ pokazatelja na organizacijske i ljudske čimbenike uspjeha. Upravljanje ljudskim kapitalom, uspostava funkcionalnih upravljačkih struktura, prijenos znanja te legitimna i transparentna komunikacija prema zaposlenicima prepoznaju se kao ključni preduvjeti uspješne integracije. Empirijski nalazi dodatno ukazuju na važnost aktivne uključenosti najvišeg menadžmenta, prilagodbe integracijskog modela specifičnostima poduzeća mete te očuvanja kvalitetnih elemenata postojeće korporativne kulture. Ova promjena fokusa potvrđuje temeljnu pretpostavku teorije postakvizicijske integracije prema kojoj se stvarna vrijednost preuzimanja ne ostvaruje u trenutku zaključenja transakcije, već kroz sposobnost organizacije da integrira resurse, procese i ljude u koherentan i funkcionalan sustav.</w:t>
      </w:r>
    </w:p>
    <w:p w14:paraId="2088CB8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 postakvizicijskoj fazi, naglasak se ponovno pomiče prema operativnoj i financijskoj učinkovitosti, pri čemu se uspješnost preuzimanja evaluira kroz stabilnost novčanih tokova, ostvarenje planiranih operativnih pokazatelja te prihvaćanje nove organizacijske strukture. </w:t>
      </w:r>
      <w:r w:rsidRPr="00BE5472">
        <w:rPr>
          <w:rFonts w:ascii="Times New Roman" w:hAnsi="Times New Roman" w:cs="Times New Roman"/>
          <w:sz w:val="24"/>
          <w:szCs w:val="24"/>
          <w:lang w:val="it-IT"/>
        </w:rPr>
        <w:lastRenderedPageBreak/>
        <w:t>Međutim, rezultati istraživanja upućuju na to da se evaluacija uspješnosti ne iscrpljuje u standardnim financijskim pokazateljima, već uključuje i ostvarenje inicijalno definiranih razvojnih planova, povrat na ulaganja te sposobnost organizacije da dugoročno zadrži i razvija znanje i organizacijske kompetencije. Takav obrazac potvrđuje da se konačna uspješnost procesa spajanja i preuzimanja u hotelijerstvu može procijeniti tek s vremenskim odmakom, kroz realizaciju strateških pretpostavki na temelju kojih je preuzimanje započeto. Time se istraživanje znanstveno nadovezuje na fazne modele procesa spajanja i preuzimanja, ali ih istodobno empirijski nadopunjuje naglašavanjem sektorskih specifičnosti hrvatskog hotelijerstva i vremenske dimenzije uspješnosti, koja u postojećoj literaturi često ostaje nedovoljno razrađena.</w:t>
      </w:r>
    </w:p>
    <w:p w14:paraId="3AF3B5E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istraživanja potvrđuju da se procesi spajanja i preuzimanja u hotelijerstvu trebaju promatrati kao dugoročni, dinamični i fazno uvjetovani procesi, čija uspješnost ovisi o usklađenosti strateških odluka, organizacijskih kapaciteta i operativne izvedbe. Time se dodatno naglašava potreba za integriranim pristupom upravljanju procesima spajanja i preuzimanja, koji nadilazi usku financijsku perspektivu i uvažava specifičnosti hotelske industrije, osobito njezinu prostornu, organizacijsku i ljudsku dimenziju.</w:t>
      </w:r>
    </w:p>
    <w:p w14:paraId="32956469" w14:textId="47DF6BB8"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Fokus procesa spajanja i preuzimanja u hrvatskom hotelijerstvu pomiče se od strateško-lokacijskih i financijskih razmatranja u inicijalnim fazama, prema organizacijskim i ljudskim čimbenicima tijekom integracije te završno prema operativnim i razvojnim pokazateljima dugoročne uspješnosti. </w:t>
      </w:r>
    </w:p>
    <w:p w14:paraId="2839EAA9" w14:textId="2F79C67A"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Kako bi se dodatno saželi i pregledno prikazali uočeni obrasci, Tablica </w:t>
      </w:r>
      <w:r w:rsidR="00127A4E">
        <w:rPr>
          <w:rFonts w:ascii="Times New Roman" w:hAnsi="Times New Roman" w:cs="Times New Roman"/>
          <w:sz w:val="24"/>
          <w:szCs w:val="24"/>
          <w:lang w:val="it-IT"/>
        </w:rPr>
        <w:t>72</w:t>
      </w:r>
      <w:r w:rsidRPr="00BE5472">
        <w:rPr>
          <w:rFonts w:ascii="Times New Roman" w:hAnsi="Times New Roman" w:cs="Times New Roman"/>
          <w:sz w:val="24"/>
          <w:szCs w:val="24"/>
          <w:lang w:val="it-IT"/>
        </w:rPr>
        <w:t xml:space="preserve"> donosi sintezni prikaz dominantnih motiva i čimbenika uspjeha procesa spajanja i preuzimanja u hotelijerstvu prema fazama procesa.</w:t>
      </w:r>
    </w:p>
    <w:p w14:paraId="1B8DC3AF" w14:textId="77777777" w:rsidR="00A64B24" w:rsidRDefault="00A64B24" w:rsidP="00120B4F">
      <w:pPr>
        <w:spacing w:line="360" w:lineRule="auto"/>
        <w:jc w:val="both"/>
        <w:rPr>
          <w:rFonts w:ascii="Times New Roman" w:hAnsi="Times New Roman" w:cs="Times New Roman"/>
          <w:sz w:val="24"/>
          <w:szCs w:val="24"/>
          <w:lang w:val="it-IT"/>
        </w:rPr>
        <w:sectPr w:rsidR="00A64B24" w:rsidSect="00D63A8E">
          <w:pgSz w:w="12240" w:h="15840"/>
          <w:pgMar w:top="1440" w:right="1440" w:bottom="1440" w:left="1440" w:header="708" w:footer="708" w:gutter="0"/>
          <w:cols w:space="708"/>
          <w:docGrid w:linePitch="360"/>
        </w:sectPr>
      </w:pPr>
    </w:p>
    <w:p w14:paraId="57F2438D" w14:textId="7BC56460" w:rsidR="000E4A4D" w:rsidRPr="00044BF6" w:rsidRDefault="00044BF6" w:rsidP="00044BF6">
      <w:pPr>
        <w:pStyle w:val="Caption"/>
        <w:rPr>
          <w:rFonts w:ascii="Times New Roman" w:hAnsi="Times New Roman" w:cs="Times New Roman"/>
          <w:sz w:val="24"/>
          <w:szCs w:val="24"/>
          <w:lang w:val="it-IT"/>
        </w:rPr>
      </w:pPr>
      <w:bookmarkStart w:id="267" w:name="_Toc241865266"/>
      <w:r w:rsidRPr="00044BF6">
        <w:rPr>
          <w:rFonts w:ascii="Times New Roman" w:hAnsi="Times New Roman" w:cs="Times New Roman"/>
          <w:sz w:val="24"/>
          <w:szCs w:val="24"/>
        </w:rPr>
        <w:lastRenderedPageBreak/>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Pr>
          <w:rFonts w:ascii="Times New Roman" w:hAnsi="Times New Roman" w:cs="Times New Roman"/>
          <w:noProof/>
          <w:sz w:val="24"/>
          <w:szCs w:val="24"/>
        </w:rPr>
        <w:t>72</w:t>
      </w:r>
      <w:r w:rsidRPr="00044BF6">
        <w:rPr>
          <w:rFonts w:ascii="Times New Roman" w:hAnsi="Times New Roman" w:cs="Times New Roman"/>
          <w:sz w:val="24"/>
          <w:szCs w:val="24"/>
        </w:rPr>
        <w:fldChar w:fldCharType="end"/>
      </w:r>
      <w:r w:rsidR="00D83A34" w:rsidRPr="00044BF6">
        <w:rPr>
          <w:rFonts w:ascii="Times New Roman" w:hAnsi="Times New Roman" w:cs="Times New Roman"/>
          <w:sz w:val="24"/>
          <w:szCs w:val="24"/>
          <w:lang w:val="it-IT"/>
        </w:rPr>
        <w:t>:</w:t>
      </w:r>
      <w:r w:rsidR="000E4A4D" w:rsidRPr="00044BF6">
        <w:rPr>
          <w:rFonts w:ascii="Times New Roman" w:hAnsi="Times New Roman" w:cs="Times New Roman"/>
          <w:sz w:val="24"/>
          <w:szCs w:val="24"/>
          <w:lang w:val="it-IT"/>
        </w:rPr>
        <w:t xml:space="preserve"> </w:t>
      </w:r>
      <w:r w:rsidR="00FC47F3" w:rsidRPr="00044BF6">
        <w:rPr>
          <w:rFonts w:ascii="Times New Roman" w:hAnsi="Times New Roman" w:cs="Times New Roman"/>
          <w:sz w:val="24"/>
          <w:szCs w:val="24"/>
        </w:rPr>
        <w:t>Sinteza motiva i čimbenika uspjeha spajanja i preuzimanja po fazama</w:t>
      </w:r>
      <w:bookmarkEnd w:id="267"/>
    </w:p>
    <w:tbl>
      <w:tblPr>
        <w:tblStyle w:val="TableGrid"/>
        <w:tblW w:w="0" w:type="auto"/>
        <w:tblLook w:val="04A0" w:firstRow="1" w:lastRow="0" w:firstColumn="1" w:lastColumn="0" w:noHBand="0" w:noVBand="1"/>
      </w:tblPr>
      <w:tblGrid>
        <w:gridCol w:w="2084"/>
        <w:gridCol w:w="2085"/>
        <w:gridCol w:w="2154"/>
        <w:gridCol w:w="3027"/>
      </w:tblGrid>
      <w:tr w:rsidR="00120B4F" w:rsidRPr="00BE5472" w14:paraId="33AEFD76" w14:textId="77777777" w:rsidTr="00E65810">
        <w:tc>
          <w:tcPr>
            <w:tcW w:w="0" w:type="auto"/>
            <w:vAlign w:val="center"/>
            <w:hideMark/>
          </w:tcPr>
          <w:p w14:paraId="50EC190E"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Faza procesa</w:t>
            </w:r>
          </w:p>
        </w:tc>
        <w:tc>
          <w:tcPr>
            <w:tcW w:w="0" w:type="auto"/>
            <w:vAlign w:val="center"/>
            <w:hideMark/>
          </w:tcPr>
          <w:p w14:paraId="0C8A08C1"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Dominantni fokus</w:t>
            </w:r>
          </w:p>
        </w:tc>
        <w:tc>
          <w:tcPr>
            <w:tcW w:w="0" w:type="auto"/>
            <w:vAlign w:val="center"/>
            <w:hideMark/>
          </w:tcPr>
          <w:p w14:paraId="267E7F59"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Ključne kategorije čimbenika</w:t>
            </w:r>
          </w:p>
        </w:tc>
        <w:tc>
          <w:tcPr>
            <w:tcW w:w="0" w:type="auto"/>
            <w:vAlign w:val="center"/>
            <w:hideMark/>
          </w:tcPr>
          <w:p w14:paraId="5DE84BC0"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Tipične ključne riječi (iz istraživanja)</w:t>
            </w:r>
          </w:p>
        </w:tc>
      </w:tr>
      <w:tr w:rsidR="00120B4F" w:rsidRPr="00BE5472" w14:paraId="47EC9840" w14:textId="77777777" w:rsidTr="00E65810">
        <w:tc>
          <w:tcPr>
            <w:tcW w:w="0" w:type="auto"/>
            <w:vAlign w:val="center"/>
            <w:hideMark/>
          </w:tcPr>
          <w:p w14:paraId="5B3E633E"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Pokretanje procesa (motivi)</w:t>
            </w:r>
          </w:p>
        </w:tc>
        <w:tc>
          <w:tcPr>
            <w:tcW w:w="0" w:type="auto"/>
            <w:vAlign w:val="center"/>
            <w:hideMark/>
          </w:tcPr>
          <w:p w14:paraId="03723764"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Strateško usmjerenje rasta</w:t>
            </w:r>
          </w:p>
        </w:tc>
        <w:tc>
          <w:tcPr>
            <w:tcW w:w="0" w:type="auto"/>
            <w:vAlign w:val="center"/>
            <w:hideMark/>
          </w:tcPr>
          <w:p w14:paraId="4FC3A017"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Strateški i razvojni motivi</w:t>
            </w:r>
          </w:p>
        </w:tc>
        <w:tc>
          <w:tcPr>
            <w:tcW w:w="0" w:type="auto"/>
            <w:vAlign w:val="center"/>
            <w:hideMark/>
          </w:tcPr>
          <w:p w14:paraId="1EE16501"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 xml:space="preserve">rast, tržišni udio, kapaciteti, destinacija, </w:t>
            </w:r>
            <w:r w:rsidRPr="00BE5472">
              <w:rPr>
                <w:rFonts w:ascii="Times New Roman" w:hAnsi="Times New Roman" w:cs="Times New Roman"/>
                <w:i/>
                <w:iCs/>
                <w:sz w:val="24"/>
                <w:szCs w:val="24"/>
              </w:rPr>
              <w:t>upside</w:t>
            </w:r>
            <w:r w:rsidRPr="00BE5472">
              <w:rPr>
                <w:rFonts w:ascii="Times New Roman" w:hAnsi="Times New Roman" w:cs="Times New Roman"/>
                <w:sz w:val="24"/>
                <w:szCs w:val="24"/>
              </w:rPr>
              <w:t xml:space="preserve"> potencijal, dugoročna vrijednost</w:t>
            </w:r>
          </w:p>
        </w:tc>
      </w:tr>
      <w:tr w:rsidR="00120B4F" w:rsidRPr="00BE5472" w14:paraId="3DF12A4D" w14:textId="77777777" w:rsidTr="00E65810">
        <w:tc>
          <w:tcPr>
            <w:tcW w:w="0" w:type="auto"/>
            <w:vAlign w:val="center"/>
            <w:hideMark/>
          </w:tcPr>
          <w:p w14:paraId="5A99B4A0"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Faza prije preuzimanja</w:t>
            </w:r>
          </w:p>
        </w:tc>
        <w:tc>
          <w:tcPr>
            <w:tcW w:w="0" w:type="auto"/>
            <w:vAlign w:val="center"/>
            <w:hideMark/>
          </w:tcPr>
          <w:p w14:paraId="55B3551C"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Analitička evaluacija transakcije</w:t>
            </w:r>
          </w:p>
        </w:tc>
        <w:tc>
          <w:tcPr>
            <w:tcW w:w="0" w:type="auto"/>
            <w:vAlign w:val="center"/>
            <w:hideMark/>
          </w:tcPr>
          <w:p w14:paraId="5BD4FE18"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Lokacijski, financijski i upravljački čimbenici</w:t>
            </w:r>
          </w:p>
        </w:tc>
        <w:tc>
          <w:tcPr>
            <w:tcW w:w="0" w:type="auto"/>
            <w:vAlign w:val="center"/>
            <w:hideMark/>
          </w:tcPr>
          <w:p w14:paraId="1524C047" w14:textId="2D2E96EC" w:rsidR="00120B4F" w:rsidRPr="00BE5472" w:rsidRDefault="00120B4F" w:rsidP="00E65810">
            <w:pPr>
              <w:jc w:val="center"/>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lokacija, imidž destinacije, sinergije &gt; premija, EBITDA multiplikator, </w:t>
            </w:r>
            <w:r w:rsidRPr="00BE5472">
              <w:rPr>
                <w:rFonts w:ascii="Times New Roman" w:hAnsi="Times New Roman" w:cs="Times New Roman"/>
                <w:i/>
                <w:iCs/>
                <w:sz w:val="24"/>
                <w:szCs w:val="24"/>
                <w:lang w:val="it-IT"/>
              </w:rPr>
              <w:t>due</w:t>
            </w:r>
            <w:r w:rsidRPr="00BE5472">
              <w:rPr>
                <w:rFonts w:ascii="Times New Roman" w:hAnsi="Times New Roman" w:cs="Times New Roman"/>
                <w:sz w:val="24"/>
                <w:szCs w:val="24"/>
                <w:lang w:val="it-IT"/>
              </w:rPr>
              <w:t xml:space="preserve"> </w:t>
            </w:r>
            <w:r w:rsidRPr="00BE5472">
              <w:rPr>
                <w:rFonts w:ascii="Times New Roman" w:hAnsi="Times New Roman" w:cs="Times New Roman"/>
                <w:i/>
                <w:iCs/>
                <w:sz w:val="24"/>
                <w:szCs w:val="24"/>
                <w:lang w:val="it-IT"/>
              </w:rPr>
              <w:t>diligence</w:t>
            </w:r>
            <w:r w:rsidRPr="00BE5472">
              <w:rPr>
                <w:rFonts w:ascii="Times New Roman" w:hAnsi="Times New Roman" w:cs="Times New Roman"/>
                <w:sz w:val="24"/>
                <w:szCs w:val="24"/>
                <w:lang w:val="it-IT"/>
              </w:rPr>
              <w:t>, pravni okvir</w:t>
            </w:r>
          </w:p>
        </w:tc>
      </w:tr>
      <w:tr w:rsidR="00120B4F" w:rsidRPr="00BE5472" w14:paraId="6E018E1E" w14:textId="77777777" w:rsidTr="00E65810">
        <w:tc>
          <w:tcPr>
            <w:tcW w:w="0" w:type="auto"/>
            <w:vAlign w:val="center"/>
            <w:hideMark/>
          </w:tcPr>
          <w:p w14:paraId="67F0A2E3"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Faza integracije</w:t>
            </w:r>
          </w:p>
        </w:tc>
        <w:tc>
          <w:tcPr>
            <w:tcW w:w="0" w:type="auto"/>
            <w:vAlign w:val="center"/>
            <w:hideMark/>
          </w:tcPr>
          <w:p w14:paraId="15A5D348"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Organizacijska i operativna stabilizacija</w:t>
            </w:r>
          </w:p>
        </w:tc>
        <w:tc>
          <w:tcPr>
            <w:tcW w:w="0" w:type="auto"/>
            <w:vAlign w:val="center"/>
            <w:hideMark/>
          </w:tcPr>
          <w:p w14:paraId="15A72B74"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Organizacijski i ljudski čimbenici</w:t>
            </w:r>
          </w:p>
        </w:tc>
        <w:tc>
          <w:tcPr>
            <w:tcW w:w="0" w:type="auto"/>
            <w:vAlign w:val="center"/>
            <w:hideMark/>
          </w:tcPr>
          <w:p w14:paraId="493AC0C1"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prijenos znanja, upravljačka struktura, komunikacija, zadržavanje ključnih zaposlenika, kultura</w:t>
            </w:r>
          </w:p>
        </w:tc>
      </w:tr>
      <w:tr w:rsidR="00120B4F" w:rsidRPr="00BE5472" w14:paraId="29D8B4B8" w14:textId="77777777" w:rsidTr="00E65810">
        <w:tc>
          <w:tcPr>
            <w:tcW w:w="0" w:type="auto"/>
            <w:vAlign w:val="center"/>
            <w:hideMark/>
          </w:tcPr>
          <w:p w14:paraId="4CB60537" w14:textId="77777777" w:rsidR="00120B4F" w:rsidRPr="00BE5472" w:rsidRDefault="00120B4F" w:rsidP="00E65810">
            <w:pPr>
              <w:jc w:val="center"/>
              <w:rPr>
                <w:rFonts w:ascii="Times New Roman" w:hAnsi="Times New Roman" w:cs="Times New Roman"/>
                <w:b/>
                <w:sz w:val="24"/>
                <w:szCs w:val="24"/>
              </w:rPr>
            </w:pPr>
            <w:r w:rsidRPr="00BE5472">
              <w:rPr>
                <w:rFonts w:ascii="Times New Roman" w:hAnsi="Times New Roman" w:cs="Times New Roman"/>
                <w:b/>
                <w:sz w:val="24"/>
                <w:szCs w:val="24"/>
              </w:rPr>
              <w:t>Postakvizicijska faza</w:t>
            </w:r>
          </w:p>
        </w:tc>
        <w:tc>
          <w:tcPr>
            <w:tcW w:w="0" w:type="auto"/>
            <w:vAlign w:val="center"/>
            <w:hideMark/>
          </w:tcPr>
          <w:p w14:paraId="7DF2F39B"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Dugoročna učinkovitost i kontrola</w:t>
            </w:r>
          </w:p>
        </w:tc>
        <w:tc>
          <w:tcPr>
            <w:tcW w:w="0" w:type="auto"/>
            <w:vAlign w:val="center"/>
            <w:hideMark/>
          </w:tcPr>
          <w:p w14:paraId="6C787F56"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Operativni i razvojni pokazatelji</w:t>
            </w:r>
          </w:p>
        </w:tc>
        <w:tc>
          <w:tcPr>
            <w:tcW w:w="0" w:type="auto"/>
            <w:vAlign w:val="center"/>
            <w:hideMark/>
          </w:tcPr>
          <w:p w14:paraId="65B9F429" w14:textId="77777777" w:rsidR="00120B4F" w:rsidRPr="00BE5472" w:rsidRDefault="00120B4F" w:rsidP="00E65810">
            <w:pPr>
              <w:jc w:val="center"/>
              <w:rPr>
                <w:rFonts w:ascii="Times New Roman" w:hAnsi="Times New Roman" w:cs="Times New Roman"/>
                <w:sz w:val="24"/>
                <w:szCs w:val="24"/>
              </w:rPr>
            </w:pPr>
            <w:r w:rsidRPr="00BE5472">
              <w:rPr>
                <w:rFonts w:ascii="Times New Roman" w:hAnsi="Times New Roman" w:cs="Times New Roman"/>
                <w:sz w:val="24"/>
                <w:szCs w:val="24"/>
              </w:rPr>
              <w:t>novčani tok, KPI-evi, ROI, realizacija poslovnih planova, znanje, prihvaćanje strukture</w:t>
            </w:r>
          </w:p>
        </w:tc>
      </w:tr>
    </w:tbl>
    <w:p w14:paraId="7999B8E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izrada autora</w:t>
      </w:r>
    </w:p>
    <w:p w14:paraId="1958643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Prikazani fazni pomak fokusa dodatno potvrđuje da se uspješnost procesa spajanja i preuzimanja u hotelijerstvu ne može sagledavati izolirano, već isključivo kroz integrirani i dugoročni pristup upravljanju svim fazama procesa. </w:t>
      </w:r>
    </w:p>
    <w:p w14:paraId="6F0A7A02" w14:textId="389FF108"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Usporedba empirijskih rezultata s relevantnim teorijskim okvirom upućuje na određene specifičnosti procesa spajanja i preuzimanja u hrvatskom hotelijerstvu u odnosu na dominantne teorijske postavke razvijene u općoj literature o spajanjima i preuzimanjima. Dok znatan dio literature naglašava kratkoročne tržišne reakcije i kretanje cijene dionica kao važne pokazatelje uspješnosti (Hsu i Jang, 2007; Agrawal i sur., 1992), rezultati ovog istraživanja potvrđuju one Kima i Olsena (1999a; 1999b) i Canine i Kima (2010) prema kojima se u industriji smještaja stvarna uspješnost preuzimanja očituje kroz stabilizaciju operativnih performansi, novčane tokove iz operacija i dugoročnu realizaciju strateških ciljeva. Nadalje, izrazito snažan naglasak na lokaciji, imidžu destinacije i razvojnome potencijalu hotelske nekretnine nadilazi njihovu relativnu važnost u većini općih teorijskih modela procesa spajanja i preuzimanja (Yaghoubi i sur., 2016), ali je u potpunosti u skladu s teorijskim i empirijskim nalazima specifičnim za hotelijerstvo, koji lokaciju i destinacijski kontekst identificiraju kao temeljne nositelje konkurentske prednosti (Kim i Olsen, 1999a; Canina, 2009). Za razliku od menadžerskih i bihevioralnih teorija spajanja i preuzimanja </w:t>
      </w:r>
      <w:r w:rsidRPr="00BE5472">
        <w:rPr>
          <w:rFonts w:ascii="Times New Roman" w:hAnsi="Times New Roman" w:cs="Times New Roman"/>
          <w:sz w:val="24"/>
          <w:szCs w:val="24"/>
        </w:rPr>
        <w:lastRenderedPageBreak/>
        <w:t xml:space="preserve">koje naglašavaju ulogu </w:t>
      </w:r>
      <w:r w:rsidRPr="00BE5472">
        <w:rPr>
          <w:rFonts w:ascii="Times New Roman" w:hAnsi="Times New Roman" w:cs="Times New Roman"/>
          <w:i/>
          <w:iCs/>
          <w:sz w:val="24"/>
          <w:szCs w:val="24"/>
        </w:rPr>
        <w:t>hubrisa</w:t>
      </w:r>
      <w:r w:rsidRPr="00BE5472">
        <w:rPr>
          <w:rFonts w:ascii="Times New Roman" w:hAnsi="Times New Roman" w:cs="Times New Roman"/>
          <w:sz w:val="24"/>
          <w:szCs w:val="24"/>
        </w:rPr>
        <w:t xml:space="preserve">, oportunističkog ponašanja menadžmenta i pogrešnog tempiranja tržišta (Goel i Thakor, 2010; Nguyen, Yung i Sun, 2012), empirijski rezultati ovog istraživanja ne upućuju na dominaciju takvih motiva u hrvatskom hotelijerstvu, već na pretežito strateški i dugoročno orijentiran pristup akvizicijama. Ovi rezultati ukazuju na potrebu opreznog prenošenja općih teorijskih modela spajanja i preuzimanja na sektor hotelijerstva, u kojem struktura imovine, uloga destinacije i dugoročna operativna dinamika imaju presudniji utjecaj na uspješnost nego </w:t>
      </w:r>
      <w:r w:rsidR="001A1E28" w:rsidRPr="00BE5472">
        <w:rPr>
          <w:rFonts w:ascii="Times New Roman" w:hAnsi="Times New Roman" w:cs="Times New Roman"/>
          <w:sz w:val="24"/>
          <w:szCs w:val="24"/>
        </w:rPr>
        <w:t>kratkoročni</w:t>
      </w:r>
      <w:r w:rsidRPr="00BE5472">
        <w:rPr>
          <w:rFonts w:ascii="Times New Roman" w:hAnsi="Times New Roman" w:cs="Times New Roman"/>
          <w:sz w:val="24"/>
          <w:szCs w:val="24"/>
        </w:rPr>
        <w:t xml:space="preserve"> tržišni signali. Uočena sklonost fleksibilnim integracijskim rješenjima, koja omogućuju ostvarenje upravljačkih i organizacijskih sinergija uz zadržavanje određene razine autonomije poduzeća mete, u skladu je s tipologijama integracijskih strategija koje ističu očuvanje i simbiozu kao legitimne i učinkovite pristupe u specifičnim industrijskim kontekstima (Haspeslagh i Jemison, 1991; Angwin i Meadows, 2014; Marks i Mirvis, 2003). Navedeno upućuje na zaključak da se procesi spajanja i preuzimanja u hrvatskom hotelijerstvu odvijaju prema fazno uvjetovanoj, dugoročnoj i kontekstualno prilagođenoj logici, koja se djelomično razlikuje od dominantnih teorijskih obrazaca razvijenih na temelju financijski </w:t>
      </w:r>
      <w:r w:rsidR="001A1E28" w:rsidRPr="00BE5472">
        <w:rPr>
          <w:rFonts w:ascii="Times New Roman" w:hAnsi="Times New Roman" w:cs="Times New Roman"/>
          <w:sz w:val="24"/>
          <w:szCs w:val="24"/>
        </w:rPr>
        <w:t>or</w:t>
      </w:r>
      <w:r w:rsidR="009667C0" w:rsidRPr="00BE5472">
        <w:rPr>
          <w:rFonts w:ascii="Times New Roman" w:hAnsi="Times New Roman" w:cs="Times New Roman"/>
          <w:sz w:val="24"/>
          <w:szCs w:val="24"/>
        </w:rPr>
        <w:t>i</w:t>
      </w:r>
      <w:r w:rsidR="001A1E28" w:rsidRPr="00BE5472">
        <w:rPr>
          <w:rFonts w:ascii="Times New Roman" w:hAnsi="Times New Roman" w:cs="Times New Roman"/>
          <w:sz w:val="24"/>
          <w:szCs w:val="24"/>
        </w:rPr>
        <w:t>jentiranijih</w:t>
      </w:r>
      <w:r w:rsidRPr="00BE5472">
        <w:rPr>
          <w:rFonts w:ascii="Times New Roman" w:hAnsi="Times New Roman" w:cs="Times New Roman"/>
          <w:sz w:val="24"/>
          <w:szCs w:val="24"/>
        </w:rPr>
        <w:t xml:space="preserve"> i institucionalno zrelijih tržišta.</w:t>
      </w:r>
    </w:p>
    <w:p w14:paraId="7FF7969C" w14:textId="5ADEDCA2"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Kako bi se dodatno jasno istaknule sličnosti i razlike između dominantnih teorijskih postavki o procesima spajanja i preuzimanja te empirijskih rezultata dobivenih u kontekstu hrvatskog hotelijerstva, u nastavku se u </w:t>
      </w:r>
      <w:r w:rsidR="00127A4E">
        <w:rPr>
          <w:rFonts w:ascii="Times New Roman" w:hAnsi="Times New Roman" w:cs="Times New Roman"/>
          <w:sz w:val="24"/>
          <w:szCs w:val="24"/>
        </w:rPr>
        <w:t>Tablici</w:t>
      </w:r>
      <w:r w:rsidRPr="00BE5472">
        <w:rPr>
          <w:rFonts w:ascii="Times New Roman" w:hAnsi="Times New Roman" w:cs="Times New Roman"/>
          <w:sz w:val="24"/>
          <w:szCs w:val="24"/>
        </w:rPr>
        <w:t xml:space="preserve"> </w:t>
      </w:r>
      <w:r w:rsidR="00127A4E">
        <w:rPr>
          <w:rFonts w:ascii="Times New Roman" w:hAnsi="Times New Roman" w:cs="Times New Roman"/>
          <w:sz w:val="24"/>
          <w:szCs w:val="24"/>
        </w:rPr>
        <w:t>73</w:t>
      </w:r>
      <w:r w:rsidRPr="00BE5472">
        <w:rPr>
          <w:rFonts w:ascii="Times New Roman" w:hAnsi="Times New Roman" w:cs="Times New Roman"/>
          <w:sz w:val="24"/>
          <w:szCs w:val="24"/>
        </w:rPr>
        <w:t xml:space="preserve"> daje usporedni prikaz ključnih obilježja procesa po pojedinim fazama.</w:t>
      </w:r>
      <w:r w:rsidRPr="00BE5472">
        <w:rPr>
          <w:rFonts w:ascii="Times New Roman" w:hAnsi="Times New Roman" w:cs="Times New Roman"/>
        </w:rPr>
        <w:t xml:space="preserve"> </w:t>
      </w:r>
    </w:p>
    <w:p w14:paraId="5859D07D" w14:textId="04391CF1" w:rsidR="00120B4F" w:rsidRPr="00044BF6" w:rsidRDefault="00044BF6" w:rsidP="00044BF6">
      <w:pPr>
        <w:pStyle w:val="Caption"/>
        <w:rPr>
          <w:rFonts w:ascii="Times New Roman" w:hAnsi="Times New Roman" w:cs="Times New Roman"/>
          <w:sz w:val="24"/>
          <w:szCs w:val="24"/>
        </w:rPr>
      </w:pPr>
      <w:bookmarkStart w:id="268" w:name="_Toc241865267"/>
      <w:r w:rsidRPr="00044BF6">
        <w:rPr>
          <w:rFonts w:ascii="Times New Roman" w:hAnsi="Times New Roman" w:cs="Times New Roman"/>
          <w:sz w:val="24"/>
          <w:szCs w:val="24"/>
        </w:rPr>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Pr>
          <w:rFonts w:ascii="Times New Roman" w:hAnsi="Times New Roman" w:cs="Times New Roman"/>
          <w:noProof/>
          <w:sz w:val="24"/>
          <w:szCs w:val="24"/>
        </w:rPr>
        <w:t>73</w:t>
      </w:r>
      <w:r w:rsidRPr="00044BF6">
        <w:rPr>
          <w:rFonts w:ascii="Times New Roman" w:hAnsi="Times New Roman" w:cs="Times New Roman"/>
          <w:sz w:val="24"/>
          <w:szCs w:val="24"/>
        </w:rPr>
        <w:fldChar w:fldCharType="end"/>
      </w:r>
      <w:r w:rsidR="00120B4F" w:rsidRPr="00044BF6">
        <w:rPr>
          <w:rFonts w:ascii="Times New Roman" w:hAnsi="Times New Roman" w:cs="Times New Roman"/>
          <w:sz w:val="24"/>
          <w:szCs w:val="24"/>
        </w:rPr>
        <w:t>: Usporedni prikaz ključnih obilježja procesa spajanja i preuzimanja po pojedinim fazama</w:t>
      </w:r>
      <w:bookmarkEnd w:id="268"/>
    </w:p>
    <w:tbl>
      <w:tblPr>
        <w:tblStyle w:val="TableGrid"/>
        <w:tblW w:w="0" w:type="auto"/>
        <w:tblLook w:val="04A0" w:firstRow="1" w:lastRow="0" w:firstColumn="1" w:lastColumn="0" w:noHBand="0" w:noVBand="1"/>
      </w:tblPr>
      <w:tblGrid>
        <w:gridCol w:w="1916"/>
        <w:gridCol w:w="2617"/>
        <w:gridCol w:w="2907"/>
        <w:gridCol w:w="1910"/>
      </w:tblGrid>
      <w:tr w:rsidR="00120B4F" w:rsidRPr="00BE5472" w14:paraId="3E6A8ACA" w14:textId="77777777" w:rsidTr="00E65810">
        <w:tc>
          <w:tcPr>
            <w:tcW w:w="0" w:type="auto"/>
            <w:vAlign w:val="center"/>
            <w:hideMark/>
          </w:tcPr>
          <w:p w14:paraId="08A021F5" w14:textId="77777777" w:rsidR="00120B4F" w:rsidRPr="00BE5472" w:rsidRDefault="00120B4F" w:rsidP="00E65810">
            <w:pPr>
              <w:spacing w:after="160"/>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Faza procesa</w:t>
            </w:r>
          </w:p>
        </w:tc>
        <w:tc>
          <w:tcPr>
            <w:tcW w:w="0" w:type="auto"/>
            <w:vAlign w:val="center"/>
            <w:hideMark/>
          </w:tcPr>
          <w:p w14:paraId="02435F9E" w14:textId="77777777" w:rsidR="00120B4F" w:rsidRPr="00BE5472" w:rsidRDefault="00120B4F" w:rsidP="00E65810">
            <w:pPr>
              <w:spacing w:after="160"/>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Dominantni naglasci u teoriji</w:t>
            </w:r>
          </w:p>
        </w:tc>
        <w:tc>
          <w:tcPr>
            <w:tcW w:w="0" w:type="auto"/>
            <w:vAlign w:val="center"/>
            <w:hideMark/>
          </w:tcPr>
          <w:p w14:paraId="6DB7D8EF" w14:textId="77777777" w:rsidR="00120B4F" w:rsidRPr="00BE5472" w:rsidRDefault="00120B4F" w:rsidP="00E65810">
            <w:pPr>
              <w:spacing w:after="160"/>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Empirijski rezultati – hrvatsko hotelijerstvo</w:t>
            </w:r>
          </w:p>
        </w:tc>
        <w:tc>
          <w:tcPr>
            <w:tcW w:w="0" w:type="auto"/>
            <w:vAlign w:val="center"/>
            <w:hideMark/>
          </w:tcPr>
          <w:p w14:paraId="410A2CEE" w14:textId="77777777" w:rsidR="00120B4F" w:rsidRPr="00BE5472" w:rsidRDefault="00120B4F" w:rsidP="00E65810">
            <w:pPr>
              <w:spacing w:after="160"/>
              <w:jc w:val="center"/>
              <w:rPr>
                <w:rFonts w:ascii="Times New Roman" w:hAnsi="Times New Roman" w:cs="Times New Roman"/>
                <w:b/>
                <w:bCs/>
                <w:sz w:val="24"/>
                <w:szCs w:val="24"/>
                <w:lang w:val="en-US"/>
              </w:rPr>
            </w:pPr>
            <w:r w:rsidRPr="00BE5472">
              <w:rPr>
                <w:rFonts w:ascii="Times New Roman" w:hAnsi="Times New Roman" w:cs="Times New Roman"/>
                <w:b/>
                <w:bCs/>
                <w:sz w:val="24"/>
                <w:szCs w:val="24"/>
                <w:lang w:val="en-US"/>
              </w:rPr>
              <w:t>Ključni izvori</w:t>
            </w:r>
          </w:p>
        </w:tc>
      </w:tr>
      <w:tr w:rsidR="00120B4F" w:rsidRPr="00BE5472" w14:paraId="356FEACE" w14:textId="77777777" w:rsidTr="00E65810">
        <w:tc>
          <w:tcPr>
            <w:tcW w:w="0" w:type="auto"/>
            <w:vAlign w:val="center"/>
            <w:hideMark/>
          </w:tcPr>
          <w:p w14:paraId="185B498B"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b/>
                <w:bCs/>
                <w:sz w:val="24"/>
                <w:szCs w:val="24"/>
                <w:lang w:val="en-US"/>
              </w:rPr>
              <w:t>Faza prije preuzimanja</w:t>
            </w:r>
          </w:p>
        </w:tc>
        <w:tc>
          <w:tcPr>
            <w:tcW w:w="0" w:type="auto"/>
            <w:vAlign w:val="center"/>
            <w:hideMark/>
          </w:tcPr>
          <w:p w14:paraId="01210B07"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Strateška usklađenost, financijska sinergija, plaćanje ispravne cijene, dubinska analiza, procjena tržišne vrijednosti i očekivanih sinergija</w:t>
            </w:r>
          </w:p>
        </w:tc>
        <w:tc>
          <w:tcPr>
            <w:tcW w:w="0" w:type="auto"/>
            <w:vAlign w:val="center"/>
            <w:hideMark/>
          </w:tcPr>
          <w:p w14:paraId="6BB0C17D"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Izrazito snažan naglasak na lokaciji i destinaciji, razvojnome potencijalu imovine, usporedbi cijene s internim projekcijama rasta te financijskoj disciplini; organizacijski i kulturni čimbenici percipirani kao sekundarni u ovoj fazi</w:t>
            </w:r>
          </w:p>
        </w:tc>
        <w:tc>
          <w:tcPr>
            <w:tcW w:w="0" w:type="auto"/>
            <w:vAlign w:val="center"/>
            <w:hideMark/>
          </w:tcPr>
          <w:p w14:paraId="76FBD038"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Kim i Olsen (1999a); Calipha, Tarba i Brock (2010); Gomes i sur. (2013)</w:t>
            </w:r>
          </w:p>
        </w:tc>
      </w:tr>
      <w:tr w:rsidR="00120B4F" w:rsidRPr="00BE5472" w14:paraId="13730826" w14:textId="77777777" w:rsidTr="00E65810">
        <w:tc>
          <w:tcPr>
            <w:tcW w:w="0" w:type="auto"/>
            <w:vAlign w:val="center"/>
            <w:hideMark/>
          </w:tcPr>
          <w:p w14:paraId="218FC16C"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b/>
                <w:bCs/>
                <w:sz w:val="24"/>
                <w:szCs w:val="24"/>
                <w:lang w:val="en-US"/>
              </w:rPr>
              <w:t>Faza integracije</w:t>
            </w:r>
          </w:p>
        </w:tc>
        <w:tc>
          <w:tcPr>
            <w:tcW w:w="0" w:type="auto"/>
            <w:vAlign w:val="center"/>
            <w:hideMark/>
          </w:tcPr>
          <w:p w14:paraId="22FC04E2"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 xml:space="preserve">Integracija ljudi, kulture i organizacijskih </w:t>
            </w:r>
            <w:r w:rsidRPr="00BE5472">
              <w:rPr>
                <w:rFonts w:ascii="Times New Roman" w:hAnsi="Times New Roman" w:cs="Times New Roman"/>
                <w:sz w:val="24"/>
                <w:szCs w:val="24"/>
                <w:lang w:val="en-US"/>
              </w:rPr>
              <w:lastRenderedPageBreak/>
              <w:t>struktura kao ključ stvaranja sinergije; važnost vodstva, komunikacije, zadržavanja ključnih zaposlenika i upravljanja promjenama</w:t>
            </w:r>
          </w:p>
        </w:tc>
        <w:tc>
          <w:tcPr>
            <w:tcW w:w="0" w:type="auto"/>
            <w:vAlign w:val="center"/>
            <w:hideMark/>
          </w:tcPr>
          <w:p w14:paraId="395411DE"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lastRenderedPageBreak/>
              <w:t xml:space="preserve">Jasno pomicanje fokusa na ljudske i organizacijske </w:t>
            </w:r>
            <w:r w:rsidRPr="00BE5472">
              <w:rPr>
                <w:rFonts w:ascii="Times New Roman" w:hAnsi="Times New Roman" w:cs="Times New Roman"/>
                <w:sz w:val="24"/>
                <w:szCs w:val="24"/>
                <w:lang w:val="en-US"/>
              </w:rPr>
              <w:lastRenderedPageBreak/>
              <w:t>čimbenike; snažna uloga vrhovnog menadžmenta, transparentna komunikacija, očuvanje kvalitetne kulture poduzeća mete i fleksibilni integracijski modeli (npr. upravljački ugovori)</w:t>
            </w:r>
          </w:p>
        </w:tc>
        <w:tc>
          <w:tcPr>
            <w:tcW w:w="0" w:type="auto"/>
            <w:vAlign w:val="center"/>
            <w:hideMark/>
          </w:tcPr>
          <w:p w14:paraId="693E3B3A"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lastRenderedPageBreak/>
              <w:t xml:space="preserve">Kim i Olsen (1999a; 1999b); </w:t>
            </w:r>
            <w:r w:rsidRPr="00BE5472">
              <w:rPr>
                <w:rFonts w:ascii="Times New Roman" w:hAnsi="Times New Roman" w:cs="Times New Roman"/>
                <w:sz w:val="24"/>
                <w:szCs w:val="24"/>
                <w:lang w:val="en-US"/>
              </w:rPr>
              <w:lastRenderedPageBreak/>
              <w:t>Haspeslagh i Jemison (1991); Angwin i Meadows (2014); Marks i Mirvis (2003)</w:t>
            </w:r>
          </w:p>
        </w:tc>
      </w:tr>
      <w:tr w:rsidR="00120B4F" w:rsidRPr="00BE5472" w14:paraId="0F9815F0" w14:textId="77777777" w:rsidTr="00E65810">
        <w:tc>
          <w:tcPr>
            <w:tcW w:w="0" w:type="auto"/>
            <w:vAlign w:val="center"/>
            <w:hideMark/>
          </w:tcPr>
          <w:p w14:paraId="3F0C58BF"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b/>
                <w:bCs/>
                <w:sz w:val="24"/>
                <w:szCs w:val="24"/>
                <w:lang w:val="en-US"/>
              </w:rPr>
              <w:lastRenderedPageBreak/>
              <w:t>Postakvizicijska faza</w:t>
            </w:r>
          </w:p>
        </w:tc>
        <w:tc>
          <w:tcPr>
            <w:tcW w:w="0" w:type="auto"/>
            <w:vAlign w:val="center"/>
            <w:hideMark/>
          </w:tcPr>
          <w:p w14:paraId="57B5610A"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Evaluacija uspješnosti kroz financijske pokazatelje, tržišne reakcije i ostvarenje sinergija; naglasak na povratima za dioničare</w:t>
            </w:r>
          </w:p>
        </w:tc>
        <w:tc>
          <w:tcPr>
            <w:tcW w:w="0" w:type="auto"/>
            <w:vAlign w:val="center"/>
            <w:hideMark/>
          </w:tcPr>
          <w:p w14:paraId="6458ABAD"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Fokus na operativnim pokazateljima (novčani tok iz operacija, hotelski KPI-evi), prihvaćanje nove organizacijske strukture, realizaciju poslovnih planova i povrata na ulaganja; cijena dionica ima sekundarnu ulogu</w:t>
            </w:r>
          </w:p>
        </w:tc>
        <w:tc>
          <w:tcPr>
            <w:tcW w:w="0" w:type="auto"/>
            <w:vAlign w:val="center"/>
            <w:hideMark/>
          </w:tcPr>
          <w:p w14:paraId="38BEED08" w14:textId="77777777" w:rsidR="00120B4F" w:rsidRPr="00BE5472" w:rsidRDefault="00120B4F" w:rsidP="00E65810">
            <w:pPr>
              <w:spacing w:after="160"/>
              <w:jc w:val="center"/>
              <w:rPr>
                <w:rFonts w:ascii="Times New Roman" w:hAnsi="Times New Roman" w:cs="Times New Roman"/>
                <w:sz w:val="24"/>
                <w:szCs w:val="24"/>
                <w:lang w:val="en-US"/>
              </w:rPr>
            </w:pPr>
            <w:r w:rsidRPr="00BE5472">
              <w:rPr>
                <w:rFonts w:ascii="Times New Roman" w:hAnsi="Times New Roman" w:cs="Times New Roman"/>
                <w:sz w:val="24"/>
                <w:szCs w:val="24"/>
                <w:lang w:val="en-US"/>
              </w:rPr>
              <w:t>Kim i Olsen (1999a); Canina i Kim (2010); Gomes i sur. (2013)</w:t>
            </w:r>
          </w:p>
        </w:tc>
      </w:tr>
    </w:tbl>
    <w:p w14:paraId="588E5D58"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izrada autora</w:t>
      </w:r>
    </w:p>
    <w:p w14:paraId="689FEBE8" w14:textId="77777777" w:rsidR="00120B4F" w:rsidRPr="00BE5472" w:rsidRDefault="00120B4F" w:rsidP="00120B4F">
      <w:pPr>
        <w:spacing w:line="360" w:lineRule="auto"/>
        <w:jc w:val="both"/>
        <w:rPr>
          <w:rFonts w:ascii="Times New Roman" w:hAnsi="Times New Roman" w:cs="Times New Roman"/>
          <w:sz w:val="24"/>
          <w:szCs w:val="24"/>
        </w:rPr>
      </w:pPr>
    </w:p>
    <w:p w14:paraId="5A2A158C"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Usporedba teorijskih postavki i empirijskih rezultata pokazuje da se proces spajanja i preuzimanja u hrvatskom hotelijerstvu u velikoj mjeri odvija u skladu s faznom logikom koju ističe literatura, ali uz određene naglaske koji reflektiraju specifičnosti sektora i institucionalnog konteksta. </w:t>
      </w:r>
    </w:p>
    <w:p w14:paraId="1B8975C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Empirijski rezultati u velikoj mjeri potvrđuju teorijske postavke o faznoj strukturi procesa spajanja i preuzimanja te o promjeni fokusa ključnih čimbenika uspješnosti kroz pojedine faze (Kim i Olsen, 1999a; Gomes i sur., 2013). Istodobno, rezultati ukazuju na određene naglaske specifične za hrvatsko hotelijerstvo, ponajprije snažnu ulogu lokacije i destinacijskog potencijala u fazi prije preuzimanja te dominantnu usmjerenost na dugoročne operativne i razvojne ishode u postakvizicijskoj fazi, što nadopunjuje opće teorijske modele koji često polaze od financijskih i tržišnih pokazatelja (Canina i Kim, 2010). Time se potvrđuje da se uspješnost procesa spajanja i preuzimanja u hotelskom sektoru ne može promatrati izvan konteksta specifične imovine, tržišta i vremenske dinamike, već kao proces u kojem se značenje pojedinih čimbenika mijenja ovisno o fazi i strateškim ciljevima preuzimanja.</w:t>
      </w:r>
    </w:p>
    <w:p w14:paraId="2B5D5C38" w14:textId="77777777" w:rsidR="00F548D6" w:rsidRDefault="00F548D6" w:rsidP="00120B4F">
      <w:pPr>
        <w:spacing w:line="360" w:lineRule="auto"/>
        <w:jc w:val="both"/>
        <w:rPr>
          <w:rFonts w:ascii="Times New Roman" w:hAnsi="Times New Roman" w:cs="Times New Roman"/>
          <w:sz w:val="24"/>
          <w:szCs w:val="24"/>
        </w:rPr>
        <w:sectPr w:rsidR="00F548D6" w:rsidSect="00D63A8E">
          <w:pgSz w:w="12240" w:h="15840"/>
          <w:pgMar w:top="1440" w:right="1440" w:bottom="1440" w:left="1440" w:header="708" w:footer="708" w:gutter="0"/>
          <w:cols w:space="708"/>
          <w:docGrid w:linePitch="360"/>
        </w:sectPr>
      </w:pPr>
    </w:p>
    <w:p w14:paraId="03780593" w14:textId="22272109" w:rsidR="00120B4F" w:rsidRPr="00044BF6" w:rsidRDefault="00044BF6" w:rsidP="00044BF6">
      <w:pPr>
        <w:pStyle w:val="Caption"/>
        <w:rPr>
          <w:rFonts w:ascii="Times New Roman" w:hAnsi="Times New Roman" w:cs="Times New Roman"/>
          <w:sz w:val="24"/>
          <w:szCs w:val="24"/>
        </w:rPr>
      </w:pPr>
      <w:bookmarkStart w:id="269" w:name="_Toc241865295"/>
      <w:r w:rsidRPr="00044BF6">
        <w:rPr>
          <w:rFonts w:ascii="Times New Roman" w:hAnsi="Times New Roman" w:cs="Times New Roman"/>
          <w:sz w:val="24"/>
          <w:szCs w:val="24"/>
        </w:rPr>
        <w:lastRenderedPageBreak/>
        <w:t xml:space="preserve">Prikaz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Prikaz \* ARABIC </w:instrText>
      </w:r>
      <w:r w:rsidRPr="00044BF6">
        <w:rPr>
          <w:rFonts w:ascii="Times New Roman" w:hAnsi="Times New Roman" w:cs="Times New Roman"/>
          <w:sz w:val="24"/>
          <w:szCs w:val="24"/>
        </w:rPr>
        <w:fldChar w:fldCharType="separate"/>
      </w:r>
      <w:r w:rsidRPr="00044BF6">
        <w:rPr>
          <w:rFonts w:ascii="Times New Roman" w:hAnsi="Times New Roman" w:cs="Times New Roman"/>
          <w:noProof/>
          <w:sz w:val="24"/>
          <w:szCs w:val="24"/>
        </w:rPr>
        <w:t>27</w:t>
      </w:r>
      <w:r w:rsidRPr="00044BF6">
        <w:rPr>
          <w:rFonts w:ascii="Times New Roman" w:hAnsi="Times New Roman" w:cs="Times New Roman"/>
          <w:sz w:val="24"/>
          <w:szCs w:val="24"/>
        </w:rPr>
        <w:fldChar w:fldCharType="end"/>
      </w:r>
      <w:r w:rsidR="00120B4F" w:rsidRPr="00044BF6">
        <w:rPr>
          <w:rFonts w:ascii="Times New Roman" w:hAnsi="Times New Roman" w:cs="Times New Roman"/>
          <w:sz w:val="24"/>
          <w:szCs w:val="24"/>
        </w:rPr>
        <w:t xml:space="preserve">: Evolucija čimbenika uspjeha procesa spajanja </w:t>
      </w:r>
      <w:r w:rsidR="001A1E28" w:rsidRPr="00044BF6">
        <w:rPr>
          <w:rFonts w:ascii="Times New Roman" w:hAnsi="Times New Roman" w:cs="Times New Roman"/>
          <w:sz w:val="24"/>
          <w:szCs w:val="24"/>
        </w:rPr>
        <w:t>i</w:t>
      </w:r>
      <w:r w:rsidR="00120B4F" w:rsidRPr="00044BF6">
        <w:rPr>
          <w:rFonts w:ascii="Times New Roman" w:hAnsi="Times New Roman" w:cs="Times New Roman"/>
          <w:sz w:val="24"/>
          <w:szCs w:val="24"/>
        </w:rPr>
        <w:t xml:space="preserve"> preuzimanja u hrvatskom hotelijerstvu</w:t>
      </w:r>
      <w:bookmarkEnd w:id="269"/>
    </w:p>
    <w:p w14:paraId="37A8D074" w14:textId="77777777" w:rsidR="003D46C7" w:rsidRDefault="008B2047" w:rsidP="003D46C7">
      <w:pPr>
        <w:spacing w:line="360" w:lineRule="auto"/>
        <w:jc w:val="center"/>
        <w:rPr>
          <w:rFonts w:ascii="Times New Roman" w:hAnsi="Times New Roman" w:cs="Times New Roman"/>
          <w:sz w:val="24"/>
          <w:szCs w:val="24"/>
        </w:rPr>
      </w:pPr>
      <w:r w:rsidRPr="00BE5472">
        <w:rPr>
          <w:rFonts w:ascii="Times New Roman" w:hAnsi="Times New Roman" w:cs="Times New Roman"/>
          <w:noProof/>
          <w:sz w:val="24"/>
          <w:szCs w:val="24"/>
        </w:rPr>
        <w:drawing>
          <wp:inline distT="0" distB="0" distL="0" distR="0" wp14:anchorId="2DE79D4D" wp14:editId="2AA1BB39">
            <wp:extent cx="5943600" cy="2321560"/>
            <wp:effectExtent l="0" t="0" r="0" b="2540"/>
            <wp:docPr id="106454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4177" name="Picture 106454177"/>
                    <pic:cNvPicPr/>
                  </pic:nvPicPr>
                  <pic:blipFill>
                    <a:blip r:embed="rId74">
                      <a:extLst>
                        <a:ext uri="{28A0092B-C50C-407E-A947-70E740481C1C}">
                          <a14:useLocalDpi xmlns:a14="http://schemas.microsoft.com/office/drawing/2010/main" val="0"/>
                        </a:ext>
                      </a:extLst>
                    </a:blip>
                    <a:stretch>
                      <a:fillRect/>
                    </a:stretch>
                  </pic:blipFill>
                  <pic:spPr>
                    <a:xfrm>
                      <a:off x="0" y="0"/>
                      <a:ext cx="5943600" cy="2321560"/>
                    </a:xfrm>
                    <a:prstGeom prst="rect">
                      <a:avLst/>
                    </a:prstGeom>
                  </pic:spPr>
                </pic:pic>
              </a:graphicData>
            </a:graphic>
          </wp:inline>
        </w:drawing>
      </w:r>
    </w:p>
    <w:p w14:paraId="2DA5B04D" w14:textId="40091649" w:rsidR="00120B4F" w:rsidRPr="00DD6CC8" w:rsidRDefault="00120B4F" w:rsidP="003D46C7">
      <w:pPr>
        <w:spacing w:line="360" w:lineRule="auto"/>
        <w:rPr>
          <w:rFonts w:ascii="Times New Roman" w:hAnsi="Times New Roman" w:cs="Times New Roman"/>
          <w:noProof/>
          <w:sz w:val="24"/>
          <w:szCs w:val="24"/>
        </w:rPr>
      </w:pPr>
      <w:r w:rsidRPr="00DD6CC8">
        <w:rPr>
          <w:rFonts w:ascii="Times New Roman" w:hAnsi="Times New Roman" w:cs="Times New Roman"/>
          <w:sz w:val="24"/>
          <w:szCs w:val="24"/>
        </w:rPr>
        <w:t xml:space="preserve">Izvor: </w:t>
      </w:r>
      <w:r w:rsidR="006C68D6" w:rsidRPr="00DD6CC8">
        <w:rPr>
          <w:rFonts w:ascii="Times New Roman" w:hAnsi="Times New Roman" w:cs="Times New Roman"/>
          <w:sz w:val="24"/>
          <w:szCs w:val="24"/>
        </w:rPr>
        <w:t>Izrada autora</w:t>
      </w:r>
    </w:p>
    <w:p w14:paraId="48694234" w14:textId="77777777" w:rsidR="00120B4F" w:rsidRPr="00DD6CC8" w:rsidRDefault="00120B4F" w:rsidP="00120B4F">
      <w:pPr>
        <w:spacing w:line="360" w:lineRule="auto"/>
        <w:jc w:val="both"/>
        <w:rPr>
          <w:rFonts w:ascii="Times New Roman" w:hAnsi="Times New Roman" w:cs="Times New Roman"/>
          <w:sz w:val="24"/>
          <w:szCs w:val="24"/>
        </w:rPr>
      </w:pPr>
      <w:r w:rsidRPr="00DD6CC8">
        <w:rPr>
          <w:rFonts w:ascii="Times New Roman" w:hAnsi="Times New Roman" w:cs="Times New Roman"/>
          <w:sz w:val="24"/>
          <w:szCs w:val="24"/>
        </w:rPr>
        <w:t xml:space="preserve">Objedinjujući rezultate svih faza procesa spajanja i preuzimanja, može se zaključiti da sustavno poznavanje i praćenje kritičnih čimbenika kroz cijeli integracijski ciklus predstavlja ključni preduvjet uspješnosti procesa, </w:t>
      </w:r>
      <w:r w:rsidRPr="00DD6CC8">
        <w:rPr>
          <w:rFonts w:ascii="Times New Roman" w:hAnsi="Times New Roman" w:cs="Times New Roman"/>
          <w:b/>
          <w:sz w:val="24"/>
          <w:szCs w:val="24"/>
        </w:rPr>
        <w:t>čime se hipoteza H1 u cjelini potvrđuje.</w:t>
      </w:r>
    </w:p>
    <w:p w14:paraId="091DA2A1"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Potvrda hipoteze H1 ne upućuje na strogo kauzalni odnos, već na jasnu i dosljednu percepciju da sustavno poznavanje i praćenje kritičnih čimbenika u svim fazama integracijskog procesa predstavlja važan preduvjet uspješnosti procesa spajanja i preuzimanja u hotelskom sektoru.</w:t>
      </w:r>
    </w:p>
    <w:p w14:paraId="6085B332" w14:textId="77777777" w:rsidR="008000E2" w:rsidRPr="00BE5472" w:rsidRDefault="008000E2" w:rsidP="00120B4F">
      <w:pPr>
        <w:spacing w:line="360" w:lineRule="auto"/>
        <w:jc w:val="both"/>
        <w:rPr>
          <w:rFonts w:ascii="Times New Roman" w:hAnsi="Times New Roman" w:cs="Times New Roman"/>
          <w:sz w:val="24"/>
          <w:szCs w:val="24"/>
        </w:rPr>
      </w:pPr>
    </w:p>
    <w:p w14:paraId="50F4B6E1" w14:textId="31A50D46" w:rsidR="00120B4F" w:rsidRPr="00BE5472" w:rsidRDefault="00120B4F" w:rsidP="006144EE">
      <w:pPr>
        <w:pStyle w:val="Heading3"/>
        <w:numPr>
          <w:ilvl w:val="2"/>
          <w:numId w:val="3"/>
        </w:numPr>
        <w:rPr>
          <w:rFonts w:ascii="Times New Roman" w:hAnsi="Times New Roman" w:cs="Times New Roman"/>
        </w:rPr>
      </w:pPr>
      <w:bookmarkStart w:id="270" w:name="_Toc241865183"/>
      <w:r w:rsidRPr="00BE5472">
        <w:rPr>
          <w:rFonts w:ascii="Times New Roman" w:hAnsi="Times New Roman" w:cs="Times New Roman"/>
        </w:rPr>
        <w:t>Rasprava o uspješnost</w:t>
      </w:r>
      <w:r w:rsidR="008000E2" w:rsidRPr="00BE5472">
        <w:rPr>
          <w:rFonts w:ascii="Times New Roman" w:hAnsi="Times New Roman" w:cs="Times New Roman"/>
        </w:rPr>
        <w:t>i</w:t>
      </w:r>
      <w:r w:rsidRPr="00BE5472">
        <w:rPr>
          <w:rFonts w:ascii="Times New Roman" w:hAnsi="Times New Roman" w:cs="Times New Roman"/>
        </w:rPr>
        <w:t xml:space="preserve"> hotelskih poduzeća u kontekstu procesa spajanja i preuzimanja – financijski i tržišni pokazatelji</w:t>
      </w:r>
      <w:bookmarkEnd w:id="270"/>
    </w:p>
    <w:p w14:paraId="48427C4A" w14:textId="77777777" w:rsidR="006144EE" w:rsidRPr="00BE5472" w:rsidRDefault="006144EE" w:rsidP="006144EE">
      <w:pPr>
        <w:spacing w:before="100" w:beforeAutospacing="1" w:after="100" w:afterAutospacing="1" w:line="360" w:lineRule="auto"/>
        <w:jc w:val="both"/>
        <w:rPr>
          <w:rFonts w:ascii="Times New Roman" w:hAnsi="Times New Roman" w:cs="Times New Roman"/>
          <w:sz w:val="24"/>
          <w:szCs w:val="24"/>
        </w:rPr>
      </w:pPr>
      <w:r w:rsidRPr="00BE5472">
        <w:rPr>
          <w:rFonts w:ascii="Times New Roman" w:hAnsi="Times New Roman" w:cs="Times New Roman"/>
          <w:sz w:val="24"/>
          <w:szCs w:val="24"/>
        </w:rPr>
        <w:t>Nakon analize kvalitativnih podataka, ovaj dio rada usmjeren je na objektivnu evaluaciju ekonomskih učinaka spajanja i preuzimanja kroz ključne pokazatelje uspješnosti. Središnji cilj rasprave jest utvrditi korelaciju između identificiranih strateških motiva i ostvarenih financijskih te tržišnih rezultata hotelskih poduzeća u Hrvatskoj. Analiza obuhvaća vremensku dimenziju promjena unutar poduzeća preuzimatelja (H3) te komparativnu dimenziju u odnosu na poduzeća koja su rasla organskim putem (H4).</w:t>
      </w:r>
    </w:p>
    <w:p w14:paraId="39A6F4DB" w14:textId="03035A29" w:rsidR="006144EE" w:rsidRPr="00BE5472" w:rsidRDefault="006144EE" w:rsidP="006144EE">
      <w:pPr>
        <w:spacing w:before="100" w:beforeAutospacing="1" w:after="100" w:afterAutospacing="1"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Financijska uspješnost u hotelijerstvu specifičan je konstrukt koji proizlazi iz interakcije operativne učinkovitosti, investicijskih ciklusa i tržišne percepcije. Stoga se u nastavku analizira širok spektar indikatora</w:t>
      </w:r>
      <w:r w:rsidR="007D3543" w:rsidRPr="00BE5472">
        <w:rPr>
          <w:rFonts w:ascii="Times New Roman" w:hAnsi="Times New Roman" w:cs="Times New Roman"/>
          <w:sz w:val="24"/>
          <w:szCs w:val="24"/>
        </w:rPr>
        <w:t>,</w:t>
      </w:r>
      <w:r w:rsidRPr="00BE5472">
        <w:rPr>
          <w:rFonts w:ascii="Times New Roman" w:hAnsi="Times New Roman" w:cs="Times New Roman"/>
          <w:sz w:val="24"/>
          <w:szCs w:val="24"/>
        </w:rPr>
        <w:t xml:space="preserve"> od profitabilnosti i likvidnosti do tržišne dodane vrijednosti  kako bi se dobila znanstveno utemeljena slika o utjecaju M&amp;A procesa na ekonomsku snagu i održivost hrvatskih hotelskih poduzeća. </w:t>
      </w:r>
      <w:r w:rsidR="007D3543" w:rsidRPr="00BE5472">
        <w:rPr>
          <w:rFonts w:ascii="Times New Roman" w:hAnsi="Times New Roman" w:cs="Times New Roman"/>
          <w:sz w:val="24"/>
          <w:szCs w:val="24"/>
        </w:rPr>
        <w:t>Opisani</w:t>
      </w:r>
      <w:r w:rsidRPr="00BE5472">
        <w:rPr>
          <w:rFonts w:ascii="Times New Roman" w:hAnsi="Times New Roman" w:cs="Times New Roman"/>
          <w:sz w:val="24"/>
          <w:szCs w:val="24"/>
        </w:rPr>
        <w:t xml:space="preserve"> pristup omogućuje precizno razumijevanje dinamike stvaranja vrijednosti u kapitalno intenzivnom sektoru hotelijerstva.</w:t>
      </w:r>
    </w:p>
    <w:p w14:paraId="62BAC1AE" w14:textId="77777777" w:rsidR="006144EE" w:rsidRPr="00BE5472" w:rsidRDefault="006144EE" w:rsidP="006144EE">
      <w:pPr>
        <w:rPr>
          <w:rFonts w:ascii="Times New Roman" w:hAnsi="Times New Roman" w:cs="Times New Roman"/>
        </w:rPr>
      </w:pPr>
    </w:p>
    <w:p w14:paraId="5718BF03" w14:textId="66EC1D0E" w:rsidR="00120B4F" w:rsidRDefault="00120B4F" w:rsidP="008000E2">
      <w:pPr>
        <w:pStyle w:val="Heading4"/>
        <w:rPr>
          <w:rFonts w:ascii="Times New Roman" w:hAnsi="Times New Roman" w:cs="Times New Roman"/>
        </w:rPr>
      </w:pPr>
      <w:bookmarkStart w:id="271" w:name="_Toc241865184"/>
      <w:r w:rsidRPr="00BE5472">
        <w:rPr>
          <w:rFonts w:ascii="Times New Roman" w:hAnsi="Times New Roman" w:cs="Times New Roman"/>
        </w:rPr>
        <w:t>5.3.2.1. Rasprava o usporedb</w:t>
      </w:r>
      <w:r w:rsidR="008000E2" w:rsidRPr="00BE5472">
        <w:rPr>
          <w:rFonts w:ascii="Times New Roman" w:hAnsi="Times New Roman" w:cs="Times New Roman"/>
        </w:rPr>
        <w:t>i</w:t>
      </w:r>
      <w:r w:rsidRPr="00BE5472">
        <w:rPr>
          <w:rFonts w:ascii="Times New Roman" w:hAnsi="Times New Roman" w:cs="Times New Roman"/>
        </w:rPr>
        <w:t xml:space="preserve"> pokazatelja uspješnosti (KPI) poduzeća preuzimatelja nakon završetka procesa u usporedbi s istim pokazateljima u razdoblju prije provedenog procesa (H3)</w:t>
      </w:r>
      <w:bookmarkEnd w:id="271"/>
    </w:p>
    <w:p w14:paraId="1D2C7B87" w14:textId="77777777" w:rsidR="006167B3" w:rsidRPr="006167B3" w:rsidRDefault="006167B3" w:rsidP="006167B3"/>
    <w:p w14:paraId="6B64B7CB" w14:textId="6E69A155"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Unutar testiranja hipoteze H3 analizirane su razlike u financijskim i tržišnim pokazateljima hotelskih poduzeća koja su prošla proces akvizicije u razdobljima prije i nakon preuzimanja, pri čemu se u nastavku raspravljaju statistički značajni, ali i konceptualno relevantni obrasci promjena. Rezultati pokazuju da za većinu promatranih pokazatelja – uključujući EBITDA, ROA, ROE, neto profitnu maržu, pokazatelj financijske stabilnosti, dividendu po dionici i tržišni udio – </w:t>
      </w:r>
      <w:r w:rsidRPr="00BE5472">
        <w:rPr>
          <w:rFonts w:ascii="Times New Roman" w:hAnsi="Times New Roman" w:cs="Times New Roman"/>
          <w:b/>
          <w:bCs/>
          <w:sz w:val="24"/>
          <w:szCs w:val="24"/>
        </w:rPr>
        <w:t>nisu utvrđene statistički značajne razlike između razdoblja prije i nakon akvizicije</w:t>
      </w:r>
      <w:r w:rsidRPr="00BE5472">
        <w:rPr>
          <w:rFonts w:ascii="Times New Roman" w:hAnsi="Times New Roman" w:cs="Times New Roman"/>
          <w:sz w:val="24"/>
          <w:szCs w:val="24"/>
        </w:rPr>
        <w:t>, ni</w:t>
      </w:r>
      <w:r w:rsidR="00775676" w:rsidRPr="00BE5472">
        <w:rPr>
          <w:rFonts w:ascii="Times New Roman" w:hAnsi="Times New Roman" w:cs="Times New Roman"/>
          <w:sz w:val="24"/>
          <w:szCs w:val="24"/>
        </w:rPr>
        <w:t>ti</w:t>
      </w:r>
      <w:r w:rsidRPr="00BE5472">
        <w:rPr>
          <w:rFonts w:ascii="Times New Roman" w:hAnsi="Times New Roman" w:cs="Times New Roman"/>
          <w:sz w:val="24"/>
          <w:szCs w:val="24"/>
        </w:rPr>
        <w:t xml:space="preserve"> je uočen izražen vremenski trend. Ovakav nalaz upućuje na zaključak da se </w:t>
      </w:r>
      <w:r w:rsidRPr="00BE5472">
        <w:rPr>
          <w:rFonts w:ascii="Times New Roman" w:hAnsi="Times New Roman" w:cs="Times New Roman"/>
          <w:b/>
          <w:bCs/>
          <w:sz w:val="24"/>
          <w:szCs w:val="24"/>
        </w:rPr>
        <w:t>učinci akvizicija u hotelskom sektoru ne manifestiraju automatski kroz kratkoročno poboljšanje profitabilnosti</w:t>
      </w:r>
      <w:r w:rsidRPr="00BE5472">
        <w:rPr>
          <w:rFonts w:ascii="Times New Roman" w:hAnsi="Times New Roman" w:cs="Times New Roman"/>
          <w:sz w:val="24"/>
          <w:szCs w:val="24"/>
        </w:rPr>
        <w:t>, što je u skladu s literaturom koja naglašava dugoročnu i faznu prirodu realizacije sinergija.</w:t>
      </w:r>
    </w:p>
    <w:p w14:paraId="11EBE18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Izuzetak u odnosu na navedeni obrazac predstavlja </w:t>
      </w:r>
      <w:r w:rsidRPr="00BE5472">
        <w:rPr>
          <w:rFonts w:ascii="Times New Roman" w:hAnsi="Times New Roman" w:cs="Times New Roman"/>
          <w:b/>
          <w:bCs/>
          <w:sz w:val="24"/>
          <w:szCs w:val="24"/>
        </w:rPr>
        <w:t>bruto profitna marža</w:t>
      </w:r>
      <w:r w:rsidRPr="00BE5472">
        <w:rPr>
          <w:rFonts w:ascii="Times New Roman" w:hAnsi="Times New Roman" w:cs="Times New Roman"/>
          <w:sz w:val="24"/>
          <w:szCs w:val="24"/>
        </w:rPr>
        <w:t xml:space="preserve">, koja je bila statistički značajno viša u razdoblju nakon akvizicije. Ovaj rezultat može upućivati na </w:t>
      </w:r>
      <w:r w:rsidRPr="00BE5472">
        <w:rPr>
          <w:rFonts w:ascii="Times New Roman" w:hAnsi="Times New Roman" w:cs="Times New Roman"/>
          <w:b/>
          <w:bCs/>
          <w:sz w:val="24"/>
          <w:szCs w:val="24"/>
        </w:rPr>
        <w:t>operativna poboljšanja u strukturi troškova</w:t>
      </w:r>
      <w:r w:rsidRPr="00BE5472">
        <w:rPr>
          <w:rFonts w:ascii="Times New Roman" w:hAnsi="Times New Roman" w:cs="Times New Roman"/>
          <w:sz w:val="24"/>
          <w:szCs w:val="24"/>
        </w:rPr>
        <w:t>, učinkovitije upravljanje prihodima ili ostvarenje početnih operativnih sinergija, koje se u hotelskom sektoru često realiziraju prije nego što se reflektiraju na ukupnu profitabilnost.</w:t>
      </w:r>
    </w:p>
    <w:p w14:paraId="2138D356"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 druge strane, pokazatelj </w:t>
      </w:r>
      <w:r w:rsidRPr="00BE5472">
        <w:rPr>
          <w:rFonts w:ascii="Times New Roman" w:hAnsi="Times New Roman" w:cs="Times New Roman"/>
          <w:b/>
          <w:bCs/>
          <w:sz w:val="24"/>
          <w:szCs w:val="24"/>
        </w:rPr>
        <w:t>tekuće likvidnosti bio je značajno niži nakon akvizicije</w:t>
      </w:r>
      <w:r w:rsidRPr="00BE5472">
        <w:rPr>
          <w:rFonts w:ascii="Times New Roman" w:hAnsi="Times New Roman" w:cs="Times New Roman"/>
          <w:sz w:val="24"/>
          <w:szCs w:val="24"/>
        </w:rPr>
        <w:t>, što upućuje na povećane kratkoročne financijske obveze ili intenzivnije korištenje obrtnih sredstava u postakvizicijskom razdoblju. Takav nalaz je očekivan u kontekstu akvizicija, s obzirom na potrebu financiranja integracijskih aktivnosti, ulaganja u imovinu ili restrukturiranje poslovanja.</w:t>
      </w:r>
    </w:p>
    <w:p w14:paraId="1C10606A" w14:textId="41E3432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Kod </w:t>
      </w:r>
      <w:r w:rsidRPr="00BE5472">
        <w:rPr>
          <w:rFonts w:ascii="Times New Roman" w:hAnsi="Times New Roman" w:cs="Times New Roman"/>
          <w:b/>
          <w:bCs/>
          <w:sz w:val="24"/>
          <w:szCs w:val="24"/>
        </w:rPr>
        <w:t>koeficijenta zaduženosti</w:t>
      </w:r>
      <w:r w:rsidRPr="00BE5472">
        <w:rPr>
          <w:rFonts w:ascii="Times New Roman" w:hAnsi="Times New Roman" w:cs="Times New Roman"/>
          <w:sz w:val="24"/>
          <w:szCs w:val="24"/>
        </w:rPr>
        <w:t xml:space="preserve"> nije utvrđen izravan učinak statusa poduzeća ni vremenski trend, ali je identificiran značajan interakcijski učinak. Rezultati upućuju na rast zaduženosti u razdoblju prije akvizicije, dok se nakon preuzimanja razina zaduženosti stabilizira. Ovakav obrazac može sugerirati da se financijska struktura intenzivnije prilagođava u fazi pripreme transakcije, dok se nakon nje teži stabilizaciji kapitalne strukture.</w:t>
      </w:r>
    </w:p>
    <w:p w14:paraId="3B4F71A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Za </w:t>
      </w:r>
      <w:r w:rsidRPr="00BE5472">
        <w:rPr>
          <w:rFonts w:ascii="Times New Roman" w:hAnsi="Times New Roman" w:cs="Times New Roman"/>
          <w:b/>
          <w:bCs/>
          <w:sz w:val="24"/>
          <w:szCs w:val="24"/>
          <w:lang w:val="it-IT"/>
        </w:rPr>
        <w:t>tržišnu vrijednost dionica</w:t>
      </w:r>
      <w:r w:rsidRPr="00BE5472">
        <w:rPr>
          <w:rFonts w:ascii="Times New Roman" w:hAnsi="Times New Roman" w:cs="Times New Roman"/>
          <w:sz w:val="24"/>
          <w:szCs w:val="24"/>
          <w:lang w:val="it-IT"/>
        </w:rPr>
        <w:t xml:space="preserve"> utvrđeni su svi testirani učinci. Ovaj pokazatelj je u prosjeku viši u razdoblju nakon akvizicije te pokazuje uzlazni vremenski trend. Međutim, interakcijski učinak ukazuje na to da se rast tržišne vrijednosti intenzivnije odvijao u razdoblju prije akvizicije, dok se nakon nje vrijednost stabilizira. Takav nalaz može upućivati na činjenicu da tržište unaprijed ugrađuje očekivanja vezana uz akviziciju, dok se nakon nje fokus investitora prebacuje s očekivanja na realizaciju rezultata.</w:t>
      </w:r>
    </w:p>
    <w:p w14:paraId="71C75DB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Pokazatelj </w:t>
      </w:r>
      <w:r w:rsidRPr="00BE5472">
        <w:rPr>
          <w:rFonts w:ascii="Times New Roman" w:hAnsi="Times New Roman" w:cs="Times New Roman"/>
          <w:b/>
          <w:bCs/>
          <w:sz w:val="24"/>
          <w:szCs w:val="24"/>
          <w:lang w:val="it-IT"/>
        </w:rPr>
        <w:t>dobiti po dionici</w:t>
      </w:r>
      <w:r w:rsidRPr="00BE5472">
        <w:rPr>
          <w:rFonts w:ascii="Times New Roman" w:hAnsi="Times New Roman" w:cs="Times New Roman"/>
          <w:sz w:val="24"/>
          <w:szCs w:val="24"/>
          <w:lang w:val="it-IT"/>
        </w:rPr>
        <w:t xml:space="preserve"> bilježi pad u promatranom razdoblju, što može biti povezano s povećanjem broja dionica, promjenama u strukturi kapitala ili privremenim opterećenjem dobiti troškovima integracije. Slično tome, </w:t>
      </w:r>
      <w:r w:rsidRPr="00BE5472">
        <w:rPr>
          <w:rFonts w:ascii="Times New Roman" w:hAnsi="Times New Roman" w:cs="Times New Roman"/>
          <w:b/>
          <w:bCs/>
          <w:sz w:val="24"/>
          <w:szCs w:val="24"/>
          <w:lang w:val="it-IT"/>
        </w:rPr>
        <w:t>MVA pokazuje rast u vremenu</w:t>
      </w:r>
      <w:r w:rsidRPr="00BE5472">
        <w:rPr>
          <w:rFonts w:ascii="Times New Roman" w:hAnsi="Times New Roman" w:cs="Times New Roman"/>
          <w:sz w:val="24"/>
          <w:szCs w:val="24"/>
          <w:lang w:val="it-IT"/>
        </w:rPr>
        <w:t>, no interakcijski učinak ukazuje da je taj rast prisutan prvenstveno prije akvizicije, dok se nakon nje vrijednost stabilizira.</w:t>
      </w:r>
    </w:p>
    <w:p w14:paraId="08633E1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Ukupno promatrano, rezultati hipoteze H3 sugeriraju da </w:t>
      </w:r>
      <w:r w:rsidRPr="00BE5472">
        <w:rPr>
          <w:rFonts w:ascii="Times New Roman" w:hAnsi="Times New Roman" w:cs="Times New Roman"/>
          <w:b/>
          <w:bCs/>
          <w:sz w:val="24"/>
          <w:szCs w:val="24"/>
          <w:lang w:val="it-IT"/>
        </w:rPr>
        <w:t>akvizicije u hrvatskom hotelijerstvu ne rezultiraju trenutačnim poboljšanjem većine financijskih pokazatelja</w:t>
      </w:r>
      <w:r w:rsidRPr="00BE5472">
        <w:rPr>
          <w:rFonts w:ascii="Times New Roman" w:hAnsi="Times New Roman" w:cs="Times New Roman"/>
          <w:sz w:val="24"/>
          <w:szCs w:val="24"/>
          <w:lang w:val="it-IT"/>
        </w:rPr>
        <w:t>, već se njihovi učinci očituju kroz postupne promjene u operativnim i tržišnim varijablama. Ovakav obrazac dodatno potvrđuje tezu da se uspješnost akvizicija u hotelijerstvu mora promatrati u dugoročnom i dinamičnom okviru, a ne isključivo kroz kratkoročne financijske ishode.</w:t>
      </w:r>
    </w:p>
    <w:p w14:paraId="62513DD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Dobiveni empirijski rezultati, koji ukazuju na izostanak statistički značajnih promjena kod većine analiziranih financijskih i profitabilnosnih pokazatelja u razdoblju nakon preuzimanja, u skladu su s velikim dijelom postojeće literature o uspješnosti spajanja i preuzimanja u hotelskom sektoru. Istraživanja kontinuirano ukazuju na to da se financijski učinci akvizicija u hotelijerstvu rijetko očituju u kratkom roku te da su često neutralni ili čak privremeno negativni u prvim godinama nakon zaključenja transakcije (Hsu i Jang, 2007; Sheela i Negpal, 2013; Ferraz Lucerne, 2017). Takvi nalazi dovode u pitanje pretpostavku o neposrednom stvaranju financijske vrijednosti kroz procese spajanja i preuzimanja te potvrđuju tezu da se stvarna uspješnost akvizicija u hotelijerstvu mora promatrati u dugoročnom vremenskom horizontu.</w:t>
      </w:r>
    </w:p>
    <w:p w14:paraId="61BE19E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Nadalje, literatura ističe da je hotelski sektor obilježen specifičnim strukturnim obilježjima – visokom kapitalnom intenzivnošću, snažnom ovisnošću o lokaciji i destinaciji, visokom razinom operativnih fiksnih troškova te izrazitom ulogom ljudskih resursa – što dodatno usporava materijalizaciju sinergijskih učinaka nakon preuzimanja (Canina i sur., 2010; Li i Singal, 2021). Canina i sur. (2010) te Ma i sur. (2011) naglašavaju da se sinergije u hotelijerstvu primarno ostvaruju kroz postupnu konsolidaciju operacija, optimizaciju portfelja imovine i dugoročno poboljšanje tržišnog pozicioniranja, a ne kroz kratkoročne promjene računovodstvenih pokazatelja. U tom kontekstu, stabilnost pokazatelja poput EBITDA-e, ROA-e i ROE-a nakon preuzimanja može se interpretirati kao odraz prijelazne faze u kojoj se organizacija još uvijek prilagođava novoj vlasničkoj i operativnoj strukturi.</w:t>
      </w:r>
    </w:p>
    <w:p w14:paraId="54F4809E"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Posebno je važno istaknuti da su tržišni pokazatelji, poput tržišne vrijednosti dionica, u literaturi često podložni kratkoročnim volatilnostima koje ne odražavaju nužno stvarnu ekonomsku vrijednost transakcije. Dogru, Erdogan i Kizildag (2018) te Li i Singal (2021) ukazuju na to da burzovna tržišta u hotelijerstvu često inicijalno reagiraju negativno ili suzdržano na najave i realizaciju preuzimanja, dok se pozitivni učinci mogu uočiti tek s vremenskim odmakom, nakon stabilizacije poslovanja i uspješne integracije. Stoga se nalaz o ograničenim promjenama tržišnih i financijskih pokazatelja u razdoblju nakon preuzimanja ne može tumačiti kao neuspjeh akvizicije, već prije kao potvrda faznog i dugoročnog karaktera stvaranja vrijednosti u hotelskom sektoru.</w:t>
      </w:r>
    </w:p>
    <w:p w14:paraId="42F7151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empirijskog istraživanja potvrđuju zaključke prethodnih studija prema kojima se uspješnost spajanja i preuzimanja u hotelijerstvu ne očituje kroz brze i univerzalne financijske dobitke, već kroz postupne, često teško mjerljive promjene koje proizlaze iz uspješne integracije, operativne optimizacije i dugoročnog strateškog pozicioniranja (Canina i sur., 2010; Ma i sur., 2011; Li i Singal, 2021). Time se dodatno potvrđuje potreba da se evaluacija procesa spajanja i preuzimanja u hotelskom sektoru temelji na kombinaciji financijskih, operativnih i vremenski prilagođenih pokazatelja, uz jasno uvažavanje specifičnosti same industrije.</w:t>
      </w:r>
    </w:p>
    <w:p w14:paraId="1BF148E9" w14:textId="06504C1F"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Rezultati upućuju na to da se hipoteza H3 ne može u potpunosti p</w:t>
      </w:r>
      <w:r w:rsidR="003273E3" w:rsidRPr="00BE5472">
        <w:rPr>
          <w:rFonts w:ascii="Times New Roman" w:hAnsi="Times New Roman" w:cs="Times New Roman"/>
          <w:sz w:val="24"/>
          <w:szCs w:val="24"/>
          <w:lang w:val="it-IT"/>
        </w:rPr>
        <w:t>rihvatiti</w:t>
      </w:r>
      <w:r w:rsidRPr="00BE5472">
        <w:rPr>
          <w:rFonts w:ascii="Times New Roman" w:hAnsi="Times New Roman" w:cs="Times New Roman"/>
          <w:sz w:val="24"/>
          <w:szCs w:val="24"/>
          <w:lang w:val="it-IT"/>
        </w:rPr>
        <w:t xml:space="preserve"> jer pozitivni učinci procesa spajanja i preuzimanja nisu zabilježeni dosljedno za sve promatrane pokazatelje uspješnosti. Dok se kod pojedinih pokazatelja, poput bruto profitne marže i razinske tržišne vrijednosti dionica, bilježe pozitivni učinci nakon preuzimanja, većina operativnih i financijskih pokazatelja ne pokazuje statistički značajne promjene. Nadalje, kod određenih pokazatelja uočen </w:t>
      </w:r>
      <w:r w:rsidRPr="00BE5472">
        <w:rPr>
          <w:rFonts w:ascii="Times New Roman" w:hAnsi="Times New Roman" w:cs="Times New Roman"/>
          <w:sz w:val="24"/>
          <w:szCs w:val="24"/>
          <w:lang w:val="it-IT"/>
        </w:rPr>
        <w:lastRenderedPageBreak/>
        <w:t>je stabilizacijski, a ne rastući učinak, što upućuje na to da procesi spajanja i preuzimanja u hotelskom sektoru češće rezultiraju konsolidacijom i optimizacijom poslovanja nego kratkoročnim poboljšanjem svih dimenzija uspješnosti.</w:t>
      </w:r>
    </w:p>
    <w:p w14:paraId="1286CA8B" w14:textId="77777777" w:rsidR="00120B4F" w:rsidRDefault="00120B4F" w:rsidP="001C5C5B">
      <w:pPr>
        <w:pStyle w:val="Heading4"/>
        <w:rPr>
          <w:rFonts w:ascii="Times New Roman" w:hAnsi="Times New Roman" w:cs="Times New Roman"/>
        </w:rPr>
      </w:pPr>
      <w:bookmarkStart w:id="272" w:name="_Toc241865185"/>
      <w:r w:rsidRPr="00BE5472">
        <w:rPr>
          <w:rFonts w:ascii="Times New Roman" w:hAnsi="Times New Roman" w:cs="Times New Roman"/>
        </w:rPr>
        <w:t>5.3.2.2. Rasprava o usporedba pokazatelja uspješnosti poduzeća koja su prošla i koja nisu prošla proces spajanja i preuzimanja (H4)</w:t>
      </w:r>
      <w:bookmarkEnd w:id="272"/>
    </w:p>
    <w:p w14:paraId="1842EA35" w14:textId="77777777" w:rsidR="006167B3" w:rsidRPr="006167B3" w:rsidRDefault="006167B3" w:rsidP="006167B3"/>
    <w:p w14:paraId="5814FD4D" w14:textId="35715B60"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Unutar testiranja hipoteze H4 analizirane su razlike u financijskim i tržišnim pokazateljima hotelskih poduzeća koja su prošla proces akvizicije i onih koja nisu, a u ovom po</w:t>
      </w:r>
      <w:r w:rsidR="00E27083" w:rsidRPr="00BE5472">
        <w:rPr>
          <w:rFonts w:ascii="Times New Roman" w:hAnsi="Times New Roman" w:cs="Times New Roman"/>
          <w:sz w:val="24"/>
          <w:szCs w:val="24"/>
        </w:rPr>
        <w:t>t</w:t>
      </w:r>
      <w:r w:rsidRPr="00BE5472">
        <w:rPr>
          <w:rFonts w:ascii="Times New Roman" w:hAnsi="Times New Roman" w:cs="Times New Roman"/>
          <w:sz w:val="24"/>
          <w:szCs w:val="24"/>
        </w:rPr>
        <w:t>poglavlju bit</w:t>
      </w:r>
      <w:r w:rsidR="003D6017" w:rsidRPr="00BE5472">
        <w:rPr>
          <w:rFonts w:ascii="Times New Roman" w:hAnsi="Times New Roman" w:cs="Times New Roman"/>
          <w:sz w:val="24"/>
          <w:szCs w:val="24"/>
        </w:rPr>
        <w:t xml:space="preserve"> će </w:t>
      </w:r>
      <w:r w:rsidRPr="00BE5472">
        <w:rPr>
          <w:rFonts w:ascii="Times New Roman" w:hAnsi="Times New Roman" w:cs="Times New Roman"/>
          <w:sz w:val="24"/>
          <w:szCs w:val="24"/>
        </w:rPr>
        <w:t>sažeti statistički značajni učinci. Prvo, za pokazatelje ROA</w:t>
      </w:r>
      <w:r w:rsidR="003D6017" w:rsidRPr="00BE5472">
        <w:rPr>
          <w:rFonts w:ascii="Times New Roman" w:hAnsi="Times New Roman" w:cs="Times New Roman"/>
          <w:sz w:val="24"/>
          <w:szCs w:val="24"/>
        </w:rPr>
        <w:t>-e</w:t>
      </w:r>
      <w:r w:rsidRPr="00BE5472">
        <w:rPr>
          <w:rFonts w:ascii="Times New Roman" w:hAnsi="Times New Roman" w:cs="Times New Roman"/>
          <w:sz w:val="24"/>
          <w:szCs w:val="24"/>
        </w:rPr>
        <w:t>, bruto profitna marža, neto profitna marža, pokazatelj tekuće likvidnosti, pokazatelj financijske stabilnosti, dividenda po dionici i tržišni udio nisu utvrđene razlike između dva tipa poduzeća, niti su utvrđene promjene u funkciji vremena. Za pokazatelje EBITDA</w:t>
      </w:r>
      <w:r w:rsidR="003D6017" w:rsidRPr="00BE5472">
        <w:rPr>
          <w:rFonts w:ascii="Times New Roman" w:hAnsi="Times New Roman" w:cs="Times New Roman"/>
          <w:sz w:val="24"/>
          <w:szCs w:val="24"/>
        </w:rPr>
        <w:t>-u</w:t>
      </w:r>
      <w:r w:rsidRPr="00BE5472">
        <w:rPr>
          <w:rFonts w:ascii="Times New Roman" w:hAnsi="Times New Roman" w:cs="Times New Roman"/>
          <w:sz w:val="24"/>
          <w:szCs w:val="24"/>
        </w:rPr>
        <w:t xml:space="preserve"> i ROE</w:t>
      </w:r>
      <w:r w:rsidR="003D6017" w:rsidRPr="00BE5472">
        <w:rPr>
          <w:rFonts w:ascii="Times New Roman" w:hAnsi="Times New Roman" w:cs="Times New Roman"/>
          <w:sz w:val="24"/>
          <w:szCs w:val="24"/>
        </w:rPr>
        <w:t>-u</w:t>
      </w:r>
      <w:r w:rsidRPr="00BE5472">
        <w:rPr>
          <w:rFonts w:ascii="Times New Roman" w:hAnsi="Times New Roman" w:cs="Times New Roman"/>
          <w:sz w:val="24"/>
          <w:szCs w:val="24"/>
        </w:rPr>
        <w:t xml:space="preserve"> pokazalo se da su značajno veći kod poduzeća koja su prošla proces akvizicije u odnosu na ona koja nisu. Nadalje, za pokazatelje koeficijent zaduženosti i MVA je pokazan pozitivan vremenski trend, odnosno oni su porasli u promatranom vremenskom razdoblju. Za kraj, pozitivan vremenski trend je utvrđen i za pokazatelj tržišna vrijednost dionica, no interakcijski učinak je ovdje pokazao da je rast prisutan samo kod poduzeća koja nisu prošla proces akvizicije, dok se kod onih koja jesu tržišna vrijednost dionica pokazala stabilnom tijekom promatranog razdoblja.</w:t>
      </w:r>
    </w:p>
    <w:p w14:paraId="384665C3"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testiranja hipoteze H4 ukazuju na selektivne, ali konceptualno važne razlike između hotelskih poduzeća koja su prošla proces spajanja i preuzimanja i onih koja su rasla organskim putem. Izostanak statistički značajnih razlika kod većine promatranih profitabilnosnih, likvidnosnih i tržišnih pokazatelja potvrđuje rezultate ranijih istraživanja prema kojima spajanja i preuzimanja u hotelijerstvu ne generiraju automatski superiorne financijske performanse u odnosu na poduzeća koja nisu sudjelovala u M&amp;A procesima (Hsu i Jang, 2007; Ferraz Lucerne, 2017). Ovakav rezultat dodatno podupire tezu da sama činjenica provođenja procesa spajanja i preuzimanja nije dovoljna za stvaranje mjerljive konkurentske prednosti, već da ona ovisi o kvaliteti cilja, integracijskom procesu i dugoročnom strateškom upravljanju.</w:t>
      </w:r>
    </w:p>
    <w:p w14:paraId="7FBACE2A" w14:textId="07335F0A"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Istodobno, statistički značajno više vrijednosti EBITDA-e i ROE-a kod poduzeća koja su prošla proces spajanja i preuzimanja upućuju na to da spajanja i preuzimanja mogu imati pozitivan učinak na operativnu učinkovitost i sposobnost generiranja povrata na kapital. Ovakav rezultat u skladu je s istraživanjima koja ističu da se prednosti M&amp;A procesa u hotelijerstvu češće manifestiraju </w:t>
      </w:r>
      <w:r w:rsidRPr="00BE5472">
        <w:rPr>
          <w:rFonts w:ascii="Times New Roman" w:hAnsi="Times New Roman" w:cs="Times New Roman"/>
          <w:sz w:val="24"/>
          <w:szCs w:val="24"/>
        </w:rPr>
        <w:lastRenderedPageBreak/>
        <w:t>kroz operativne i upravljačke sinergije, a ne kroz sveobuhvatno poboljšanje svih financijskih pokazatelja (Canina i sur., 2010; Ma i sur., 2011). Viša EBITDA</w:t>
      </w:r>
      <w:r w:rsidR="003D6017" w:rsidRPr="00BE5472">
        <w:rPr>
          <w:rFonts w:ascii="Times New Roman" w:hAnsi="Times New Roman" w:cs="Times New Roman"/>
          <w:sz w:val="24"/>
          <w:szCs w:val="24"/>
        </w:rPr>
        <w:t>-e</w:t>
      </w:r>
      <w:r w:rsidRPr="00BE5472">
        <w:rPr>
          <w:rFonts w:ascii="Times New Roman" w:hAnsi="Times New Roman" w:cs="Times New Roman"/>
          <w:sz w:val="24"/>
          <w:szCs w:val="24"/>
        </w:rPr>
        <w:t xml:space="preserve"> može se interpretirati kao rezultat ekonomija obujma, optimizacije zajedničkih funkcija i boljeg iskorištavanja imovine, dok viši ROE sugerira učinkovitiju alokaciju kapitala u poduzećima koja </w:t>
      </w:r>
      <w:r w:rsidR="00E27083" w:rsidRPr="00BE5472">
        <w:rPr>
          <w:rFonts w:ascii="Times New Roman" w:hAnsi="Times New Roman" w:cs="Times New Roman"/>
          <w:sz w:val="24"/>
          <w:szCs w:val="24"/>
        </w:rPr>
        <w:t xml:space="preserve">se </w:t>
      </w:r>
      <w:r w:rsidRPr="00BE5472">
        <w:rPr>
          <w:rFonts w:ascii="Times New Roman" w:hAnsi="Times New Roman" w:cs="Times New Roman"/>
          <w:sz w:val="24"/>
          <w:szCs w:val="24"/>
        </w:rPr>
        <w:t>koriste akvizicij</w:t>
      </w:r>
      <w:r w:rsidR="00E27083" w:rsidRPr="00BE5472">
        <w:rPr>
          <w:rFonts w:ascii="Times New Roman" w:hAnsi="Times New Roman" w:cs="Times New Roman"/>
          <w:sz w:val="24"/>
          <w:szCs w:val="24"/>
        </w:rPr>
        <w:t>om</w:t>
      </w:r>
      <w:r w:rsidRPr="00BE5472">
        <w:rPr>
          <w:rFonts w:ascii="Times New Roman" w:hAnsi="Times New Roman" w:cs="Times New Roman"/>
          <w:sz w:val="24"/>
          <w:szCs w:val="24"/>
        </w:rPr>
        <w:t xml:space="preserve"> kao strateški instrument rasta.</w:t>
      </w:r>
    </w:p>
    <w:p w14:paraId="3C8429C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Posebno je zanimljiv rezultat vezan uz kretanje tržišne vrijednosti dionica, gdje se pozitivan vremenski trend bilježi isključivo kod poduzeća koja nisu prošla proces spajanja i preuzimanja, dok je kod preuzimatelja tržišna vrijednost dionica stabilna. Ovaj rezultat u potpunosti je konzistentan s literaturom koja ukazuje na ambivalentnu i često suzdržanu reakciju tržišta kapitala na akvizicije u hotelskom sektoru (Hsu i Jang, 2007; Dogru, Erdogan i Kizildag, 2018). Tržište često percipira akvizicije kao rizične i kapitalno zahtjevne projekte čiji se učinci ne mogu odmah kvantificirati, što može rezultirati privremenom stagnacijom ili neutralnim kretanjem cijena dionica poduzeća preuzimatelja. Nasuprot tome, poduzeća koja rastu organskim putem mogu uživati stabilniji investicijski sentiment, osobito u razdobljima povoljnih tržišnih uvjeta.</w:t>
      </w:r>
    </w:p>
    <w:p w14:paraId="35438F56"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Pozitivan vremenski trend koeficijenta zaduženosti i MVA-a, neovisno o statusu akvizicije, dodatno ukazuje na šire strukturne promjene u industriji, uključujući povećanu uporabu financijske poluge i rast očekivanja investitora u pogledu dugoročne vrijednosti hotelskih poduzeća. Ovakvi trendovi u skladu su s nalazima Li i Singala (2021), koji ističu da su financijska struktura i tržišna valorizacija hotelskih poduzeća snažno uvjetovane industrijskim okruženjem, cikličkim kretanjima i strategijama financiranja, a ne isključivo sudjelovanjem u M&amp;A procesima.</w:t>
      </w:r>
    </w:p>
    <w:p w14:paraId="7BDE9A20"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rPr>
        <w:t xml:space="preserve">Rezultati hipoteze H4 potvrđuju da spajanja i preuzimanja u hotelijerstvu ne jamče univerzalno bolje financijske ili tržišne performanse u odnosu na poduzeća koja nisu sudjelovala u tim procesima. Međutim, identificirane razlike u operativnoj učinkovitosti i povratu na kapital upućuju na to da spajanja i preuzimanja mogu predstavljati učinkovit strateški alat za odabrane dimenzije poslovanja, osobito u kontekstu dugoročnog rasta i konsolidacije. </w:t>
      </w:r>
      <w:r w:rsidRPr="00BE5472">
        <w:rPr>
          <w:rFonts w:ascii="Times New Roman" w:hAnsi="Times New Roman" w:cs="Times New Roman"/>
          <w:sz w:val="24"/>
          <w:szCs w:val="24"/>
          <w:lang w:val="it-IT"/>
        </w:rPr>
        <w:t>Time se dodatno potvrđuje zaključak literature da uspješnost spajanja i preuzimanja u hotelijerstvu treba promatrati diferencirano, fazno i dugoročno, uz uvažavanje specifičnosti industrije i heterogenosti strategija rasta (Canina i sur., 2010; Ma i sur., 2011; Li i Singal, 2021).</w:t>
      </w:r>
    </w:p>
    <w:p w14:paraId="25CBAD32"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Djelomična potvrda hipoteze H4 proizlazi iz činjenice da su poduzeća koja su se odlučila za eksterni rast ostvarila bolje rezultate u pojedinim ključnim financijskim pokazateljima, osobito </w:t>
      </w:r>
      <w:r w:rsidRPr="00BE5472">
        <w:rPr>
          <w:rFonts w:ascii="Times New Roman" w:hAnsi="Times New Roman" w:cs="Times New Roman"/>
          <w:sz w:val="24"/>
          <w:szCs w:val="24"/>
          <w:lang w:val="it-IT"/>
        </w:rPr>
        <w:lastRenderedPageBreak/>
        <w:t>onima koji odražavaju veličinu i povrat na kapital, dok kod većine ostalih pokazatelja nisu utvrđene značajne razlike u odnosu na poduzeća koja su rasla organskim putem. Ovi nalazi sugeriraju da eksterni rast u hotelskom sektoru donosi selektivne prednosti, ponajprije u pogledu tržišne pozicije i financijske snage, ali ne jamči sveobuhvatno poboljšanje operativne učinkovitosti.</w:t>
      </w:r>
    </w:p>
    <w:p w14:paraId="11C01C7A" w14:textId="77777777" w:rsidR="00120B4F" w:rsidRDefault="00120B4F" w:rsidP="001C5C5B">
      <w:pPr>
        <w:pStyle w:val="Heading4"/>
        <w:rPr>
          <w:rFonts w:ascii="Times New Roman" w:hAnsi="Times New Roman" w:cs="Times New Roman"/>
          <w:lang w:val="it-IT"/>
        </w:rPr>
      </w:pPr>
      <w:bookmarkStart w:id="273" w:name="_Toc241865186"/>
      <w:r w:rsidRPr="00BE5472">
        <w:rPr>
          <w:rFonts w:ascii="Times New Roman" w:hAnsi="Times New Roman" w:cs="Times New Roman"/>
          <w:lang w:val="it-IT"/>
        </w:rPr>
        <w:t>5.3.2.3. Sintezni osvrt na financijsku i tržišnu uspješnost poduzeća u kontekstu procesa spajanja i preuzimanja</w:t>
      </w:r>
      <w:bookmarkEnd w:id="273"/>
    </w:p>
    <w:p w14:paraId="0EE6DC18" w14:textId="77777777" w:rsidR="006167B3" w:rsidRPr="006167B3" w:rsidRDefault="006167B3" w:rsidP="006167B3">
      <w:pPr>
        <w:rPr>
          <w:lang w:val="it-IT"/>
        </w:rPr>
      </w:pPr>
    </w:p>
    <w:p w14:paraId="12112879" w14:textId="0107990E"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 temelju rezultata testiranja hipoteza H3 i H4 moguće je identificirati nekoliko jasno razgraničenih obrazaca uspješnosti hotelskih poduzeća u kontekstu procesa spajanja i preuzimanja. Ti se obrasci mogu sagledati kroz vremensku dimenziju (prije</w:t>
      </w:r>
      <w:r w:rsidR="003D6017"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poslije procesa spajanja i preuzimanja), komparativnu dimenziju (poduzeća koja jesu i nisu prošla process spajanja i preuzimanja) te kroz razliku između operativno-financijskih i tržišnih pokazatelja.</w:t>
      </w:r>
    </w:p>
    <w:p w14:paraId="374A6D9E" w14:textId="77777777" w:rsidR="00120B4F" w:rsidRPr="00BE5472" w:rsidRDefault="00120B4F" w:rsidP="00120B4F">
      <w:pPr>
        <w:pStyle w:val="ListParagraph"/>
        <w:numPr>
          <w:ilvl w:val="0"/>
          <w:numId w:val="10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Operativna i računovodstvena uspješnost</w:t>
      </w:r>
    </w:p>
    <w:p w14:paraId="3D5C2110" w14:textId="38A5FDD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Rezultati upućuju na to da procesi spajanja i preuzimanja u hrvatskom hotelijerstvu ne dovode do naglih i univerzalnih poboljšanja operativnih pokazatelja u kratkom roku. Većina klasičnih pokazatelja profitabilnosti (ROA, ROE, neto profitna marža) ne pokazuje statistički značajne promjene ni u vremenskoj usporedbi prije i poslije akvizicije (H3), ni u usporedbi poduzeća koja su prošla i koja nisu prošla proces akvizicije (H4). Ovakav rezultat u skladu je s teorijskim spoznajama koje naglašavaju da se sinergijski učinci u hotelijerstvu ostvaruju postupno i često tek nakon završetka integracije.</w:t>
      </w:r>
    </w:p>
    <w:p w14:paraId="126D346A" w14:textId="77777777" w:rsidR="00120B4F" w:rsidRPr="00BE5472" w:rsidRDefault="00120B4F" w:rsidP="00120B4F">
      <w:pPr>
        <w:pStyle w:val="ListParagraph"/>
        <w:numPr>
          <w:ilvl w:val="0"/>
          <w:numId w:val="10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Pokazatelji operativne učinkovitosti i marži</w:t>
      </w:r>
    </w:p>
    <w:p w14:paraId="02807292" w14:textId="77777777"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br/>
        <w:t>Izuzetak predstavlja bruto profitna marža, koja pokazuje statistički značajno poboljšanje u razdoblju nakon preuzimanja. Ovaj rezultat može upućivati na realizaciju operativnih sinergija, ponajprije kroz racionalizaciju troškova, bolje upravljanje prihodima ili unaprjeđenje cjenovne politike, što je u skladu s teorijom operativnih sinergija u hotelskom sektoru.</w:t>
      </w:r>
    </w:p>
    <w:p w14:paraId="25DF2658" w14:textId="77777777" w:rsidR="006167B3" w:rsidRDefault="006167B3" w:rsidP="00120B4F">
      <w:pPr>
        <w:spacing w:line="360" w:lineRule="auto"/>
        <w:jc w:val="both"/>
        <w:rPr>
          <w:rFonts w:ascii="Times New Roman" w:hAnsi="Times New Roman" w:cs="Times New Roman"/>
          <w:sz w:val="24"/>
          <w:szCs w:val="24"/>
        </w:rPr>
      </w:pPr>
    </w:p>
    <w:p w14:paraId="216E8918" w14:textId="77777777" w:rsidR="006167B3" w:rsidRPr="00BE5472" w:rsidRDefault="006167B3" w:rsidP="00120B4F">
      <w:pPr>
        <w:spacing w:line="360" w:lineRule="auto"/>
        <w:jc w:val="both"/>
        <w:rPr>
          <w:rFonts w:ascii="Times New Roman" w:hAnsi="Times New Roman" w:cs="Times New Roman"/>
          <w:sz w:val="24"/>
          <w:szCs w:val="24"/>
        </w:rPr>
      </w:pPr>
    </w:p>
    <w:p w14:paraId="14B7F706" w14:textId="77777777" w:rsidR="00120B4F" w:rsidRPr="00BE5472" w:rsidRDefault="00120B4F" w:rsidP="00120B4F">
      <w:pPr>
        <w:pStyle w:val="ListParagraph"/>
        <w:numPr>
          <w:ilvl w:val="0"/>
          <w:numId w:val="10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Likvidnost i struktura financiranja</w:t>
      </w:r>
    </w:p>
    <w:p w14:paraId="708C6C8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Pad pokazatelja tekuće likvidnosti nakon preuzimanja sugerira da se spajanja i preuzimanja u hrvatskom hotelijerstvu često financiraju uz povećani pritisak na kratkoročnu financijsku ravnotežu, bilo zbog povećanih investicijskih potreba, refinanciranja ili promjene strukture obrtnih sredstava. Istodobno, stabilizacija koeficijenta zaduženosti nakon spajanja i preuzimanja upućuje na postupno financijsko restrukturiranje i prilagodbu nove vlasničke strukture.</w:t>
      </w:r>
    </w:p>
    <w:p w14:paraId="55055018" w14:textId="77777777" w:rsidR="006167B3" w:rsidRDefault="00120B4F" w:rsidP="006167B3">
      <w:pPr>
        <w:pStyle w:val="ListParagraph"/>
        <w:numPr>
          <w:ilvl w:val="0"/>
          <w:numId w:val="10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Tržišna percepcija i tržišni pokazatelji</w:t>
      </w:r>
    </w:p>
    <w:p w14:paraId="2D0B7833" w14:textId="6FB471DE" w:rsidR="00120B4F" w:rsidRPr="006167B3" w:rsidRDefault="00120B4F" w:rsidP="006167B3">
      <w:pPr>
        <w:spacing w:line="360" w:lineRule="auto"/>
        <w:jc w:val="both"/>
        <w:rPr>
          <w:rFonts w:ascii="Times New Roman" w:hAnsi="Times New Roman" w:cs="Times New Roman"/>
          <w:sz w:val="24"/>
          <w:szCs w:val="24"/>
        </w:rPr>
      </w:pPr>
      <w:r w:rsidRPr="006167B3">
        <w:rPr>
          <w:rFonts w:ascii="Times New Roman" w:hAnsi="Times New Roman" w:cs="Times New Roman"/>
          <w:sz w:val="24"/>
          <w:szCs w:val="24"/>
        </w:rPr>
        <w:t>Rezultati vezani uz tržišnu vrijednost dionica i MVA jasno ukazuju na razliku između kratkoročne tržišne percepcije i dugoročnih učinaka akvizicije. Iako tržišna vrijednost dionica pokazuje rast prije akvizicije, nakon nje dolazi do stabilizacije, što sugerira da tržište inicijalno ugrađuje očekivanja o sinergijama, dok se stvarni učinci procjenjuju s vremenskim odmakom. U usporedbi s poduzećima koja nisu prošla kroz proces spajanja i preuzimanja, tržište pokazuje dinamičniji rast vrijednosti dionica kod neakviziranih poduzeća, što može upućivati na veću volatilnost i oprez investitora prema akvizicijskim strategijama u kratkom roku.</w:t>
      </w:r>
    </w:p>
    <w:p w14:paraId="2C0F1000" w14:textId="7BFE2677" w:rsidR="00120B4F" w:rsidRPr="00BE5472" w:rsidRDefault="00120B4F" w:rsidP="00120B4F">
      <w:pPr>
        <w:pStyle w:val="ListParagraph"/>
        <w:numPr>
          <w:ilvl w:val="0"/>
          <w:numId w:val="103"/>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Razlike između poduzeća koja su </w:t>
      </w:r>
      <w:r w:rsidR="001B48DB" w:rsidRPr="00BE5472">
        <w:rPr>
          <w:rFonts w:ascii="Times New Roman" w:hAnsi="Times New Roman" w:cs="Times New Roman"/>
          <w:sz w:val="24"/>
          <w:szCs w:val="24"/>
        </w:rPr>
        <w:t xml:space="preserve">prošla proces spajanja i preuzimanja </w:t>
      </w:r>
      <w:r w:rsidRPr="00BE5472">
        <w:rPr>
          <w:rFonts w:ascii="Times New Roman" w:hAnsi="Times New Roman" w:cs="Times New Roman"/>
          <w:sz w:val="24"/>
          <w:szCs w:val="24"/>
        </w:rPr>
        <w:t>i</w:t>
      </w:r>
      <w:r w:rsidR="001B48DB" w:rsidRPr="00BE5472">
        <w:rPr>
          <w:rFonts w:ascii="Times New Roman" w:hAnsi="Times New Roman" w:cs="Times New Roman"/>
          <w:sz w:val="24"/>
          <w:szCs w:val="24"/>
        </w:rPr>
        <w:t xml:space="preserve"> onih koji</w:t>
      </w:r>
      <w:r w:rsidRPr="00BE5472">
        <w:rPr>
          <w:rFonts w:ascii="Times New Roman" w:hAnsi="Times New Roman" w:cs="Times New Roman"/>
          <w:sz w:val="24"/>
          <w:szCs w:val="24"/>
        </w:rPr>
        <w:t xml:space="preserve"> nisu </w:t>
      </w:r>
    </w:p>
    <w:p w14:paraId="58E590D0" w14:textId="3D79059B"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Usporedba dviju skupina poduzeća (H4) pokazuje da poduzeća koja su prošla proces spajanja i preuzimanja ostvaruju višu EBITDA-u i ROE, što sugerira veću operativnu snagu i učinkovitije korištenje kapitala. Međutim, izostanak razlika u većini ostalih pokazatelja potvrđuje da proces spajanja i preuzimanja sam po sebi nije jamstvo superiorne ukupne uspješnosti, već da njegovi učinci ovise o kontekstu, kvaliteti integracije i dugoročnoj strategiji.</w:t>
      </w:r>
    </w:p>
    <w:p w14:paraId="79F159F8" w14:textId="1CAE7E34"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Radi preglednijeg sagledavanja navedenih rezultata i zaključaka te njihovog međusobnog odnosa, u nastavku se daje sintezna </w:t>
      </w:r>
      <w:r w:rsidR="00127A4E">
        <w:rPr>
          <w:rFonts w:ascii="Times New Roman" w:hAnsi="Times New Roman" w:cs="Times New Roman"/>
          <w:sz w:val="24"/>
          <w:szCs w:val="24"/>
        </w:rPr>
        <w:t>T</w:t>
      </w:r>
      <w:r w:rsidRPr="00BE5472">
        <w:rPr>
          <w:rFonts w:ascii="Times New Roman" w:hAnsi="Times New Roman" w:cs="Times New Roman"/>
          <w:sz w:val="24"/>
          <w:szCs w:val="24"/>
        </w:rPr>
        <w:t xml:space="preserve">ablica </w:t>
      </w:r>
      <w:r w:rsidR="00127A4E">
        <w:rPr>
          <w:rFonts w:ascii="Times New Roman" w:hAnsi="Times New Roman" w:cs="Times New Roman"/>
          <w:sz w:val="24"/>
          <w:szCs w:val="24"/>
        </w:rPr>
        <w:t>74</w:t>
      </w:r>
      <w:r w:rsidRPr="00BE5472">
        <w:rPr>
          <w:rFonts w:ascii="Times New Roman" w:hAnsi="Times New Roman" w:cs="Times New Roman"/>
          <w:sz w:val="24"/>
          <w:szCs w:val="24"/>
        </w:rPr>
        <w:t xml:space="preserve"> koja objedinjeno prikazuje ključne obrasce uspješnosti hrvatskih hotelskih poduzeća u kontekstu procesa spajanja i preuzimanja.</w:t>
      </w:r>
    </w:p>
    <w:p w14:paraId="78815166" w14:textId="77777777" w:rsidR="006167B3" w:rsidRDefault="006167B3" w:rsidP="00120B4F">
      <w:pPr>
        <w:spacing w:line="360" w:lineRule="auto"/>
        <w:jc w:val="both"/>
        <w:rPr>
          <w:rFonts w:ascii="Times New Roman" w:hAnsi="Times New Roman" w:cs="Times New Roman"/>
          <w:sz w:val="24"/>
          <w:szCs w:val="24"/>
        </w:rPr>
        <w:sectPr w:rsidR="006167B3" w:rsidSect="00D63A8E">
          <w:pgSz w:w="12240" w:h="15840"/>
          <w:pgMar w:top="1440" w:right="1440" w:bottom="1440" w:left="1440" w:header="708" w:footer="708" w:gutter="0"/>
          <w:cols w:space="708"/>
          <w:docGrid w:linePitch="360"/>
        </w:sectPr>
      </w:pPr>
    </w:p>
    <w:p w14:paraId="3B157A34" w14:textId="4494A0AA" w:rsidR="00120B4F" w:rsidRPr="00044BF6" w:rsidRDefault="00044BF6" w:rsidP="00044BF6">
      <w:pPr>
        <w:pStyle w:val="Caption"/>
        <w:rPr>
          <w:rFonts w:ascii="Times New Roman" w:hAnsi="Times New Roman" w:cs="Times New Roman"/>
          <w:sz w:val="24"/>
          <w:szCs w:val="24"/>
        </w:rPr>
      </w:pPr>
      <w:bookmarkStart w:id="274" w:name="_Toc241865268"/>
      <w:r w:rsidRPr="00044BF6">
        <w:rPr>
          <w:rFonts w:ascii="Times New Roman" w:hAnsi="Times New Roman" w:cs="Times New Roman"/>
          <w:sz w:val="24"/>
          <w:szCs w:val="24"/>
        </w:rPr>
        <w:lastRenderedPageBreak/>
        <w:t xml:space="preserve">Tablica </w:t>
      </w:r>
      <w:r w:rsidRPr="00044BF6">
        <w:rPr>
          <w:rFonts w:ascii="Times New Roman" w:hAnsi="Times New Roman" w:cs="Times New Roman"/>
          <w:sz w:val="24"/>
          <w:szCs w:val="24"/>
        </w:rPr>
        <w:fldChar w:fldCharType="begin"/>
      </w:r>
      <w:r w:rsidRPr="00044BF6">
        <w:rPr>
          <w:rFonts w:ascii="Times New Roman" w:hAnsi="Times New Roman" w:cs="Times New Roman"/>
          <w:sz w:val="24"/>
          <w:szCs w:val="24"/>
        </w:rPr>
        <w:instrText xml:space="preserve"> SEQ Tablica \* ARABIC </w:instrText>
      </w:r>
      <w:r w:rsidRPr="00044BF6">
        <w:rPr>
          <w:rFonts w:ascii="Times New Roman" w:hAnsi="Times New Roman" w:cs="Times New Roman"/>
          <w:sz w:val="24"/>
          <w:szCs w:val="24"/>
        </w:rPr>
        <w:fldChar w:fldCharType="separate"/>
      </w:r>
      <w:r w:rsidRPr="00044BF6">
        <w:rPr>
          <w:rFonts w:ascii="Times New Roman" w:hAnsi="Times New Roman" w:cs="Times New Roman"/>
          <w:noProof/>
          <w:sz w:val="24"/>
          <w:szCs w:val="24"/>
        </w:rPr>
        <w:t>74</w:t>
      </w:r>
      <w:r w:rsidRPr="00044BF6">
        <w:rPr>
          <w:rFonts w:ascii="Times New Roman" w:hAnsi="Times New Roman" w:cs="Times New Roman"/>
          <w:sz w:val="24"/>
          <w:szCs w:val="24"/>
        </w:rPr>
        <w:fldChar w:fldCharType="end"/>
      </w:r>
      <w:r w:rsidR="00120B4F" w:rsidRPr="00044BF6">
        <w:rPr>
          <w:rFonts w:ascii="Times New Roman" w:hAnsi="Times New Roman" w:cs="Times New Roman"/>
          <w:sz w:val="24"/>
          <w:szCs w:val="24"/>
        </w:rPr>
        <w:t>: Sintezni prikaz učinaka spajanja i preuzimanja na operativnu, financijsku i tržišnu uspješnost hotelskih poduzeća (H3 i H4)</w:t>
      </w:r>
      <w:bookmarkEnd w:id="274"/>
    </w:p>
    <w:tbl>
      <w:tblPr>
        <w:tblStyle w:val="TableGrid"/>
        <w:tblW w:w="0" w:type="auto"/>
        <w:tblLook w:val="04A0" w:firstRow="1" w:lastRow="0" w:firstColumn="1" w:lastColumn="0" w:noHBand="0" w:noVBand="1"/>
      </w:tblPr>
      <w:tblGrid>
        <w:gridCol w:w="2685"/>
        <w:gridCol w:w="2968"/>
        <w:gridCol w:w="3697"/>
      </w:tblGrid>
      <w:tr w:rsidR="00120B4F" w:rsidRPr="00BE5472" w14:paraId="732BEADA" w14:textId="77777777" w:rsidTr="001C5C5B">
        <w:tc>
          <w:tcPr>
            <w:tcW w:w="0" w:type="auto"/>
            <w:vAlign w:val="center"/>
            <w:hideMark/>
          </w:tcPr>
          <w:p w14:paraId="41FDE127" w14:textId="30D3FB3E" w:rsidR="00120B4F" w:rsidRPr="00BE5472" w:rsidRDefault="00120B4F" w:rsidP="001C5C5B">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Dimenzija analize</w:t>
            </w:r>
          </w:p>
        </w:tc>
        <w:tc>
          <w:tcPr>
            <w:tcW w:w="0" w:type="auto"/>
            <w:vAlign w:val="center"/>
            <w:hideMark/>
          </w:tcPr>
          <w:p w14:paraId="43B35ADA" w14:textId="77777777" w:rsidR="00120B4F" w:rsidRPr="00BE5472" w:rsidRDefault="00120B4F" w:rsidP="001C5C5B">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Ključni rezultati</w:t>
            </w:r>
          </w:p>
        </w:tc>
        <w:tc>
          <w:tcPr>
            <w:tcW w:w="0" w:type="auto"/>
            <w:vAlign w:val="center"/>
            <w:hideMark/>
          </w:tcPr>
          <w:p w14:paraId="52B13430" w14:textId="77777777" w:rsidR="00120B4F" w:rsidRPr="00BE5472" w:rsidRDefault="00120B4F" w:rsidP="001C5C5B">
            <w:pPr>
              <w:jc w:val="center"/>
              <w:rPr>
                <w:rFonts w:ascii="Times New Roman" w:eastAsia="Times New Roman" w:hAnsi="Times New Roman" w:cs="Times New Roman"/>
                <w:b/>
                <w:bCs/>
                <w:sz w:val="24"/>
                <w:szCs w:val="24"/>
                <w:lang w:val="en-US"/>
              </w:rPr>
            </w:pPr>
            <w:r w:rsidRPr="00BE5472">
              <w:rPr>
                <w:rFonts w:ascii="Times New Roman" w:eastAsia="Times New Roman" w:hAnsi="Times New Roman" w:cs="Times New Roman"/>
                <w:b/>
                <w:bCs/>
                <w:sz w:val="24"/>
                <w:szCs w:val="24"/>
                <w:lang w:val="en-US"/>
              </w:rPr>
              <w:t>Interpretacija u kontekstu hrvatskog hotelijerstva</w:t>
            </w:r>
          </w:p>
        </w:tc>
      </w:tr>
      <w:tr w:rsidR="00120B4F" w:rsidRPr="00BE5472" w14:paraId="700FDFA7" w14:textId="77777777" w:rsidTr="001C5C5B">
        <w:tc>
          <w:tcPr>
            <w:tcW w:w="0" w:type="auto"/>
            <w:vAlign w:val="center"/>
            <w:hideMark/>
          </w:tcPr>
          <w:p w14:paraId="76DDB018"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Operativna profitabilnost (ROA, ROE, neto marža)</w:t>
            </w:r>
          </w:p>
        </w:tc>
        <w:tc>
          <w:tcPr>
            <w:tcW w:w="0" w:type="auto"/>
            <w:vAlign w:val="center"/>
            <w:hideMark/>
          </w:tcPr>
          <w:p w14:paraId="31B96F26"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Bez značajnih promjena prije/poslije i između skupina</w:t>
            </w:r>
          </w:p>
        </w:tc>
        <w:tc>
          <w:tcPr>
            <w:tcW w:w="0" w:type="auto"/>
            <w:vAlign w:val="center"/>
            <w:hideMark/>
          </w:tcPr>
          <w:p w14:paraId="31E9C3F8"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Sinergije se ne manifestiraju brzo; učinci su dugoročni i ovise o integraciji</w:t>
            </w:r>
          </w:p>
        </w:tc>
      </w:tr>
      <w:tr w:rsidR="00120B4F" w:rsidRPr="00BE5472" w14:paraId="4B979EF5" w14:textId="77777777" w:rsidTr="001C5C5B">
        <w:tc>
          <w:tcPr>
            <w:tcW w:w="0" w:type="auto"/>
            <w:vAlign w:val="center"/>
            <w:hideMark/>
          </w:tcPr>
          <w:p w14:paraId="2C03EC5A"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Bruto profitna marža</w:t>
            </w:r>
          </w:p>
        </w:tc>
        <w:tc>
          <w:tcPr>
            <w:tcW w:w="0" w:type="auto"/>
            <w:vAlign w:val="center"/>
            <w:hideMark/>
          </w:tcPr>
          <w:p w14:paraId="2D8EF4B7"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Značajno viša nakon spajanja i preuzimanja</w:t>
            </w:r>
          </w:p>
        </w:tc>
        <w:tc>
          <w:tcPr>
            <w:tcW w:w="0" w:type="auto"/>
            <w:vAlign w:val="center"/>
            <w:hideMark/>
          </w:tcPr>
          <w:p w14:paraId="604ED6E9"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Ostvarenje operativnih sinergija kroz kontrolu troškova i upravljanje prihodima</w:t>
            </w:r>
          </w:p>
        </w:tc>
      </w:tr>
      <w:tr w:rsidR="00120B4F" w:rsidRPr="00BE5472" w14:paraId="50C56A27" w14:textId="77777777" w:rsidTr="001C5C5B">
        <w:tc>
          <w:tcPr>
            <w:tcW w:w="0" w:type="auto"/>
            <w:vAlign w:val="center"/>
            <w:hideMark/>
          </w:tcPr>
          <w:p w14:paraId="12B9EF94"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EBITDA</w:t>
            </w:r>
          </w:p>
        </w:tc>
        <w:tc>
          <w:tcPr>
            <w:tcW w:w="0" w:type="auto"/>
            <w:vAlign w:val="center"/>
            <w:hideMark/>
          </w:tcPr>
          <w:p w14:paraId="0228BAB0"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Viša kod poduzeća koja su prošla proces spajanja i preuzimanja</w:t>
            </w:r>
          </w:p>
        </w:tc>
        <w:tc>
          <w:tcPr>
            <w:tcW w:w="0" w:type="auto"/>
            <w:vAlign w:val="center"/>
            <w:hideMark/>
          </w:tcPr>
          <w:p w14:paraId="6F8EB512"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Veća operativna snaga i učinkovitost poslovanja</w:t>
            </w:r>
          </w:p>
        </w:tc>
      </w:tr>
      <w:tr w:rsidR="00120B4F" w:rsidRPr="00BE5472" w14:paraId="4DF1BDE8" w14:textId="77777777" w:rsidTr="001C5C5B">
        <w:tc>
          <w:tcPr>
            <w:tcW w:w="0" w:type="auto"/>
            <w:vAlign w:val="center"/>
            <w:hideMark/>
          </w:tcPr>
          <w:p w14:paraId="40863941"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Likvidnost</w:t>
            </w:r>
          </w:p>
        </w:tc>
        <w:tc>
          <w:tcPr>
            <w:tcW w:w="0" w:type="auto"/>
            <w:vAlign w:val="center"/>
            <w:hideMark/>
          </w:tcPr>
          <w:p w14:paraId="784F3958"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Niža nakon spajanja i preuzimanja</w:t>
            </w:r>
          </w:p>
        </w:tc>
        <w:tc>
          <w:tcPr>
            <w:tcW w:w="0" w:type="auto"/>
            <w:vAlign w:val="center"/>
            <w:hideMark/>
          </w:tcPr>
          <w:p w14:paraId="1257D0CB"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Povećani investicijski i financijski pritisci u postakvizicijskoj fazi</w:t>
            </w:r>
          </w:p>
        </w:tc>
      </w:tr>
      <w:tr w:rsidR="00120B4F" w:rsidRPr="00BE5472" w14:paraId="6EE92F8E" w14:textId="77777777" w:rsidTr="001C5C5B">
        <w:tc>
          <w:tcPr>
            <w:tcW w:w="0" w:type="auto"/>
            <w:vAlign w:val="center"/>
            <w:hideMark/>
          </w:tcPr>
          <w:p w14:paraId="4E0F5608"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Zaduženost</w:t>
            </w:r>
          </w:p>
        </w:tc>
        <w:tc>
          <w:tcPr>
            <w:tcW w:w="0" w:type="auto"/>
            <w:vAlign w:val="center"/>
            <w:hideMark/>
          </w:tcPr>
          <w:p w14:paraId="3D644833"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Stabilizacija nakon spajanja i preuzimanja</w:t>
            </w:r>
          </w:p>
        </w:tc>
        <w:tc>
          <w:tcPr>
            <w:tcW w:w="0" w:type="auto"/>
            <w:vAlign w:val="center"/>
            <w:hideMark/>
          </w:tcPr>
          <w:p w14:paraId="4B329775"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Financijsko restrukturiranje i prilagodba nove vlasničke strukture</w:t>
            </w:r>
          </w:p>
        </w:tc>
      </w:tr>
      <w:tr w:rsidR="00120B4F" w:rsidRPr="00BE5472" w14:paraId="345FEA6F" w14:textId="77777777" w:rsidTr="001C5C5B">
        <w:tc>
          <w:tcPr>
            <w:tcW w:w="0" w:type="auto"/>
            <w:vAlign w:val="center"/>
            <w:hideMark/>
          </w:tcPr>
          <w:p w14:paraId="02D24271"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Tržišna vrijednost dionica</w:t>
            </w:r>
          </w:p>
        </w:tc>
        <w:tc>
          <w:tcPr>
            <w:tcW w:w="0" w:type="auto"/>
            <w:vAlign w:val="center"/>
            <w:hideMark/>
          </w:tcPr>
          <w:p w14:paraId="574B933C"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Rast prije spajanja i preuzimanja, stabilizacija nakon</w:t>
            </w:r>
          </w:p>
        </w:tc>
        <w:tc>
          <w:tcPr>
            <w:tcW w:w="0" w:type="auto"/>
            <w:vAlign w:val="center"/>
            <w:hideMark/>
          </w:tcPr>
          <w:p w14:paraId="095C48C2"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Tržište unaprijed ugrađuje očekivanja o sinergijama</w:t>
            </w:r>
          </w:p>
        </w:tc>
      </w:tr>
      <w:tr w:rsidR="00120B4F" w:rsidRPr="00BE5472" w14:paraId="5C5B348F" w14:textId="77777777" w:rsidTr="001C5C5B">
        <w:tc>
          <w:tcPr>
            <w:tcW w:w="0" w:type="auto"/>
            <w:vAlign w:val="center"/>
            <w:hideMark/>
          </w:tcPr>
          <w:p w14:paraId="5EB16164"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MVA</w:t>
            </w:r>
          </w:p>
        </w:tc>
        <w:tc>
          <w:tcPr>
            <w:tcW w:w="0" w:type="auto"/>
            <w:vAlign w:val="center"/>
            <w:hideMark/>
          </w:tcPr>
          <w:p w14:paraId="55F21497"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Rast prije, stabilnost nakon spajanja i preuzimanja</w:t>
            </w:r>
          </w:p>
        </w:tc>
        <w:tc>
          <w:tcPr>
            <w:tcW w:w="0" w:type="auto"/>
            <w:vAlign w:val="center"/>
            <w:hideMark/>
          </w:tcPr>
          <w:p w14:paraId="430CC7D6"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Dugoročna evaluacija vrijednosti nadilazi kratkoročne tržišne reakcije</w:t>
            </w:r>
          </w:p>
        </w:tc>
      </w:tr>
      <w:tr w:rsidR="00120B4F" w:rsidRPr="00BE5472" w14:paraId="1BEB1A62" w14:textId="77777777" w:rsidTr="001C5C5B">
        <w:tc>
          <w:tcPr>
            <w:tcW w:w="0" w:type="auto"/>
            <w:vAlign w:val="center"/>
            <w:hideMark/>
          </w:tcPr>
          <w:p w14:paraId="31FC274B"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Usporedba s neakviziranim poduzećima</w:t>
            </w:r>
          </w:p>
        </w:tc>
        <w:tc>
          <w:tcPr>
            <w:tcW w:w="0" w:type="auto"/>
            <w:vAlign w:val="center"/>
            <w:hideMark/>
          </w:tcPr>
          <w:p w14:paraId="317C3DD1" w14:textId="77777777" w:rsidR="00120B4F" w:rsidRPr="00BE5472" w:rsidRDefault="00120B4F" w:rsidP="001C5C5B">
            <w:pPr>
              <w:jc w:val="center"/>
              <w:rPr>
                <w:rFonts w:ascii="Times New Roman" w:eastAsia="Times New Roman" w:hAnsi="Times New Roman" w:cs="Times New Roman"/>
                <w:sz w:val="24"/>
                <w:szCs w:val="24"/>
                <w:lang w:val="en-US"/>
              </w:rPr>
            </w:pPr>
            <w:r w:rsidRPr="00BE5472">
              <w:rPr>
                <w:rFonts w:ascii="Times New Roman" w:eastAsia="Times New Roman" w:hAnsi="Times New Roman" w:cs="Times New Roman"/>
                <w:sz w:val="24"/>
                <w:szCs w:val="24"/>
                <w:lang w:val="en-US"/>
              </w:rPr>
              <w:t>Ograničene razlike</w:t>
            </w:r>
          </w:p>
        </w:tc>
        <w:tc>
          <w:tcPr>
            <w:tcW w:w="0" w:type="auto"/>
            <w:vAlign w:val="center"/>
            <w:hideMark/>
          </w:tcPr>
          <w:p w14:paraId="065C3F0A" w14:textId="77777777" w:rsidR="00120B4F" w:rsidRPr="00BE5472" w:rsidRDefault="00120B4F" w:rsidP="001C5C5B">
            <w:pPr>
              <w:jc w:val="center"/>
              <w:rPr>
                <w:rFonts w:ascii="Times New Roman" w:eastAsia="Times New Roman" w:hAnsi="Times New Roman" w:cs="Times New Roman"/>
                <w:sz w:val="24"/>
                <w:szCs w:val="24"/>
                <w:lang w:val="it-IT"/>
              </w:rPr>
            </w:pPr>
            <w:r w:rsidRPr="00BE5472">
              <w:rPr>
                <w:rFonts w:ascii="Times New Roman" w:eastAsia="Times New Roman" w:hAnsi="Times New Roman" w:cs="Times New Roman"/>
                <w:sz w:val="24"/>
                <w:szCs w:val="24"/>
                <w:lang w:val="it-IT"/>
              </w:rPr>
              <w:t>Spajanja i preuzimanja nisu automatski izvor superiorne uspješnosti</w:t>
            </w:r>
          </w:p>
        </w:tc>
      </w:tr>
    </w:tbl>
    <w:p w14:paraId="255FDA79" w14:textId="56CFE7D6" w:rsidR="00120B4F" w:rsidRPr="00BE5472" w:rsidRDefault="00FC47F3"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Izvor: obrada autora</w:t>
      </w:r>
    </w:p>
    <w:p w14:paraId="694D28A0" w14:textId="7092715B"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Prikazani rezultati potvrđuju da se učinci procesa spajanja i preuzimanja u hrvatskom hotelijerstvu ne manifestiraju jednoliko kroz sve dimenzije uspješnosti ni u kratkom vremenskom horizontu. Dok se određeni pozitivni pomaci mogu uočiti u operativnim pokazateljima poput bruto profitne marže i EBITDA-e, većina financijskih i tržišnih pokazatelja ostaje stabilna ili pokazuje promjene koje su uvjetovane širim tržišnim i vremenskim čimbenicima. Ovakav rezultat dodatno potvrđuje tezu da se uspješnost spajanja i preuzimanja u hotelijerstvu mora promatrati kao dugoročan i fazno uvjetovan proces, u kojem stvaranje vrijednosti ovisi o kvaliteti integracije, financijskoj disciplini i sposobnosti upravljanja operativnim i organizacijskim prilagodbama, a ne isključivo o samom činu procesa spajanja i preuzimanja.</w:t>
      </w:r>
    </w:p>
    <w:p w14:paraId="501C65B4"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Na temelju objedinjene analize rezultata kvantitativnog istraživanja može se zaključiti da se hipoteza H3, kojom se pretpostavljalo poboljšanje ključnih pokazatelja uspješnosti poduzeća </w:t>
      </w:r>
      <w:r w:rsidRPr="00BE5472">
        <w:rPr>
          <w:rFonts w:ascii="Times New Roman" w:hAnsi="Times New Roman" w:cs="Times New Roman"/>
          <w:sz w:val="24"/>
          <w:szCs w:val="24"/>
        </w:rPr>
        <w:lastRenderedPageBreak/>
        <w:t>preuzimatelja nakon provedenih procesa spajanja i preuzimanja, djelomično potvrđuje, budući da su pozitivni učinci utvrđeni samo za pojedine pokazatelje, dok se kod većine promatranih financijskih i tržišnih pokazatelja učinci manifestiraju kroz stabilizaciju, a ne kroz rast.</w:t>
      </w:r>
    </w:p>
    <w:p w14:paraId="078262F2" w14:textId="6251B520" w:rsidR="001C5C5B"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Nadalje, rezultati usporedbe poduzeća koja su ostvarivala eksterni rast i onih koja su rasla organskim putem upućuju na djelomičnu potvrdu hipoteze H4, pri čemu se prednosti eksternog rasta očituju prvenstveno u odabranim financijskim pokazateljima i tržišnoj poziciji, dok za većinu ostalih pokazatelja nisu utvrđene statistički značajne razlike.</w:t>
      </w:r>
    </w:p>
    <w:p w14:paraId="739E754C" w14:textId="77777777" w:rsidR="003D46C7" w:rsidRPr="00BE5472" w:rsidRDefault="003D46C7" w:rsidP="00120B4F">
      <w:pPr>
        <w:spacing w:line="360" w:lineRule="auto"/>
        <w:jc w:val="both"/>
        <w:rPr>
          <w:rFonts w:ascii="Times New Roman" w:hAnsi="Times New Roman" w:cs="Times New Roman"/>
          <w:sz w:val="24"/>
          <w:szCs w:val="24"/>
        </w:rPr>
      </w:pPr>
    </w:p>
    <w:p w14:paraId="1C08E299" w14:textId="5220088B" w:rsidR="00120B4F" w:rsidRDefault="00120B4F" w:rsidP="00562D3C">
      <w:pPr>
        <w:pStyle w:val="Heading2"/>
        <w:numPr>
          <w:ilvl w:val="1"/>
          <w:numId w:val="103"/>
        </w:numPr>
        <w:rPr>
          <w:rFonts w:ascii="Times New Roman" w:hAnsi="Times New Roman" w:cs="Times New Roman"/>
        </w:rPr>
      </w:pPr>
      <w:bookmarkStart w:id="275" w:name="_Toc241865187"/>
      <w:r w:rsidRPr="00BE5472">
        <w:rPr>
          <w:rFonts w:ascii="Times New Roman" w:hAnsi="Times New Roman" w:cs="Times New Roman"/>
        </w:rPr>
        <w:t>Doprinos istraživanja</w:t>
      </w:r>
      <w:bookmarkEnd w:id="275"/>
    </w:p>
    <w:p w14:paraId="1C7B3FD1" w14:textId="77777777" w:rsidR="007D61F3" w:rsidRPr="007D61F3" w:rsidRDefault="007D61F3" w:rsidP="007D61F3"/>
    <w:p w14:paraId="4FDC5119" w14:textId="11F444B2" w:rsidR="00562D3C" w:rsidRPr="00BE5472" w:rsidRDefault="00562D3C" w:rsidP="00562D3C">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Sinteza teorijskih postavki i rezultata opsežnog empirijskog istraživanja omogućuje sustavno definiranje doprinosa ovog rada. U nastavku se </w:t>
      </w:r>
      <w:r w:rsidR="00A11297" w:rsidRPr="00BE5472">
        <w:rPr>
          <w:rFonts w:ascii="Times New Roman" w:hAnsi="Times New Roman" w:cs="Times New Roman"/>
          <w:sz w:val="24"/>
          <w:szCs w:val="24"/>
        </w:rPr>
        <w:t>prikazuju</w:t>
      </w:r>
      <w:r w:rsidRPr="00BE5472">
        <w:rPr>
          <w:rFonts w:ascii="Times New Roman" w:hAnsi="Times New Roman" w:cs="Times New Roman"/>
          <w:sz w:val="24"/>
          <w:szCs w:val="24"/>
        </w:rPr>
        <w:t xml:space="preserve"> ključne odrednice znanstvenog doprinosa, koje se o</w:t>
      </w:r>
      <w:r w:rsidR="00CF6E0F" w:rsidRPr="00BE5472">
        <w:rPr>
          <w:rFonts w:ascii="Times New Roman" w:hAnsi="Times New Roman" w:cs="Times New Roman"/>
          <w:sz w:val="24"/>
          <w:szCs w:val="24"/>
        </w:rPr>
        <w:t>stvaruju</w:t>
      </w:r>
      <w:r w:rsidRPr="00BE5472">
        <w:rPr>
          <w:rFonts w:ascii="Times New Roman" w:hAnsi="Times New Roman" w:cs="Times New Roman"/>
          <w:sz w:val="24"/>
          <w:szCs w:val="24"/>
        </w:rPr>
        <w:t xml:space="preserve"> u proširenju teorijskih spoznaja o procesima spajanja i preuzimanja u specifičnom kontekstu hotelijerstva, te </w:t>
      </w:r>
      <w:r w:rsidR="003273E3" w:rsidRPr="00BE5472">
        <w:rPr>
          <w:rFonts w:ascii="Times New Roman" w:hAnsi="Times New Roman" w:cs="Times New Roman"/>
          <w:sz w:val="24"/>
          <w:szCs w:val="24"/>
        </w:rPr>
        <w:t>aplikativni (stručni)</w:t>
      </w:r>
      <w:r w:rsidRPr="00BE5472">
        <w:rPr>
          <w:rFonts w:ascii="Times New Roman" w:hAnsi="Times New Roman" w:cs="Times New Roman"/>
          <w:sz w:val="24"/>
          <w:szCs w:val="24"/>
        </w:rPr>
        <w:t xml:space="preserve"> doprinos koji nud</w:t>
      </w:r>
      <w:r w:rsidR="009B0F8C" w:rsidRPr="00BE5472">
        <w:rPr>
          <w:rFonts w:ascii="Times New Roman" w:hAnsi="Times New Roman" w:cs="Times New Roman"/>
          <w:sz w:val="24"/>
          <w:szCs w:val="24"/>
        </w:rPr>
        <w:t>i</w:t>
      </w:r>
      <w:r w:rsidRPr="00BE5472">
        <w:rPr>
          <w:rFonts w:ascii="Times New Roman" w:hAnsi="Times New Roman" w:cs="Times New Roman"/>
          <w:sz w:val="24"/>
          <w:szCs w:val="24"/>
        </w:rPr>
        <w:t xml:space="preserve"> aplikativne smjernice za menadžment i investitore u ovom sektoru.</w:t>
      </w:r>
    </w:p>
    <w:p w14:paraId="1BE9B9DD" w14:textId="544DB2B7" w:rsidR="00120B4F" w:rsidRPr="00BE5472" w:rsidRDefault="00120B4F" w:rsidP="000321C5">
      <w:pPr>
        <w:rPr>
          <w:rFonts w:ascii="Times New Roman" w:hAnsi="Times New Roman" w:cs="Times New Roman"/>
          <w:sz w:val="24"/>
          <w:szCs w:val="24"/>
        </w:rPr>
      </w:pPr>
      <w:r w:rsidRPr="00BE5472">
        <w:rPr>
          <w:rFonts w:ascii="Times New Roman" w:hAnsi="Times New Roman" w:cs="Times New Roman"/>
          <w:sz w:val="24"/>
          <w:szCs w:val="24"/>
        </w:rPr>
        <w:t xml:space="preserve">Znanstveni doprinos istraživanja </w:t>
      </w:r>
    </w:p>
    <w:p w14:paraId="708C0230" w14:textId="132F3BB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Znanstveni doprinos ovog doktorskog istraživanja ogleda se u proširenju i produbljenju postojećih teorijskih i empirijskih spoznaja o procesima spajanja i preuzimanja u hrvatskom hotelskom sektoru, s posebnim naglaskom na faznu dinamiku procesa, kontekstualne specifičnosti industrije te dugoročne učinke konsolidacijskih aktivnosti. Rezultati istraživanja ukazuju na nekoliko ključnih</w:t>
      </w:r>
      <w:r w:rsidR="006114CE" w:rsidRPr="00BE5472">
        <w:rPr>
          <w:rFonts w:ascii="Times New Roman" w:hAnsi="Times New Roman" w:cs="Times New Roman"/>
          <w:sz w:val="24"/>
          <w:szCs w:val="24"/>
        </w:rPr>
        <w:t xml:space="preserve"> područja</w:t>
      </w:r>
      <w:r w:rsidRPr="00BE5472">
        <w:rPr>
          <w:rFonts w:ascii="Times New Roman" w:hAnsi="Times New Roman" w:cs="Times New Roman"/>
          <w:sz w:val="24"/>
          <w:szCs w:val="24"/>
        </w:rPr>
        <w:t xml:space="preserve"> znanstven</w:t>
      </w:r>
      <w:r w:rsidR="006114CE" w:rsidRPr="00BE5472">
        <w:rPr>
          <w:rFonts w:ascii="Times New Roman" w:hAnsi="Times New Roman" w:cs="Times New Roman"/>
          <w:sz w:val="24"/>
          <w:szCs w:val="24"/>
        </w:rPr>
        <w:t>og</w:t>
      </w:r>
      <w:r w:rsidRPr="00BE5472">
        <w:rPr>
          <w:rFonts w:ascii="Times New Roman" w:hAnsi="Times New Roman" w:cs="Times New Roman"/>
          <w:sz w:val="24"/>
          <w:szCs w:val="24"/>
        </w:rPr>
        <w:t xml:space="preserve"> doprinosa.</w:t>
      </w:r>
    </w:p>
    <w:p w14:paraId="463CE06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Prvo, istraživanje empirijski potvrđuje faznu prirodu procesa spajanja i preuzimanja u hrvatskom hotelijerstvu, pri čemu se relativna važnost pojedinih motiva i čimbenika uspješnosti značajno mijenja kroz faze procesa. Rezultati jasno pokazuju da u fazi prije preuzimanja dominiraju strateški, lokacijski i financijski čimbenici, dok se u fazi integracije fokus pomiče prema organizacijskim, ljudskim i komunikacijskim aspektima, a u postakvizicijskoj fazi prema operativnim i financijskim ishodima. Ovakav rezultat empirijski podupire procesne i postakvizicijske teorije spajanja i preuzimanja, ali ih istodobno dodatno precizira u kontekstu hrvatske hotelske industrije.</w:t>
      </w:r>
    </w:p>
    <w:p w14:paraId="287997BA"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Drugo, istraživanje doprinosi literaturi kroz integraciju kvantitativnih i kvalitativnih rezultata u analizi motiva i čimbenika uspješnosti. Dok kvantitativni rezultati potvrđuju dominantnu ulogu strateških i financijskih motiva, kvalitativni nalazi proširuju razumijevanje procesa ukazujući na važnost znanja, upravljačkih kompetencija, kulturne kompatibilnosti i destinacijskih obilježja, čime se potvrđuje višedimenzionalna priroda odluka o spajanju i preuzimanju. Time se nadilazi redukcionistički pristup koji procese spajanja i preuzimanja promatra isključivo kroz financijsku prizmu.</w:t>
      </w:r>
    </w:p>
    <w:p w14:paraId="5BBE78E9"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Treće, znanstveni doprinos očituje se i u empirijskoj analizi financijskih i tržišnih pokazatelja uspješnosti u kratkom i srednjem roku, kroz dvije komplementarne perspektive: (1) usporedbu pokazatelja prije i nakon preuzimanja kod poduzeća preuzimatelja te (2) usporedbu poduzeća koja su prošla i koja nisu prošla proces spajanja i preuzimanja. Rezultati ukazuju na ograničene kratkoročne učinke na većinu tradicionalnih financijskih pokazatelja, ali i na selektivne pozitivne učinke (npr. EBITDA, ROE) kod poduzeća uključenih u akvizicije, čime se dodatno potvrđuju nalazi prethodnih istraživanja koja zagovaraju dugoročnu perspektivu u evaluaciji uspješnosti procesa spajanja i preuzimanja u hotelijerstvu.</w:t>
      </w:r>
    </w:p>
    <w:p w14:paraId="35316148"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Četvrto, istraživanje daje kontekstualni doprinos literaturi kroz analizu procesa spajanja i preuzimanja u hrvatskom hotelijerstvu, koje se razlikuje od dominantno istraživanih anglosaksonskih i razvijenih tržišta. Rezultati ukazuju na izraženu ulogu lokacije, destinacije i nekretninske komponente imovine, kao i na specifičnu dinamiku integracije u sektoru obilježenom sezonalnošću, radnom intenzivnošću i snažnom ovisnošću o ljudskim resursima. Time se potvrđuje potreba za teorijskim modelima koji u većoj mjeri uvažavaju institucionalni i industrijski kontekst.</w:t>
      </w:r>
    </w:p>
    <w:p w14:paraId="426DCA71"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Peto, istraživanje doprinosi razvoju procesnog razumijevanja uspješnosti spajanja i preuzimanja u hotelijerstvu kroz eksplicitno razlikovanje kriterija evaluacije uspješnosti po fazama procesa. Dok velik dio postojeće literature uspješnost procesa spajanja i preuzimanja operacionalizira kroz jedinstveni skup financijskih ili tržišnih pokazatelja, rezultati ovog istraživanja pokazuju da se kriteriji uspješnosti nužno mijenjaju ovisno o fazi procesa – od strateške i investicijske logike u fazi prije preuzimanja, preko organizacijske i ljudske stabilizacije u fazi integracije, do operativnih i razvojnih ishoda u postakvizicijskoj fazi. Time se empirijski potvrđuje da primjena istih pokazatelja uspješnosti kroz sve faze procesa može dovesti do pogrešnih zaključaka o stvarnim </w:t>
      </w:r>
      <w:r w:rsidRPr="00BE5472">
        <w:rPr>
          <w:rFonts w:ascii="Times New Roman" w:hAnsi="Times New Roman" w:cs="Times New Roman"/>
          <w:sz w:val="24"/>
          <w:szCs w:val="24"/>
          <w:lang w:val="it-IT"/>
        </w:rPr>
        <w:lastRenderedPageBreak/>
        <w:t>učincima spajanja i preuzimanja, što predstavlja važan metodološki doprinos literaturi o evaluaciji procesa spajanja i preuzimanja.</w:t>
      </w:r>
    </w:p>
    <w:p w14:paraId="08FC2F3D"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Šesto, istraživanje doprinosi literaturi jasnim razlikovanjem između kratkoročnih pokazatelja uspješnosti i dugoročne uspješnosti procesa spajanja i preuzimanja u hotelijerstvu, pri čemu se empirijski potvrđuje da se konačni učinci spajanja i preuzimanja mogu pouzdano vrednovati tek s vremenskim odmakom. Rezultati upućuju na to da su operativna stabilizacija, prihvaćanje organizacijske strukture, realizacija razvojnih planova te zadržavanje i razvoj organizacijskog znanja ključni pokazatelji dugoročne uspješnosti, dok su tržišne reakcije i kratkoročna financijska kretanja sekundarnog značaja. Time se istraživanje pozicionira kao empirijska potvrda dugoročne i procesne perspektive uspješnosti procesa spajanja i preuzimanja, osobito relevantne za kapitalno intenzivne i imovinski specifične industrije poput hotelijerstva.</w:t>
      </w:r>
    </w:p>
    <w:p w14:paraId="7F8C8B8B" w14:textId="1819AFD1" w:rsidR="00120B4F" w:rsidRPr="00BE5472" w:rsidRDefault="00D93FC5" w:rsidP="000321C5">
      <w:pPr>
        <w:rPr>
          <w:rFonts w:ascii="Times New Roman" w:hAnsi="Times New Roman" w:cs="Times New Roman"/>
          <w:sz w:val="24"/>
          <w:szCs w:val="24"/>
          <w:lang w:val="it-IT"/>
        </w:rPr>
      </w:pPr>
      <w:r w:rsidRPr="00BE5472">
        <w:rPr>
          <w:rFonts w:ascii="Times New Roman" w:hAnsi="Times New Roman" w:cs="Times New Roman"/>
          <w:sz w:val="24"/>
          <w:szCs w:val="24"/>
          <w:lang w:val="it-IT"/>
        </w:rPr>
        <w:t>Aplikativni (stručni)</w:t>
      </w:r>
      <w:r w:rsidR="00120B4F" w:rsidRPr="00BE5472">
        <w:rPr>
          <w:rFonts w:ascii="Times New Roman" w:hAnsi="Times New Roman" w:cs="Times New Roman"/>
          <w:sz w:val="24"/>
          <w:szCs w:val="24"/>
          <w:lang w:val="it-IT"/>
        </w:rPr>
        <w:t xml:space="preserve"> doprinos istraživanja </w:t>
      </w:r>
    </w:p>
    <w:p w14:paraId="4DD25DD0" w14:textId="3F4BEB66" w:rsidR="00120B4F" w:rsidRPr="00BE5472" w:rsidRDefault="00D93FC5"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Aplikativni </w:t>
      </w:r>
      <w:r w:rsidR="00120B4F" w:rsidRPr="00BE5472">
        <w:rPr>
          <w:rFonts w:ascii="Times New Roman" w:hAnsi="Times New Roman" w:cs="Times New Roman"/>
          <w:sz w:val="24"/>
          <w:szCs w:val="24"/>
          <w:lang w:val="it-IT"/>
        </w:rPr>
        <w:t>doprinos ovog istraživanja očituje se u stvaranju empirijski utemeljenih smjernica za menadžere, vlasnike i investitore u hotelskom sektoru koji razmatraju ili provode procese spajanja i preuzimanja. Rezultati istraživanja nude niz konkretnih implikacija za donošenje odluka u različitim fazama procesa spajanja i preuzimanja.</w:t>
      </w:r>
    </w:p>
    <w:p w14:paraId="1A65DA65"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Prvo, istraživanje pruža jasne smjernice za fazu prije preuzimanja, naglašavajući važnost integriranog pristupa procjeni potencijalnih preuzimanja. Rezultati ukazuju da odluke o preuzimanju ne bi smjele biti temeljene isključivo na financijskim pokazateljima, već moraju uključivati detaljnu analizu lokacije, destinacijskog potencijala, regulatornog okvira i dugoročne strateške kompatibilnosti. Time se smanjuje rizik pogrešne procjene vrijednosti i preplaćivanja akvizicijske premije.</w:t>
      </w:r>
    </w:p>
    <w:p w14:paraId="50780266"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Drugo, istraživanje ima značajan doprinos u području upravljanja integracijom nakon preuzimanja, ukazujući na ključnu ulogu ljudskih resursa, komunikacije i aktivne uključenosti vrhovnog menadžmenta. Rezultati sugeriraju da uspješna integracija u hotelijerstvu zahtijeva balans između standardizacije i očuvanja autonomije poduzeća mete, osobito kada se radi o očuvanju organizacijske kulture i zadržavanju ključnih zaposlenika. Ovi rezultati mogu poslužiti kao temelj za oblikovanje fleksibilnih integracijskih strategija prilagođenih specifičnostima hotelske imovine.</w:t>
      </w:r>
    </w:p>
    <w:p w14:paraId="2700D541" w14:textId="59E50A0B"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Treće, istraživanje pruža praktične implikacije za praćenje uspješnosti nakon završetka integracije, ukazujući</w:t>
      </w:r>
      <w:r w:rsidR="00D91FC4" w:rsidRPr="00BE5472">
        <w:rPr>
          <w:rFonts w:ascii="Times New Roman" w:hAnsi="Times New Roman" w:cs="Times New Roman"/>
          <w:sz w:val="24"/>
          <w:szCs w:val="24"/>
          <w:lang w:val="it-IT"/>
        </w:rPr>
        <w:t xml:space="preserve"> na to</w:t>
      </w:r>
      <w:r w:rsidRPr="00BE5472">
        <w:rPr>
          <w:rFonts w:ascii="Times New Roman" w:hAnsi="Times New Roman" w:cs="Times New Roman"/>
          <w:sz w:val="24"/>
          <w:szCs w:val="24"/>
          <w:lang w:val="it-IT"/>
        </w:rPr>
        <w:t xml:space="preserve"> da se evaluacija preuzimanja ne bi smjela oslanjati isključivo na kratkoročne financijske rezultate ili tržišne reakcije. Umjesto toga, naglašava se važnost praćenja operativnih pokazatelja, realizacije poslovnih planova, prijenosa znanja i dugoročne održivosti poslovnog modela. Time se menadžerima nudi realističniji okvir za procjenu uspješnosti i pravodobno prilagođavanje strategije.</w:t>
      </w:r>
    </w:p>
    <w:p w14:paraId="6601DC0D" w14:textId="52139163"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Četvrto, istraživanje nudi procesni okvir za upravljanje spajanjima i preuzimanjima u hrvatskom hotelijerstvu, koji menadžerima omogućuje prilagodbu fokusa i upravljačkih alata specifičnostima pojedine faze procesa. Rezultati upućuju na to da uspješno upravljanje procesima spajanja i preuzimanja zahtijeva svjesno pomicanje fokusa s analitičko-investicijskih kriterija u ranim fazama prema organizacijskim i ljudskim mehanizmima tijekom integracije te</w:t>
      </w:r>
      <w:r w:rsidR="00D91FC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konačno</w:t>
      </w:r>
      <w:r w:rsidR="00D91FC4" w:rsidRPr="00BE5472">
        <w:rPr>
          <w:rFonts w:ascii="Times New Roman" w:hAnsi="Times New Roman" w:cs="Times New Roman"/>
          <w:sz w:val="24"/>
          <w:szCs w:val="24"/>
          <w:lang w:val="it-IT"/>
        </w:rPr>
        <w:t>,</w:t>
      </w:r>
      <w:r w:rsidRPr="00BE5472">
        <w:rPr>
          <w:rFonts w:ascii="Times New Roman" w:hAnsi="Times New Roman" w:cs="Times New Roman"/>
          <w:sz w:val="24"/>
          <w:szCs w:val="24"/>
          <w:lang w:val="it-IT"/>
        </w:rPr>
        <w:t xml:space="preserve"> prema operativnoj kontroli i razvojnim pokazateljima u postakvizicijskoj fazi. Takav fazno diferencirani pristup može smanjiti rizik pogrešnih upravljačkih odluka, povećati vjerojatnost realizacije sinergija i doprinijeti dugoročnoj održivosti poslovanja nakon preuzimanja.</w:t>
      </w:r>
    </w:p>
    <w:p w14:paraId="7063DCD3"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Peto, istraživanje ima praktičnu vrijednost u kontekstu planiranja i evaluacije investicija u hotelske nekretnine, jer pokazuje da se uspješnost preuzimanja ne smije procjenjivati isključivo kroz inicijalne financijske pokazatelje ili kratkoročne rezultate, već kroz sposobnost realizacije dugoročnih razvojnih koncepata. Ovakav rezultat može biti osobito koristan investitorima, bankama i razvojnim institucijama pri procjeni rizika i održivosti projekata u kapitalno intenzivnom hotelskom sektoru.</w:t>
      </w:r>
    </w:p>
    <w:p w14:paraId="421B7F64" w14:textId="77777777" w:rsidR="00120B4F" w:rsidRPr="00BE5472" w:rsidRDefault="00120B4F" w:rsidP="00120B4F">
      <w:pPr>
        <w:spacing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Naposljetku valja istaknuti da istraživanje ima i širi praktični doprinos za donositelje politika i investitore, jer ukazuje na specifične karakteristike i izazove konsolidacijskih procesa u hrvatskom hotelijerstvu. Ovi rezultati mogu poslužiti kao temelj za oblikovanje poticajnih investicijskih politika, regulacijskih okvira i razvojnih strategija usmjerenih na dugoročnu konkurentnost i održivost sektora.</w:t>
      </w:r>
    </w:p>
    <w:p w14:paraId="33F2F92B" w14:textId="77777777" w:rsidR="00120B4F" w:rsidRPr="00BE5472" w:rsidRDefault="00120B4F" w:rsidP="00120B4F">
      <w:pPr>
        <w:spacing w:line="360" w:lineRule="auto"/>
        <w:jc w:val="both"/>
        <w:rPr>
          <w:rFonts w:ascii="Times New Roman" w:hAnsi="Times New Roman" w:cs="Times New Roman"/>
          <w:sz w:val="24"/>
          <w:szCs w:val="24"/>
          <w:lang w:val="it-IT"/>
        </w:rPr>
      </w:pPr>
    </w:p>
    <w:p w14:paraId="41396031" w14:textId="77777777" w:rsidR="006D38C2" w:rsidRDefault="006D38C2" w:rsidP="000621F2">
      <w:pPr>
        <w:pStyle w:val="Heading2"/>
        <w:rPr>
          <w:rFonts w:ascii="Times New Roman" w:hAnsi="Times New Roman" w:cs="Times New Roman"/>
        </w:rPr>
        <w:sectPr w:rsidR="006D38C2" w:rsidSect="00D63A8E">
          <w:pgSz w:w="12240" w:h="15840"/>
          <w:pgMar w:top="1440" w:right="1440" w:bottom="1440" w:left="1440" w:header="708" w:footer="708" w:gutter="0"/>
          <w:cols w:space="708"/>
          <w:docGrid w:linePitch="360"/>
        </w:sectPr>
      </w:pPr>
    </w:p>
    <w:p w14:paraId="0B4DB84C" w14:textId="77777777" w:rsidR="00120B4F" w:rsidRDefault="00120B4F" w:rsidP="000621F2">
      <w:pPr>
        <w:pStyle w:val="Heading2"/>
        <w:rPr>
          <w:rFonts w:ascii="Times New Roman" w:hAnsi="Times New Roman" w:cs="Times New Roman"/>
        </w:rPr>
      </w:pPr>
      <w:bookmarkStart w:id="276" w:name="_Toc241865188"/>
      <w:r w:rsidRPr="00BE5472">
        <w:rPr>
          <w:rFonts w:ascii="Times New Roman" w:hAnsi="Times New Roman" w:cs="Times New Roman"/>
        </w:rPr>
        <w:lastRenderedPageBreak/>
        <w:t>5.5. Smjernice za buduća istraživanja</w:t>
      </w:r>
      <w:bookmarkEnd w:id="276"/>
    </w:p>
    <w:p w14:paraId="1E3E3EAF" w14:textId="77777777" w:rsidR="00946293" w:rsidRPr="00946293" w:rsidRDefault="00946293" w:rsidP="00946293"/>
    <w:p w14:paraId="3FA3EEA3"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Provedeno istraživanje otvorilo je niz pitanja i mogućnosti za daljnja znanstvena istraživanja procesa spajanja i preuzimanja u hotelskom sektoru, osobito u kontekstu specifičnosti hrvatskog hotelijerstva. Buduća istraživanja mogu dodatno produbiti spoznaje dobivene u ovom radu, kako metodološki, tako i tematski.</w:t>
      </w:r>
    </w:p>
    <w:p w14:paraId="0F06B171" w14:textId="61917B5D"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Prvo, preporučuje se proširenje istraživanja na duže razdoblje, osobito u postpandemijskom razdoblju. Budući da su učinci procesa spajanja i preuzimanja često vidljivi tek srednjoročno ili dugoročno, longitudinalna istraživanja omogućila bi preciznije praćenje dinamike financijskih, tržišnih i operativnih pokazatelja uspješnosti nakon završetka integracijskog procesa. Takav pristup mogao bi dodatno razjasniti razlike između kratkoročnih i dugoročnih učinaka akvizicija u hotelskoj industriji.</w:t>
      </w:r>
    </w:p>
    <w:p w14:paraId="0ED207CE" w14:textId="53BD6366"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Drugo, buduća istraživanja mogla bi se usmjeriti na detaljniju analizu pojedinih faza integracijskog procesa, osobito organizacijskih i ljudskih aspekata integracije. Iako je ovo istraživanje identificiralo ključne čimbenike uspješnosti u različitim fazama procesa, dublje kvalitativne studije slučaja pojedinih hotelskih grupacija mogle bi pružiti detaljniji uvid u mehanizme upravljanja promjenama, ulogu organizacijske kulture te upravljanje znanjem u postakvizicijskom razdoblju.</w:t>
      </w:r>
    </w:p>
    <w:p w14:paraId="2A8235D1" w14:textId="464DFD59"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Treće, preporučuje se provođenje komparativnih međunarodnih istraživanja, u kojima bi se rezultati dobiveni za hrvatsko hotelijerstvo usporedili s iskustvima drugih turistički orijentiranih zemalja. Takav pristup omogućio bi identifikaciju specifičnih institucionalnih, regulatornih i tržišnih čimbenika koji oblikuju procese spajanja i preuzimanja u različitim nacionalnim kontekstima, kao i procjenu u kojoj se mjeri rezultati ovog istraživanja mogu generalizirati izvan hrvatskog okvira. Za početak to mogu biti zemlje južnog Mediterana, </w:t>
      </w:r>
      <w:r w:rsidR="00D91FC4" w:rsidRPr="00BE5472">
        <w:rPr>
          <w:rFonts w:ascii="Times New Roman" w:hAnsi="Times New Roman" w:cs="Times New Roman"/>
          <w:sz w:val="24"/>
          <w:szCs w:val="24"/>
        </w:rPr>
        <w:t>s</w:t>
      </w:r>
      <w:r w:rsidRPr="00BE5472">
        <w:rPr>
          <w:rFonts w:ascii="Times New Roman" w:hAnsi="Times New Roman" w:cs="Times New Roman"/>
          <w:sz w:val="24"/>
          <w:szCs w:val="24"/>
        </w:rPr>
        <w:t xml:space="preserve">rednje i </w:t>
      </w:r>
      <w:r w:rsidR="00D91FC4" w:rsidRPr="00BE5472">
        <w:rPr>
          <w:rFonts w:ascii="Times New Roman" w:hAnsi="Times New Roman" w:cs="Times New Roman"/>
          <w:sz w:val="24"/>
          <w:szCs w:val="24"/>
        </w:rPr>
        <w:t>i</w:t>
      </w:r>
      <w:r w:rsidRPr="00BE5472">
        <w:rPr>
          <w:rFonts w:ascii="Times New Roman" w:hAnsi="Times New Roman" w:cs="Times New Roman"/>
          <w:sz w:val="24"/>
          <w:szCs w:val="24"/>
        </w:rPr>
        <w:t xml:space="preserve">stočne Europe. </w:t>
      </w:r>
    </w:p>
    <w:p w14:paraId="60574D71" w14:textId="2106DB4C" w:rsidR="00120B4F"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Četvrto, može se razmotriti i daljnje metodološko unaprjeđenje istraživanja kroz kombinaciju kvantitativnih i kvalitativnih pristupa, uključujući primjenu naprednijih statističkih modela te dublje kvalitativne analize temeljene na intervjuima s različitim dionicima procesa spajanja i preuzimanja (ne samo </w:t>
      </w:r>
      <w:r w:rsidR="00D91FC4" w:rsidRPr="00BE5472">
        <w:rPr>
          <w:rFonts w:ascii="Times New Roman" w:hAnsi="Times New Roman" w:cs="Times New Roman"/>
          <w:sz w:val="24"/>
          <w:szCs w:val="24"/>
        </w:rPr>
        <w:t>menadžerima</w:t>
      </w:r>
      <w:r w:rsidRPr="00BE5472">
        <w:rPr>
          <w:rFonts w:ascii="Times New Roman" w:hAnsi="Times New Roman" w:cs="Times New Roman"/>
          <w:sz w:val="24"/>
          <w:szCs w:val="24"/>
        </w:rPr>
        <w:t xml:space="preserve"> kao izravnim sudionicima procesa, već i dionicima iz destinacija kao sustavima na koje se reflektira proces spajanja i preuzimanja). Takav integrirani pristup omogućio bi cjelovitije razumijevanje složenosti konsolidacijskih procesa te njihova </w:t>
      </w:r>
      <w:r w:rsidRPr="00BE5472">
        <w:rPr>
          <w:rFonts w:ascii="Times New Roman" w:hAnsi="Times New Roman" w:cs="Times New Roman"/>
          <w:sz w:val="24"/>
          <w:szCs w:val="24"/>
        </w:rPr>
        <w:lastRenderedPageBreak/>
        <w:t>utjecaja na poslovnu uspješnost i strateški razvoj hotelskih poduzeća, ali i destinacija kao specifičnih ekosustava.</w:t>
      </w:r>
    </w:p>
    <w:p w14:paraId="1F17C1A9" w14:textId="77777777" w:rsidR="003D46C7" w:rsidRPr="00BE5472" w:rsidRDefault="003D46C7" w:rsidP="00120B4F">
      <w:pPr>
        <w:spacing w:line="360" w:lineRule="auto"/>
        <w:jc w:val="both"/>
        <w:rPr>
          <w:rFonts w:ascii="Times New Roman" w:hAnsi="Times New Roman" w:cs="Times New Roman"/>
          <w:sz w:val="24"/>
          <w:szCs w:val="24"/>
        </w:rPr>
      </w:pPr>
    </w:p>
    <w:p w14:paraId="1042E2F0" w14:textId="77777777" w:rsidR="00120B4F" w:rsidRDefault="00120B4F" w:rsidP="000621F2">
      <w:pPr>
        <w:pStyle w:val="Heading2"/>
        <w:rPr>
          <w:rFonts w:ascii="Times New Roman" w:hAnsi="Times New Roman" w:cs="Times New Roman"/>
        </w:rPr>
      </w:pPr>
      <w:bookmarkStart w:id="277" w:name="_Toc241865189"/>
      <w:r w:rsidRPr="00BE5472">
        <w:rPr>
          <w:rFonts w:ascii="Times New Roman" w:hAnsi="Times New Roman" w:cs="Times New Roman"/>
        </w:rPr>
        <w:t>5.6. Ograničenja istraživanja</w:t>
      </w:r>
      <w:bookmarkEnd w:id="277"/>
    </w:p>
    <w:p w14:paraId="2C8615ED" w14:textId="77777777" w:rsidR="00946293" w:rsidRPr="00946293" w:rsidRDefault="00946293" w:rsidP="00946293"/>
    <w:p w14:paraId="7108C077"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Provedeno istraživanje ima određena ograničenja koja je potrebno uzeti u obzir pri interpretaciji i generalizaciji dobivenih rezultata. Ta ograničenja ne umanjuju znanstvenu vrijednost istraživanja, već proizlaze iz svjesno odabranog istraživačkog dizajna, dostupnosti podataka i specifičnosti istraživanog konteksta.</w:t>
      </w:r>
    </w:p>
    <w:p w14:paraId="77CC86AB"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Prvo, istraživanje je prostorno i sektorski ograničeno na hotelski sektor Republike Hrvatske, što znači da se dobiveni rezultati primarno odnose na nacionalni kontekst obilježen specifičnim institucionalnim, tržišnim i vlasničkim obilježjima. Iako takav fokus omogućuje dublje razumijevanje procesa spajanja i preuzimanja u hrvatskom hotelijerstvu, rezultati se ne mogu u potpunosti generalizirati na druge zemlje ili na širi turistički sektor bez dodatnih komparativnih istraživanja.</w:t>
      </w:r>
    </w:p>
    <w:p w14:paraId="7C574E9F"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Drugo, dio empirijskih nalaza temelji se na percepcijama i procjenama sudionika istraživanja, osobito u kvalitativnoj fazi istraživanja i u kvantitativnim analizama temeljenima na Likertovim ljestvicama. Iako su ispitanici bili izravno uključeni u procese spajanja i preuzimanja te posjeduju relevantno iskustvo, subjektivna priroda takvih procjena može utjecati na interpretaciju rezultata, unatoč primjeni metodoloških postupaka usmjerenih na povećanje pouzdanosti i konzistentnosti podataka.</w:t>
      </w:r>
    </w:p>
    <w:p w14:paraId="3C701762" w14:textId="365F5C8E"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Treće, vremenski obuhvat istraživanja predstavlja određeno ograničenje, osobito u kontekstu analize financijskih i tržišnih pokazatelja uspješnosti. Učinci procesa spajanja i preuzimanja često se manifestiraju s odmakom, dok su u ovom istraživanju analizirani podaci ograničeni dostupnim razdobljem, uključujući i razdoblje pandemije bolesti COVID-19. Izvanredne okolnosti tog razdoblja mogle su utjecati na poslovne rezultate hotelskih poduzeća, neovisno o samim procesima spajanja i preuzimanja.</w:t>
      </w:r>
    </w:p>
    <w:p w14:paraId="333DDA8D" w14:textId="77777777" w:rsidR="00120B4F" w:rsidRPr="00BE5472" w:rsidRDefault="00120B4F" w:rsidP="00120B4F">
      <w:p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Četvrto, ograničenje se odnosi i na dostupnost i strukturu sekundarnih podataka, osobito u pogledu detaljnih informacija o pojedinim transakcijama spajanja i preuzimanja. Unatoč korištenju </w:t>
      </w:r>
      <w:r w:rsidRPr="00BE5472">
        <w:rPr>
          <w:rFonts w:ascii="Times New Roman" w:hAnsi="Times New Roman" w:cs="Times New Roman"/>
          <w:sz w:val="24"/>
          <w:szCs w:val="24"/>
        </w:rPr>
        <w:lastRenderedPageBreak/>
        <w:t>relevantnih i pouzdanih izvora, javno dostupni podaci ne omogućuju uvijek potpun uvid u sve financijske i organizacijske aspekte pojedinih transakcija, što može ograničiti dubinu analize određenih procesa.</w:t>
      </w:r>
    </w:p>
    <w:p w14:paraId="43425E4F" w14:textId="4A5C7E05" w:rsidR="000621F2" w:rsidRPr="00BE5472" w:rsidRDefault="00120B4F" w:rsidP="000621F2">
      <w:pPr>
        <w:spacing w:line="360" w:lineRule="auto"/>
        <w:jc w:val="both"/>
        <w:rPr>
          <w:rFonts w:ascii="Times New Roman" w:hAnsi="Times New Roman" w:cs="Times New Roman"/>
          <w:sz w:val="24"/>
          <w:szCs w:val="24"/>
        </w:rPr>
        <w:sectPr w:rsidR="000621F2" w:rsidRPr="00BE5472" w:rsidSect="00D63A8E">
          <w:pgSz w:w="12240" w:h="15840"/>
          <w:pgMar w:top="1440" w:right="1440" w:bottom="1440" w:left="1440" w:header="708" w:footer="708" w:gutter="0"/>
          <w:cols w:space="708"/>
          <w:docGrid w:linePitch="360"/>
        </w:sectPr>
      </w:pPr>
      <w:r w:rsidRPr="00BE5472">
        <w:rPr>
          <w:rFonts w:ascii="Times New Roman" w:hAnsi="Times New Roman" w:cs="Times New Roman"/>
          <w:sz w:val="24"/>
          <w:szCs w:val="24"/>
        </w:rPr>
        <w:t>Iako je istraživanje provedeno primjenom kombiniranog kvalitativnog i kvantitativnog pristupa, složenost procesa spajanja i preuzimanja podrazumijeva da svi aspekti tih procesa nisu mogli biti jednako detaljno obuhvaćeni. Posebno se to odnosi na dugoročne organizacijske, kulturne i upravljačke učinke integracijskih procesa, koji zahtijevaju dodatna longitudinalna i dubinska istraživan</w:t>
      </w:r>
      <w:r w:rsidR="00D91FC4" w:rsidRPr="00BE5472">
        <w:rPr>
          <w:rFonts w:ascii="Times New Roman" w:hAnsi="Times New Roman" w:cs="Times New Roman"/>
          <w:sz w:val="24"/>
          <w:szCs w:val="24"/>
        </w:rPr>
        <w:t>ja.</w:t>
      </w:r>
    </w:p>
    <w:p w14:paraId="36D036DD" w14:textId="77777777" w:rsidR="00221244" w:rsidRPr="00BE5472" w:rsidRDefault="00221244" w:rsidP="00221244">
      <w:pPr>
        <w:pStyle w:val="Heading1"/>
        <w:numPr>
          <w:ilvl w:val="0"/>
          <w:numId w:val="5"/>
        </w:numPr>
        <w:rPr>
          <w:rFonts w:ascii="Times New Roman" w:hAnsi="Times New Roman" w:cs="Times New Roman"/>
        </w:rPr>
      </w:pPr>
      <w:bookmarkStart w:id="278" w:name="_Toc241865190"/>
      <w:r w:rsidRPr="00BE5472">
        <w:rPr>
          <w:rFonts w:ascii="Times New Roman" w:hAnsi="Times New Roman" w:cs="Times New Roman"/>
        </w:rPr>
        <w:lastRenderedPageBreak/>
        <w:t>Z</w:t>
      </w:r>
      <w:r w:rsidR="00913579" w:rsidRPr="00BE5472">
        <w:rPr>
          <w:rFonts w:ascii="Times New Roman" w:hAnsi="Times New Roman" w:cs="Times New Roman"/>
        </w:rPr>
        <w:t>AKLJUČAK</w:t>
      </w:r>
      <w:bookmarkEnd w:id="278"/>
    </w:p>
    <w:p w14:paraId="1DD682D1" w14:textId="77777777" w:rsidR="00015DCD" w:rsidRPr="00BE5472" w:rsidRDefault="00015DCD" w:rsidP="00015DCD">
      <w:pPr>
        <w:rPr>
          <w:rFonts w:ascii="Times New Roman" w:hAnsi="Times New Roman" w:cs="Times New Roman"/>
        </w:rPr>
      </w:pPr>
    </w:p>
    <w:p w14:paraId="2BDFFAE7" w14:textId="14648DDC" w:rsidR="00015DCD" w:rsidRPr="00BE5472" w:rsidRDefault="00513E71" w:rsidP="00015DCD">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Ova doktorska disertacija</w:t>
      </w:r>
      <w:r w:rsidR="00015DCD" w:rsidRPr="00BE5472">
        <w:rPr>
          <w:rFonts w:ascii="Times New Roman" w:hAnsi="Times New Roman" w:cs="Times New Roman"/>
          <w:sz w:val="24"/>
          <w:szCs w:val="24"/>
        </w:rPr>
        <w:t xml:space="preserve"> usmjeren</w:t>
      </w:r>
      <w:r w:rsidRPr="00BE5472">
        <w:rPr>
          <w:rFonts w:ascii="Times New Roman" w:hAnsi="Times New Roman" w:cs="Times New Roman"/>
          <w:sz w:val="24"/>
          <w:szCs w:val="24"/>
        </w:rPr>
        <w:t>a je</w:t>
      </w:r>
      <w:r w:rsidR="00015DCD" w:rsidRPr="00BE5472">
        <w:rPr>
          <w:rFonts w:ascii="Times New Roman" w:hAnsi="Times New Roman" w:cs="Times New Roman"/>
          <w:sz w:val="24"/>
          <w:szCs w:val="24"/>
        </w:rPr>
        <w:t xml:space="preserve"> na analizu procesa spajanja i preuzimanja u hotelijerstvu</w:t>
      </w:r>
      <w:r w:rsidR="00F44A0C" w:rsidRPr="00BE5472">
        <w:rPr>
          <w:rFonts w:ascii="Times New Roman" w:hAnsi="Times New Roman" w:cs="Times New Roman"/>
          <w:sz w:val="24"/>
          <w:szCs w:val="24"/>
        </w:rPr>
        <w:t xml:space="preserve"> te </w:t>
      </w:r>
      <w:r w:rsidR="00015DCD" w:rsidRPr="00BE5472">
        <w:rPr>
          <w:rFonts w:ascii="Times New Roman" w:hAnsi="Times New Roman" w:cs="Times New Roman"/>
          <w:sz w:val="24"/>
          <w:szCs w:val="24"/>
        </w:rPr>
        <w:t>dublje razumijevanje složenih odnosa između motiva, čimbenika uspješnosti i konačnih učinaka tih procesa u specifičnom kontekstu hrvatskog turističkog sektora. Polazeći od temeljne pretpostavke da se uspješnost spajanja i preuzimanja ne može promatrati izolirano kroz pojedinačne pokazatelje ili faze, već kao rezultat međusobno povezanih procesa kroz vrijeme, razvi</w:t>
      </w:r>
      <w:r w:rsidR="00F44A0C" w:rsidRPr="00BE5472">
        <w:rPr>
          <w:rFonts w:ascii="Times New Roman" w:hAnsi="Times New Roman" w:cs="Times New Roman"/>
          <w:sz w:val="24"/>
          <w:szCs w:val="24"/>
        </w:rPr>
        <w:t>jen je</w:t>
      </w:r>
      <w:r w:rsidR="00015DCD" w:rsidRPr="00BE5472">
        <w:rPr>
          <w:rFonts w:ascii="Times New Roman" w:hAnsi="Times New Roman" w:cs="Times New Roman"/>
          <w:sz w:val="24"/>
          <w:szCs w:val="24"/>
        </w:rPr>
        <w:t xml:space="preserve"> integrirani, fazno utemeljen pristup analizi.</w:t>
      </w:r>
    </w:p>
    <w:p w14:paraId="4AA93826" w14:textId="77777777" w:rsidR="00015DCD" w:rsidRPr="00BE5472" w:rsidRDefault="00015DCD" w:rsidP="00015DCD">
      <w:pPr>
        <w:spacing w:after="0" w:line="360" w:lineRule="auto"/>
        <w:jc w:val="both"/>
        <w:rPr>
          <w:rFonts w:ascii="Times New Roman" w:hAnsi="Times New Roman" w:cs="Times New Roman"/>
          <w:sz w:val="24"/>
          <w:szCs w:val="24"/>
        </w:rPr>
      </w:pPr>
    </w:p>
    <w:p w14:paraId="58DBE78A" w14:textId="0A4CA42A" w:rsidR="00015DCD" w:rsidRPr="00BE5472" w:rsidRDefault="00015DCD" w:rsidP="00015DCD">
      <w:pPr>
        <w:spacing w:after="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Ključni rezultat istraživanja potvrđuje da se procesi spajanja i preuzimanja u hotelijerstvu ne mogu adekvatno interpretirati bez uvažavanja njihove </w:t>
      </w:r>
      <w:r w:rsidRPr="00BE5472">
        <w:rPr>
          <w:rFonts w:ascii="Times New Roman" w:hAnsi="Times New Roman" w:cs="Times New Roman"/>
          <w:i/>
          <w:sz w:val="24"/>
          <w:szCs w:val="24"/>
        </w:rPr>
        <w:t>procesne prirode</w:t>
      </w:r>
      <w:r w:rsidRPr="00BE5472">
        <w:rPr>
          <w:rFonts w:ascii="Times New Roman" w:hAnsi="Times New Roman" w:cs="Times New Roman"/>
          <w:sz w:val="24"/>
          <w:szCs w:val="24"/>
        </w:rPr>
        <w:t xml:space="preserve">. Pritom se različiti čimbenici uspješnosti pojavljuju i djeluju u različitim fazama procesa. Zbog toga </w:t>
      </w:r>
      <w:r w:rsidR="00065ED1" w:rsidRPr="00BE5472">
        <w:rPr>
          <w:rFonts w:ascii="Times New Roman" w:hAnsi="Times New Roman" w:cs="Times New Roman"/>
          <w:sz w:val="24"/>
          <w:szCs w:val="24"/>
        </w:rPr>
        <w:t>nalazi</w:t>
      </w:r>
      <w:r w:rsidRPr="00BE5472">
        <w:rPr>
          <w:rFonts w:ascii="Times New Roman" w:hAnsi="Times New Roman" w:cs="Times New Roman"/>
          <w:sz w:val="24"/>
          <w:szCs w:val="24"/>
        </w:rPr>
        <w:t xml:space="preserve"> jasno ukazuj</w:t>
      </w:r>
      <w:r w:rsidR="00065ED1" w:rsidRPr="00BE5472">
        <w:rPr>
          <w:rFonts w:ascii="Times New Roman" w:hAnsi="Times New Roman" w:cs="Times New Roman"/>
          <w:sz w:val="24"/>
          <w:szCs w:val="24"/>
        </w:rPr>
        <w:t>u</w:t>
      </w:r>
      <w:r w:rsidRPr="00BE5472">
        <w:rPr>
          <w:rFonts w:ascii="Times New Roman" w:hAnsi="Times New Roman" w:cs="Times New Roman"/>
          <w:sz w:val="24"/>
          <w:szCs w:val="24"/>
        </w:rPr>
        <w:t xml:space="preserve"> da uspješnost nije rezultat jedne optimalne odluke, već posljedica kontinuiranog upravljanja kroz faze prije preuzimanja, integracije i postakvizicijskog razvoja.</w:t>
      </w:r>
    </w:p>
    <w:p w14:paraId="074E7BE4" w14:textId="77777777" w:rsidR="00015DCD" w:rsidRPr="00BE5472" w:rsidRDefault="00015DCD" w:rsidP="00015DCD">
      <w:pPr>
        <w:spacing w:after="0" w:line="360" w:lineRule="auto"/>
        <w:jc w:val="both"/>
        <w:rPr>
          <w:rFonts w:ascii="Times New Roman" w:hAnsi="Times New Roman" w:cs="Times New Roman"/>
          <w:sz w:val="24"/>
          <w:szCs w:val="24"/>
        </w:rPr>
      </w:pPr>
    </w:p>
    <w:p w14:paraId="68F39CBD" w14:textId="7A994CD8" w:rsidR="00015DCD" w:rsidRPr="00DD6CC8" w:rsidRDefault="00015DCD" w:rsidP="00015DCD">
      <w:pPr>
        <w:spacing w:after="0" w:line="360" w:lineRule="auto"/>
        <w:jc w:val="both"/>
        <w:rPr>
          <w:rFonts w:ascii="Times New Roman" w:hAnsi="Times New Roman" w:cs="Times New Roman"/>
          <w:sz w:val="24"/>
          <w:szCs w:val="24"/>
        </w:rPr>
      </w:pPr>
      <w:r w:rsidRPr="00DD6CC8">
        <w:rPr>
          <w:rFonts w:ascii="Times New Roman" w:hAnsi="Times New Roman" w:cs="Times New Roman"/>
          <w:i/>
          <w:sz w:val="24"/>
          <w:szCs w:val="24"/>
        </w:rPr>
        <w:t>U fazi prije preuzimanja</w:t>
      </w:r>
      <w:r w:rsidRPr="00DD6CC8">
        <w:rPr>
          <w:rFonts w:ascii="Times New Roman" w:hAnsi="Times New Roman" w:cs="Times New Roman"/>
          <w:sz w:val="24"/>
          <w:szCs w:val="24"/>
        </w:rPr>
        <w:t xml:space="preserve"> identificirana je dominantna uloga tzv.</w:t>
      </w:r>
      <w:r w:rsidR="0071397D" w:rsidRPr="00DD6CC8">
        <w:rPr>
          <w:rFonts w:ascii="Times New Roman" w:hAnsi="Times New Roman" w:cs="Times New Roman"/>
          <w:sz w:val="24"/>
          <w:szCs w:val="24"/>
        </w:rPr>
        <w:t xml:space="preserve"> </w:t>
      </w:r>
      <w:r w:rsidRPr="00DD6CC8">
        <w:rPr>
          <w:rFonts w:ascii="Times New Roman" w:hAnsi="Times New Roman" w:cs="Times New Roman"/>
          <w:sz w:val="24"/>
          <w:szCs w:val="24"/>
        </w:rPr>
        <w:t>tvrđih čimbenika, među kojima se posebno ističu lokacija, kvaliteta turističke destinacije, tržišni položaj poduzeća mete te odnos između očekivanih sinergijskih učinaka i plaćene akvizicijske premije. Rezultati ukazuju da se odluke o preuzimanju u hotelijerstvu temelje na racionalnoj i analitičkoj procjeni dugoročne vrijednosti imovine, pri čemu se financijska evaluacija ne promatra izolirano, već u kontekstu očekivanih sinergija i razvojnih potencijala. Time se potvrđuje da faza prije preuzimanja predstavlja ključni filt</w:t>
      </w:r>
      <w:r w:rsidR="0071397D" w:rsidRPr="00DD6CC8">
        <w:rPr>
          <w:rFonts w:ascii="Times New Roman" w:hAnsi="Times New Roman" w:cs="Times New Roman"/>
          <w:sz w:val="24"/>
          <w:szCs w:val="24"/>
        </w:rPr>
        <w:t>a</w:t>
      </w:r>
      <w:r w:rsidRPr="00DD6CC8">
        <w:rPr>
          <w:rFonts w:ascii="Times New Roman" w:hAnsi="Times New Roman" w:cs="Times New Roman"/>
          <w:sz w:val="24"/>
          <w:szCs w:val="24"/>
        </w:rPr>
        <w:t>r u kojem se oblikuju pretpostavke za kasniji uspjeh procesa.</w:t>
      </w:r>
    </w:p>
    <w:p w14:paraId="64D0E05D" w14:textId="77777777" w:rsidR="00015DCD" w:rsidRPr="00DD6CC8" w:rsidRDefault="00015DCD" w:rsidP="00015DCD">
      <w:pPr>
        <w:spacing w:after="0" w:line="360" w:lineRule="auto"/>
        <w:jc w:val="both"/>
        <w:rPr>
          <w:rFonts w:ascii="Times New Roman" w:hAnsi="Times New Roman" w:cs="Times New Roman"/>
          <w:sz w:val="24"/>
          <w:szCs w:val="24"/>
        </w:rPr>
      </w:pPr>
    </w:p>
    <w:p w14:paraId="3C3C4A98" w14:textId="7F845110" w:rsidR="00015DCD" w:rsidRPr="00DD6CC8" w:rsidRDefault="00015DCD" w:rsidP="00015DCD">
      <w:pPr>
        <w:spacing w:after="0" w:line="360" w:lineRule="auto"/>
        <w:jc w:val="both"/>
        <w:rPr>
          <w:rFonts w:ascii="Times New Roman" w:hAnsi="Times New Roman" w:cs="Times New Roman"/>
          <w:sz w:val="24"/>
          <w:szCs w:val="24"/>
        </w:rPr>
      </w:pPr>
      <w:r w:rsidRPr="00DD6CC8">
        <w:rPr>
          <w:rFonts w:ascii="Times New Roman" w:hAnsi="Times New Roman" w:cs="Times New Roman"/>
          <w:sz w:val="24"/>
          <w:szCs w:val="24"/>
        </w:rPr>
        <w:t xml:space="preserve">Međutim, iako je kvaliteta odluke o preuzimanju nužan preduvjet, </w:t>
      </w:r>
      <w:r w:rsidR="00FE3224" w:rsidRPr="00DD6CC8">
        <w:rPr>
          <w:rFonts w:ascii="Times New Roman" w:hAnsi="Times New Roman" w:cs="Times New Roman"/>
          <w:sz w:val="24"/>
          <w:szCs w:val="24"/>
        </w:rPr>
        <w:t>rezultati istraživanja</w:t>
      </w:r>
      <w:r w:rsidRPr="00DD6CC8">
        <w:rPr>
          <w:rFonts w:ascii="Times New Roman" w:hAnsi="Times New Roman" w:cs="Times New Roman"/>
          <w:sz w:val="24"/>
          <w:szCs w:val="24"/>
        </w:rPr>
        <w:t xml:space="preserve"> jasno pokazuj</w:t>
      </w:r>
      <w:r w:rsidR="00FE3224" w:rsidRPr="00DD6CC8">
        <w:rPr>
          <w:rFonts w:ascii="Times New Roman" w:hAnsi="Times New Roman" w:cs="Times New Roman"/>
          <w:sz w:val="24"/>
          <w:szCs w:val="24"/>
        </w:rPr>
        <w:t>u</w:t>
      </w:r>
      <w:r w:rsidRPr="00DD6CC8">
        <w:rPr>
          <w:rFonts w:ascii="Times New Roman" w:hAnsi="Times New Roman" w:cs="Times New Roman"/>
          <w:sz w:val="24"/>
          <w:szCs w:val="24"/>
        </w:rPr>
        <w:t xml:space="preserve"> da ona nije dovoljna za ostvarenje uspješnih ishoda. Ključni prijelomni trenutak procesa identificiran je u </w:t>
      </w:r>
      <w:r w:rsidRPr="00DD6CC8">
        <w:rPr>
          <w:rFonts w:ascii="Times New Roman" w:hAnsi="Times New Roman" w:cs="Times New Roman"/>
          <w:i/>
          <w:sz w:val="24"/>
          <w:szCs w:val="24"/>
        </w:rPr>
        <w:t>fazi integracije</w:t>
      </w:r>
      <w:r w:rsidRPr="00DD6CC8">
        <w:rPr>
          <w:rFonts w:ascii="Times New Roman" w:hAnsi="Times New Roman" w:cs="Times New Roman"/>
          <w:sz w:val="24"/>
          <w:szCs w:val="24"/>
        </w:rPr>
        <w:t>, koja se u empirijskim rezultatima potvrđuje kao najkompleksnija i najrizičnija faza. Za razliku od faze prije preuzimanja, u kojoj dominiraju strateški i financijski kriteriji, integracija se primarno odvija na razini organizacijskih i ljudskih resursa. Uspješnost ove faze ovisi o sposobnosti poduzeća preuzimatelja da učinkovito upravlja promjenama, zadrži ključne zaposlenike, osigura prijenos znanja i uspostavi novu upravljačku strukturu uz očuvanje operativne stabilnosti.</w:t>
      </w:r>
    </w:p>
    <w:p w14:paraId="700677E4" w14:textId="6D0293C4" w:rsidR="00015DCD" w:rsidRPr="00DD6CC8" w:rsidRDefault="00C666EC" w:rsidP="00015DCD">
      <w:pPr>
        <w:spacing w:after="0" w:line="360" w:lineRule="auto"/>
        <w:jc w:val="both"/>
        <w:rPr>
          <w:rFonts w:ascii="Times New Roman" w:hAnsi="Times New Roman" w:cs="Times New Roman"/>
          <w:sz w:val="24"/>
          <w:szCs w:val="24"/>
        </w:rPr>
      </w:pPr>
      <w:r w:rsidRPr="00DD6CC8">
        <w:rPr>
          <w:rFonts w:ascii="Times New Roman" w:hAnsi="Times New Roman" w:cs="Times New Roman"/>
          <w:sz w:val="24"/>
          <w:szCs w:val="24"/>
        </w:rPr>
        <w:lastRenderedPageBreak/>
        <w:t>Nalazi istraživanja</w:t>
      </w:r>
      <w:r w:rsidR="00015DCD" w:rsidRPr="00DD6CC8">
        <w:rPr>
          <w:rFonts w:ascii="Times New Roman" w:hAnsi="Times New Roman" w:cs="Times New Roman"/>
          <w:sz w:val="24"/>
          <w:szCs w:val="24"/>
        </w:rPr>
        <w:t xml:space="preserve"> posebno naglašava</w:t>
      </w:r>
      <w:r w:rsidRPr="00DD6CC8">
        <w:rPr>
          <w:rFonts w:ascii="Times New Roman" w:hAnsi="Times New Roman" w:cs="Times New Roman"/>
          <w:sz w:val="24"/>
          <w:szCs w:val="24"/>
        </w:rPr>
        <w:t>ju</w:t>
      </w:r>
      <w:r w:rsidR="00015DCD" w:rsidRPr="00DD6CC8">
        <w:rPr>
          <w:rFonts w:ascii="Times New Roman" w:hAnsi="Times New Roman" w:cs="Times New Roman"/>
          <w:sz w:val="24"/>
          <w:szCs w:val="24"/>
        </w:rPr>
        <w:t xml:space="preserve"> da se sinergijski učinci ne ostvaruju automatski samim činom preuzimanja. Oni su rezultat uspješne integracije. Sinergija se pritom pokazuje kao višedimenzionalan koncept koji obuhvaća operativne, organizacijske, menadžerske i tržišne komponente, pri čemu njezina realizacija zahtijeva aktivno upravljanje i vremensku dinamiku. Time se potvrđuje da se stvaranje vrijednosti kroz spajanja i preuzimanja ne može promatrati kao neposredan financijski rezultat, već kao proces koji se razvija kroz vrijeme.</w:t>
      </w:r>
    </w:p>
    <w:p w14:paraId="43325B64" w14:textId="77777777" w:rsidR="00015DCD" w:rsidRPr="00DD6CC8" w:rsidRDefault="00015DCD" w:rsidP="00015DCD">
      <w:pPr>
        <w:spacing w:after="0" w:line="360" w:lineRule="auto"/>
        <w:jc w:val="both"/>
        <w:rPr>
          <w:rFonts w:ascii="Times New Roman" w:hAnsi="Times New Roman" w:cs="Times New Roman"/>
          <w:sz w:val="24"/>
          <w:szCs w:val="24"/>
        </w:rPr>
      </w:pPr>
    </w:p>
    <w:p w14:paraId="7DE8E504" w14:textId="77777777" w:rsidR="00015DCD" w:rsidRPr="00DD6CC8" w:rsidRDefault="00015DCD" w:rsidP="00015DCD">
      <w:pPr>
        <w:spacing w:after="0" w:line="360" w:lineRule="auto"/>
        <w:jc w:val="both"/>
        <w:rPr>
          <w:rFonts w:ascii="Times New Roman" w:hAnsi="Times New Roman" w:cs="Times New Roman"/>
          <w:sz w:val="24"/>
          <w:szCs w:val="24"/>
        </w:rPr>
      </w:pPr>
      <w:r w:rsidRPr="00DD6CC8">
        <w:rPr>
          <w:rFonts w:ascii="Times New Roman" w:hAnsi="Times New Roman" w:cs="Times New Roman"/>
          <w:sz w:val="24"/>
          <w:szCs w:val="24"/>
        </w:rPr>
        <w:t>Upravo zbog toga posebno je značajan rezultat koji proizlazi iz analize financijskih i tržišnih pokazatelja (KPI) poduzeća prije i nakon provedenih preuzimanja. Rezultati kvantitativne analize pokazuju da za većinu promatranih pokazatelja (uključujući EBITDA, ROA, ROE, neto profitnu maržu i tržišni udio) nisu utvrđene statistički značajne razlike između razdoblja prije i nakon akvizicije. To upućuje na zaključak da se učinci preuzimanja u hotelijerstvu ne manifestiraju kroz trenutačno poboljšanje financijske uspješnosti, već imaju izraženu vremensku dinamiku i odgođeni učinak.</w:t>
      </w:r>
    </w:p>
    <w:p w14:paraId="6AA6B48D" w14:textId="77777777" w:rsidR="00015DCD" w:rsidRPr="00DD6CC8" w:rsidRDefault="00015DCD" w:rsidP="00015DCD">
      <w:pPr>
        <w:spacing w:after="0" w:line="360" w:lineRule="auto"/>
        <w:jc w:val="both"/>
        <w:rPr>
          <w:rFonts w:ascii="Times New Roman" w:hAnsi="Times New Roman" w:cs="Times New Roman"/>
          <w:sz w:val="24"/>
          <w:szCs w:val="24"/>
        </w:rPr>
      </w:pPr>
      <w:r w:rsidRPr="00DD6CC8">
        <w:rPr>
          <w:rFonts w:ascii="Times New Roman" w:hAnsi="Times New Roman" w:cs="Times New Roman"/>
          <w:sz w:val="24"/>
          <w:szCs w:val="24"/>
        </w:rPr>
        <w:t>Istovremeno, rezultati ukazuju i na postojanje određenih pozitivnih pomaka kod pojedinih pokazatelja uspješnosti. Konkretno, nakon provedenih preuzimanja zabilježen je rast bruto profitne marže, što upućuje na poboljšanje operativne učinkovitosti i inicijalnu realizaciju troškovnih i prihodovnih sinergija. Također, uočava se povećanje tržišne vrijednosti poduzeća, što odražava pozitivna očekivanja investitora i percepciju potencijala stvaranja buduće vrijednosti.</w:t>
      </w:r>
    </w:p>
    <w:p w14:paraId="186966DB" w14:textId="77777777" w:rsidR="00015DCD" w:rsidRPr="00DD6CC8" w:rsidRDefault="00015DCD" w:rsidP="00015DCD">
      <w:pPr>
        <w:spacing w:after="0" w:line="360" w:lineRule="auto"/>
        <w:jc w:val="both"/>
        <w:rPr>
          <w:rFonts w:ascii="Times New Roman" w:hAnsi="Times New Roman" w:cs="Times New Roman"/>
          <w:sz w:val="24"/>
          <w:szCs w:val="24"/>
        </w:rPr>
      </w:pPr>
    </w:p>
    <w:p w14:paraId="1E9BAD09" w14:textId="38F46F74"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No, identificirani su i suprotni učinci koji dodatno potvrđuju procesnu logiku stvaranja vrijednosti. Smanjenje pokazatelja likvidnosti i pad dobiti po dionici ukazuju na kratkoročne financijske pritiske povezane s troškovima integracije i investicijskim ciklusom koji prati akvizicije. Nadalje, rezultati vezani uz tržišnu vrijednost poduzeća pokazuju da tržište anticipira učinke preuzimanja već u fazi prije njihove realizacije, dok se nakon preuzimanja uočava stabilizacija, što upućuje na prijelaz s faze očekivanja na fazu realizacije.</w:t>
      </w:r>
    </w:p>
    <w:p w14:paraId="554A0510"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13B12C01"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Ovakvi rezultati snažno potvrđuju temeljnu tezu ove disertacije da se uspješnost spajanja i preuzimanja ne može mjeriti isključivo kroz kratkoročne financijske pokazatelje, već zahtijeva dugoročnu perspektivu i uvažavanje fazne dinamike procesa. Drugim riječima, kvantitativni nalazi pružaju empirijsku potvrdu procesnog modela razvijenog u ovom istraživanju.</w:t>
      </w:r>
    </w:p>
    <w:p w14:paraId="0EF1D924"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6F23E516"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Dodatnu dubinu razumijevanja postakvizicijske uspješnosti pružaju rezultati tematske analize i kvalitativnih istraživanja. Oni ukazuju da se uspješnost akvizicije u praksi ne procjenjuje isključivo kroz financijske i tržišne pokazatelje. Ona se procjenjuje kroz širi skup kriterija koji uključuju ostvarenje strateških ciljeva, realizaciju planiranih razvojnih projekata te sposobnost organizacije da zadrži i razvije ključna znanja i kompetencije. Poseban naglasak stavlja se na ulogu organizacijske kulture i procesa prilagodbe zaposlenika, pri čemu se pokazuje da neusklađenost vrijednosti i načina rada može dugoročno ograničiti ostvarenje sinergijskih učinaka, čak i u situacijama kada su inicijalni financijski rezultati zadovoljavajući. Rezultati tematske analize potvrđuju da se stvarna uspješnost preuzimanja očituje kroz sposobnost poduzeća da realizira inicijalno definirane strateške pretpostavke, a ne isključivo kroz ostvarenje kratkoročnih financijskih ciljeva. Time se dodatno naglašava važnost integracije kao ključne faze u kojoj se stvaraju preduvjeti za dugoročno održivu vrijednost.</w:t>
      </w:r>
    </w:p>
    <w:p w14:paraId="4F1860DF"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754929CB" w14:textId="4D554E62"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Poseban doprinos </w:t>
      </w:r>
      <w:r w:rsidR="00542D87" w:rsidRPr="00BE5472">
        <w:rPr>
          <w:rFonts w:ascii="Times New Roman" w:hAnsi="Times New Roman" w:cs="Times New Roman"/>
          <w:sz w:val="24"/>
          <w:szCs w:val="24"/>
          <w:lang w:val="it-IT"/>
        </w:rPr>
        <w:t>ove doktorske disertacije</w:t>
      </w:r>
      <w:r w:rsidRPr="00BE5472">
        <w:rPr>
          <w:rFonts w:ascii="Times New Roman" w:hAnsi="Times New Roman" w:cs="Times New Roman"/>
          <w:sz w:val="24"/>
          <w:szCs w:val="24"/>
          <w:lang w:val="it-IT"/>
        </w:rPr>
        <w:t xml:space="preserve"> ogleda se u naglašavanju specifičnosti hrvatskog konteksta. </w:t>
      </w:r>
      <w:r w:rsidR="00542D87" w:rsidRPr="00BE5472">
        <w:rPr>
          <w:rFonts w:ascii="Times New Roman" w:hAnsi="Times New Roman" w:cs="Times New Roman"/>
          <w:sz w:val="24"/>
          <w:szCs w:val="24"/>
          <w:lang w:val="it-IT"/>
        </w:rPr>
        <w:t>Nalazi</w:t>
      </w:r>
      <w:r w:rsidRPr="00BE5472">
        <w:rPr>
          <w:rFonts w:ascii="Times New Roman" w:hAnsi="Times New Roman" w:cs="Times New Roman"/>
          <w:sz w:val="24"/>
          <w:szCs w:val="24"/>
          <w:lang w:val="it-IT"/>
        </w:rPr>
        <w:t xml:space="preserve"> upućuju na to da su procesi spajanja i preuzimanja u hrvatskom hotelijerstvu primarno vođeni strateškim i razvojnim razlozima, a ne kratkoročnim financijskim interesima. Odluke o preuzimanju snažno su povezane s lokacijom i atraktivnošću turističke destinacije, što dodatno naglašava ulogu prostorne dimenzije u ovom sektoru. S obzirom na navedeno, izostanak brzih financijskih učinaka ne predstavlja nužno neuspjeh, već odražava dugoročnu orijentaciju i razvojni karakter akvizicija.</w:t>
      </w:r>
    </w:p>
    <w:p w14:paraId="12D54856"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1B44BAD3" w14:textId="23AD9D26"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Uzimajući u obzir </w:t>
      </w:r>
      <w:r w:rsidRPr="00BE5472">
        <w:rPr>
          <w:rFonts w:ascii="Times New Roman" w:hAnsi="Times New Roman" w:cs="Times New Roman"/>
          <w:i/>
          <w:sz w:val="24"/>
          <w:szCs w:val="24"/>
          <w:lang w:val="it-IT"/>
        </w:rPr>
        <w:t>postavljene znanstvene i aplikativne ciljeve istraživanja</w:t>
      </w:r>
      <w:r w:rsidRPr="00BE5472">
        <w:rPr>
          <w:rFonts w:ascii="Times New Roman" w:hAnsi="Times New Roman" w:cs="Times New Roman"/>
          <w:sz w:val="24"/>
          <w:szCs w:val="24"/>
          <w:lang w:val="it-IT"/>
        </w:rPr>
        <w:t xml:space="preserve">, može se zaključiti da su oni u najvećoj mjeri ostvareni. </w:t>
      </w:r>
      <w:r w:rsidR="00542D87" w:rsidRPr="00BE5472">
        <w:rPr>
          <w:rFonts w:ascii="Times New Roman" w:hAnsi="Times New Roman" w:cs="Times New Roman"/>
          <w:sz w:val="24"/>
          <w:szCs w:val="24"/>
          <w:lang w:val="it-IT"/>
        </w:rPr>
        <w:t>Provedena istraživanja</w:t>
      </w:r>
      <w:r w:rsidRPr="00BE5472">
        <w:rPr>
          <w:rFonts w:ascii="Times New Roman" w:hAnsi="Times New Roman" w:cs="Times New Roman"/>
          <w:sz w:val="24"/>
          <w:szCs w:val="24"/>
          <w:lang w:val="it-IT"/>
        </w:rPr>
        <w:t xml:space="preserve"> omogućil</w:t>
      </w:r>
      <w:r w:rsidR="00542D87" w:rsidRPr="00BE5472">
        <w:rPr>
          <w:rFonts w:ascii="Times New Roman" w:hAnsi="Times New Roman" w:cs="Times New Roman"/>
          <w:sz w:val="24"/>
          <w:szCs w:val="24"/>
          <w:lang w:val="it-IT"/>
        </w:rPr>
        <w:t>a</w:t>
      </w:r>
      <w:r w:rsidR="00B6766F" w:rsidRPr="00BE5472">
        <w:rPr>
          <w:rFonts w:ascii="Times New Roman" w:hAnsi="Times New Roman" w:cs="Times New Roman"/>
          <w:sz w:val="24"/>
          <w:szCs w:val="24"/>
          <w:lang w:val="it-IT"/>
        </w:rPr>
        <w:t xml:space="preserve"> su</w:t>
      </w:r>
      <w:r w:rsidRPr="00BE5472">
        <w:rPr>
          <w:rFonts w:ascii="Times New Roman" w:hAnsi="Times New Roman" w:cs="Times New Roman"/>
          <w:sz w:val="24"/>
          <w:szCs w:val="24"/>
          <w:lang w:val="it-IT"/>
        </w:rPr>
        <w:t xml:space="preserve"> sustavnu analizu temeljnih pravaca rasta hotelskih poduzeća te potvrdil</w:t>
      </w:r>
      <w:r w:rsidR="00542D87" w:rsidRPr="00BE5472">
        <w:rPr>
          <w:rFonts w:ascii="Times New Roman" w:hAnsi="Times New Roman" w:cs="Times New Roman"/>
          <w:sz w:val="24"/>
          <w:szCs w:val="24"/>
          <w:lang w:val="it-IT"/>
        </w:rPr>
        <w:t>a</w:t>
      </w:r>
      <w:r w:rsidRPr="00BE5472">
        <w:rPr>
          <w:rFonts w:ascii="Times New Roman" w:hAnsi="Times New Roman" w:cs="Times New Roman"/>
          <w:sz w:val="24"/>
          <w:szCs w:val="24"/>
          <w:lang w:val="it-IT"/>
        </w:rPr>
        <w:t xml:space="preserve"> važnost spajanja i preuzimanja kao dominantnog oblika vanjskog rasta u suvremenom hotelijerstvu. Nadalje, identificirane su ključne specifičnosti konsolidacijskih procesa, osobito u kontekstu horizontalnih preuzimanja i njihove uloge u jačanju tržišne pozicije. Analizom motiva, faza i elemenata procesa spajanja i preuzimanja ostvareno je dublje razumijevanje njihove unutarnje dinamike, pri čemu je posebno naglašena uloga integracije kao kritične faze.</w:t>
      </w:r>
    </w:p>
    <w:p w14:paraId="36BFF13E" w14:textId="0C6611ED"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lastRenderedPageBreak/>
        <w:t xml:space="preserve">Također, </w:t>
      </w:r>
      <w:r w:rsidR="00922F39" w:rsidRPr="00BE5472">
        <w:rPr>
          <w:rFonts w:ascii="Times New Roman" w:hAnsi="Times New Roman" w:cs="Times New Roman"/>
          <w:sz w:val="24"/>
          <w:szCs w:val="24"/>
          <w:lang w:val="it-IT"/>
        </w:rPr>
        <w:t xml:space="preserve">provedena </w:t>
      </w:r>
      <w:r w:rsidRPr="00BE5472">
        <w:rPr>
          <w:rFonts w:ascii="Times New Roman" w:hAnsi="Times New Roman" w:cs="Times New Roman"/>
          <w:sz w:val="24"/>
          <w:szCs w:val="24"/>
          <w:lang w:val="it-IT"/>
        </w:rPr>
        <w:t>istraživanj</w:t>
      </w:r>
      <w:r w:rsidR="00922F39" w:rsidRPr="00BE5472">
        <w:rPr>
          <w:rFonts w:ascii="Times New Roman" w:hAnsi="Times New Roman" w:cs="Times New Roman"/>
          <w:sz w:val="24"/>
          <w:szCs w:val="24"/>
          <w:lang w:val="it-IT"/>
        </w:rPr>
        <w:t>a su</w:t>
      </w:r>
      <w:r w:rsidRPr="00BE5472">
        <w:rPr>
          <w:rFonts w:ascii="Times New Roman" w:hAnsi="Times New Roman" w:cs="Times New Roman"/>
          <w:sz w:val="24"/>
          <w:szCs w:val="24"/>
          <w:lang w:val="it-IT"/>
        </w:rPr>
        <w:t xml:space="preserve"> omogućil</w:t>
      </w:r>
      <w:r w:rsidR="00922F39" w:rsidRPr="00BE5472">
        <w:rPr>
          <w:rFonts w:ascii="Times New Roman" w:hAnsi="Times New Roman" w:cs="Times New Roman"/>
          <w:sz w:val="24"/>
          <w:szCs w:val="24"/>
          <w:lang w:val="it-IT"/>
        </w:rPr>
        <w:t>a</w:t>
      </w:r>
      <w:r w:rsidRPr="00BE5472">
        <w:rPr>
          <w:rFonts w:ascii="Times New Roman" w:hAnsi="Times New Roman" w:cs="Times New Roman"/>
          <w:sz w:val="24"/>
          <w:szCs w:val="24"/>
          <w:lang w:val="it-IT"/>
        </w:rPr>
        <w:t xml:space="preserve"> identifikaciju i interpretaciju sinergijskih učinaka te njihova utjecaja na financijsku uspješnost, pri čemu rezultati ukazuju na njihovu vremensku i procesnu uvjetovanost. Kada se promatra hrvatski hotelski sektor, utvrđeni su i ključni izazovi i rizici povezani s provedbom spajanja i preuzimanja. Time je ostvaren važan doprinos razumijevanju specifičnosti nacionalnog tržišta. S aplikativnog aspekta, rezultati istraživanja pružaju konkretne smjernice za unapređenje upravljanja pojedinim fazama procesa te omogućuju realniju procjenu očekivanih učinaka i vrijednosti akvizicija u praksi.</w:t>
      </w:r>
    </w:p>
    <w:p w14:paraId="7C96A106"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39AC6AA7"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i/>
          <w:sz w:val="24"/>
          <w:szCs w:val="24"/>
          <w:lang w:val="it-IT"/>
        </w:rPr>
        <w:t>U skladu s postavljenim istraživačkim pitanjima</w:t>
      </w:r>
      <w:r w:rsidRPr="00BE5472">
        <w:rPr>
          <w:rFonts w:ascii="Times New Roman" w:hAnsi="Times New Roman" w:cs="Times New Roman"/>
          <w:sz w:val="24"/>
          <w:szCs w:val="24"/>
          <w:lang w:val="it-IT"/>
        </w:rPr>
        <w:t>, rezultati istraživanja omogućili su cjelovito razumijevanje ključnih obilježja i dinamike procesa spajanja i preuzimanja u hotelskom sektoru u Republici Hrvatskoj. Analizom je utvrđeno da su ovi procesi obilježeni dominantno horizontalnim obrascima rasta te snažnom povezanošću s destinacijskim i tržišnim čimbenicima. Nadalje, rezultati ukazuju na to da se kompatibilnost poduzeća ne očituje isključivo na operativnoj razini, već da organizacijska kultura i upravljanje ljudskim resursima imaju ključnu ulogu u fazi integracije.</w:t>
      </w:r>
    </w:p>
    <w:p w14:paraId="26844BBB" w14:textId="1AED3890"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Također, </w:t>
      </w:r>
      <w:r w:rsidR="00E14139" w:rsidRPr="00BE5472">
        <w:rPr>
          <w:rFonts w:ascii="Times New Roman" w:hAnsi="Times New Roman" w:cs="Times New Roman"/>
          <w:sz w:val="24"/>
          <w:szCs w:val="24"/>
          <w:lang w:val="it-IT"/>
        </w:rPr>
        <w:t xml:space="preserve"> </w:t>
      </w:r>
      <w:r w:rsidRPr="00BE5472">
        <w:rPr>
          <w:rFonts w:ascii="Times New Roman" w:hAnsi="Times New Roman" w:cs="Times New Roman"/>
          <w:sz w:val="24"/>
          <w:szCs w:val="24"/>
          <w:lang w:val="it-IT"/>
        </w:rPr>
        <w:t>identificira</w:t>
      </w:r>
      <w:r w:rsidR="00E14139" w:rsidRPr="00BE5472">
        <w:rPr>
          <w:rFonts w:ascii="Times New Roman" w:hAnsi="Times New Roman" w:cs="Times New Roman"/>
          <w:sz w:val="24"/>
          <w:szCs w:val="24"/>
          <w:lang w:val="it-IT"/>
        </w:rPr>
        <w:t>ni su</w:t>
      </w:r>
      <w:r w:rsidRPr="00BE5472">
        <w:rPr>
          <w:rFonts w:ascii="Times New Roman" w:hAnsi="Times New Roman" w:cs="Times New Roman"/>
          <w:sz w:val="24"/>
          <w:szCs w:val="24"/>
          <w:lang w:val="it-IT"/>
        </w:rPr>
        <w:t xml:space="preserve"> kritičn</w:t>
      </w:r>
      <w:r w:rsidR="00E14139" w:rsidRPr="00BE5472">
        <w:rPr>
          <w:rFonts w:ascii="Times New Roman" w:hAnsi="Times New Roman" w:cs="Times New Roman"/>
          <w:sz w:val="24"/>
          <w:szCs w:val="24"/>
          <w:lang w:val="it-IT"/>
        </w:rPr>
        <w:t>i</w:t>
      </w:r>
      <w:r w:rsidRPr="00BE5472">
        <w:rPr>
          <w:rFonts w:ascii="Times New Roman" w:hAnsi="Times New Roman" w:cs="Times New Roman"/>
          <w:sz w:val="24"/>
          <w:szCs w:val="24"/>
          <w:lang w:val="it-IT"/>
        </w:rPr>
        <w:t xml:space="preserve"> čimbeni</w:t>
      </w:r>
      <w:r w:rsidR="00E14139" w:rsidRPr="00BE5472">
        <w:rPr>
          <w:rFonts w:ascii="Times New Roman" w:hAnsi="Times New Roman" w:cs="Times New Roman"/>
          <w:sz w:val="24"/>
          <w:szCs w:val="24"/>
          <w:lang w:val="it-IT"/>
        </w:rPr>
        <w:t>ci</w:t>
      </w:r>
      <w:r w:rsidRPr="00BE5472">
        <w:rPr>
          <w:rFonts w:ascii="Times New Roman" w:hAnsi="Times New Roman" w:cs="Times New Roman"/>
          <w:sz w:val="24"/>
          <w:szCs w:val="24"/>
          <w:lang w:val="it-IT"/>
        </w:rPr>
        <w:t xml:space="preserve"> svake faze procesa te </w:t>
      </w:r>
      <w:r w:rsidR="00E14139" w:rsidRPr="00BE5472">
        <w:rPr>
          <w:rFonts w:ascii="Times New Roman" w:hAnsi="Times New Roman" w:cs="Times New Roman"/>
          <w:sz w:val="24"/>
          <w:szCs w:val="24"/>
          <w:lang w:val="it-IT"/>
        </w:rPr>
        <w:t>je potvrđeno</w:t>
      </w:r>
      <w:r w:rsidRPr="00BE5472">
        <w:rPr>
          <w:rFonts w:ascii="Times New Roman" w:hAnsi="Times New Roman" w:cs="Times New Roman"/>
          <w:sz w:val="24"/>
          <w:szCs w:val="24"/>
          <w:lang w:val="it-IT"/>
        </w:rPr>
        <w:t xml:space="preserve"> da uspješnost spajanja i preuzimanja ovisi o njihovom sustavnom praćenju i upravljanju. U pogledu stvaranja nove vrijednosti, rezultati ukazuju na izostanak jednoznačnih kratkoročnih učinaka, uz postojanje parcijalnih pozitivnih pomaka, dok usporedba s poduzećima koja nisu sudjelovala u spajanjima i preuzimanjima dodatno potvrđuje da uspješnost nije inherentna samom činu preuzimanja, već ovisi o kvaliteti upravljanja procesom.</w:t>
      </w:r>
    </w:p>
    <w:p w14:paraId="3C5A0E37"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65E0202E" w14:textId="315E8D1A"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i/>
          <w:sz w:val="24"/>
          <w:szCs w:val="24"/>
          <w:lang w:val="it-IT"/>
        </w:rPr>
        <w:t>U odnosu na postavljene hipoteze</w:t>
      </w:r>
      <w:r w:rsidRPr="00BE5472">
        <w:rPr>
          <w:rFonts w:ascii="Times New Roman" w:hAnsi="Times New Roman" w:cs="Times New Roman"/>
          <w:sz w:val="24"/>
          <w:szCs w:val="24"/>
          <w:lang w:val="it-IT"/>
        </w:rPr>
        <w:t xml:space="preserve">, rezultati </w:t>
      </w:r>
      <w:r w:rsidR="008F03A8" w:rsidRPr="00BE5472">
        <w:rPr>
          <w:rFonts w:ascii="Times New Roman" w:hAnsi="Times New Roman" w:cs="Times New Roman"/>
          <w:sz w:val="24"/>
          <w:szCs w:val="24"/>
          <w:lang w:val="it-IT"/>
        </w:rPr>
        <w:t xml:space="preserve">provedenih </w:t>
      </w:r>
      <w:r w:rsidRPr="00BE5472">
        <w:rPr>
          <w:rFonts w:ascii="Times New Roman" w:hAnsi="Times New Roman" w:cs="Times New Roman"/>
          <w:sz w:val="24"/>
          <w:szCs w:val="24"/>
          <w:lang w:val="it-IT"/>
        </w:rPr>
        <w:t xml:space="preserve">istraživanja </w:t>
      </w:r>
      <w:r w:rsidR="008F03A8" w:rsidRPr="00BE5472">
        <w:rPr>
          <w:rFonts w:ascii="Times New Roman" w:hAnsi="Times New Roman" w:cs="Times New Roman"/>
          <w:sz w:val="24"/>
          <w:szCs w:val="24"/>
          <w:lang w:val="it-IT"/>
        </w:rPr>
        <w:t xml:space="preserve">su omogućili njihovu provjeru </w:t>
      </w:r>
      <w:r w:rsidR="00DB77CF" w:rsidRPr="00BE5472">
        <w:rPr>
          <w:rFonts w:ascii="Times New Roman" w:hAnsi="Times New Roman" w:cs="Times New Roman"/>
          <w:sz w:val="24"/>
          <w:szCs w:val="24"/>
          <w:lang w:val="it-IT"/>
        </w:rPr>
        <w:t>u različitim kontekstima</w:t>
      </w:r>
      <w:r w:rsidRPr="00BE5472">
        <w:rPr>
          <w:rFonts w:ascii="Times New Roman" w:hAnsi="Times New Roman" w:cs="Times New Roman"/>
          <w:sz w:val="24"/>
          <w:szCs w:val="24"/>
          <w:lang w:val="it-IT"/>
        </w:rPr>
        <w:t xml:space="preserve">. Rezultati potvrđuju da poznavanje i sustavno praćenje kritičnih čimbenika kroz sve faze procesa – od faze prije preuzimanja, preko integracije, do postakvizicijskog razvoja – ima ključnu ulogu u određivanju ukupne uspješnosti spajanja i preuzimanja. </w:t>
      </w:r>
    </w:p>
    <w:p w14:paraId="623F7A7F"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Također, rezultati istraživanja ukazuju na to da su spajanja i preuzimanja u hrvatskom hotelijerstvu dominantno usmjerena na horizontalno širenje poslovanja. To se očituje kroz povećanje kapaciteta, jačanje tržišne pozicije i konsolidaciju postojećih operacija. Time se potvrđuje pretpostavka o prevladavajućoj ulozi horizontalnih preuzimanja u ovom sektoru. Pritom se rast ostvaruje </w:t>
      </w:r>
      <w:r w:rsidRPr="00BE5472">
        <w:rPr>
          <w:rFonts w:ascii="Times New Roman" w:hAnsi="Times New Roman" w:cs="Times New Roman"/>
          <w:sz w:val="24"/>
          <w:szCs w:val="24"/>
          <w:lang w:val="it-IT"/>
        </w:rPr>
        <w:lastRenderedPageBreak/>
        <w:t xml:space="preserve">prvenstveno kroz širenje postojećih poslovnih modela, a ne kroz diverzifikaciju u nepovezane djelatnosti. </w:t>
      </w:r>
    </w:p>
    <w:p w14:paraId="384B48A8" w14:textId="5650202B"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Nadalje, hipoteze vezane uz financijske učinke spajanja i preuzimanja ukazuju na kompleksniji obrazac rezultata, pri čemu izostanak statistički značajnih poboljšanja kod većine pokazatelja ne predstavlja njihovo odbacivanje, već potvrđuje potrebu za njihovim tumačenjem u kontekstu vremenske dinamike i fazne prirode procesa. Na taj </w:t>
      </w:r>
      <w:r w:rsidR="00B6766F" w:rsidRPr="00BE5472">
        <w:rPr>
          <w:rFonts w:ascii="Times New Roman" w:hAnsi="Times New Roman" w:cs="Times New Roman"/>
          <w:sz w:val="24"/>
          <w:szCs w:val="24"/>
          <w:lang w:val="it-IT"/>
        </w:rPr>
        <w:t xml:space="preserve">su </w:t>
      </w:r>
      <w:r w:rsidRPr="00BE5472">
        <w:rPr>
          <w:rFonts w:ascii="Times New Roman" w:hAnsi="Times New Roman" w:cs="Times New Roman"/>
          <w:sz w:val="24"/>
          <w:szCs w:val="24"/>
          <w:lang w:val="it-IT"/>
        </w:rPr>
        <w:t>način hipoteze reinterpretirane kroz procesni okvir, što predstavlja dodatni znanstveni doprinos istraživanja. Posebno važan segment interpretacije odnosi se na hipoteze vezane uz financijsku i tržišnu uspješnost poduzeća nakon provedenih preuzimanja. Rezultati usporedbe pokazatelja prije i nakon preuzimanja ukazuju na izostanak statistički značajnih promjena kod većine analiziranih varijabli. To sugerira da se učinci preuzimanja ne manifestiraju kroz neposredno poboljšanje performansi. Zatim, identificirani parcijalni pozitivni učinci, poput rasta bruto profitne marže i povećanja tržišne vrijednosti poduzeća, upućuju na postojanje inicijalnih sinergijskih učinaka, ali i na potrebu njihove interpretacije u vremenskom kontekstu. Nadalje, usporedba poduzeća koja su sudjelovala u procesima spajanja i preuzimanja s onima koja nisu bila uključena u takve procese dodatno potvrđuje složenost odnosa između akvizicija i uspješnosti. Rezultati ne upućuju na jednoznačnu prednost poduzeća koja su provodila preuzimanja u odnosu na ona koja nisu, što dodatno potvrđuje da se učinci spajanja i preuzimanja ne mogu generalizirati bez uvažavanja kontekstualnih i procesnih čimbenika. Time se potvrđuje da uspješnost nije inherentna samom činu preuzimanja, već ovisi o načinu upravljanja procesom kroz njegove različite faze.</w:t>
      </w:r>
    </w:p>
    <w:p w14:paraId="3B2F2BCD"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1BB017FD" w14:textId="1FD46F65"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Ovakav pristup omogućuje pomak od pojednostavljenog shvaćanja uspješnosti spajanja i preuzimanja kao trenut</w:t>
      </w:r>
      <w:r w:rsidR="009F3C04" w:rsidRPr="00BE5472">
        <w:rPr>
          <w:rFonts w:ascii="Times New Roman" w:hAnsi="Times New Roman" w:cs="Times New Roman"/>
          <w:sz w:val="24"/>
          <w:szCs w:val="24"/>
          <w:lang w:val="it-IT"/>
        </w:rPr>
        <w:t>ač</w:t>
      </w:r>
      <w:r w:rsidRPr="00BE5472">
        <w:rPr>
          <w:rFonts w:ascii="Times New Roman" w:hAnsi="Times New Roman" w:cs="Times New Roman"/>
          <w:sz w:val="24"/>
          <w:szCs w:val="24"/>
          <w:lang w:val="it-IT"/>
        </w:rPr>
        <w:t>nog financijskog rezultata prema razumijevanju tih procesa kao dugoročnih razvojnih mehanizama. Time se dodatno potvrđuje temeljna postavka rada da se stvaranje vrijednosti ne odvija linearno, već kroz međusobno povezane faze u kojima se različiti čimbenici uspješnosti manifestiraju u različitim vremenskim horizontima.</w:t>
      </w:r>
    </w:p>
    <w:p w14:paraId="4D950772"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694B85A4"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Teorijski doprinos istraživanja očituje se u razvoju integriranog, procesno utemeljenog modela spajanja i preuzimanja u hotelijerstvu, koji povezuje motive, čimbenike uspješnosti i ishode kroz vremensku dimenziju. Time se nadilazi fragmentiranost postojećih istraživanja i pruža cjelovit okvir za razumijevanje dinamike stvaranja vrijednosti.</w:t>
      </w:r>
    </w:p>
    <w:p w14:paraId="1152CDA1"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30A7664B"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S praktičnog aspekta, rezultati istraživanja upućuju na potrebu za redefiniranjem kriterija uspješnosti u upravljanju spajanjima i preuzimanjima. Menadžeri bi trebali usmjeriti pozornost ne samo na kvalitetu odluke o preuzimanju, već i na sustavno upravljanje integracijskim procesom, osobito u području upravljanja ljudskim resursima, organizacijskom kulturom i prijenosom znanja. Također, važno je uskladiti očekivanja o financijskim učincima s realnom vremenskom dinamikom njihove realizacije.</w:t>
      </w:r>
    </w:p>
    <w:p w14:paraId="210C05B1" w14:textId="77777777"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Unatoč značajnim doprinosima, istraživanje ima određena ograničenja, osobito u pogledu veličine uzorka i dostupnosti podataka, što može utjecati na opseg generalizacije rezultata. Buduća istraživanja trebala bi se usmjeriti na longitudinalne analize i komparativne studije između različitih tržišta, kako bi se dodatno produbilo razumijevanje kontekstualnih čimbenika uspješnosti.</w:t>
      </w:r>
    </w:p>
    <w:p w14:paraId="654324DA"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5BE998F5" w14:textId="70CC513B"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Ključni znanstveni doprinos </w:t>
      </w:r>
      <w:r w:rsidR="00FD3876" w:rsidRPr="00BE5472">
        <w:rPr>
          <w:rFonts w:ascii="Times New Roman" w:hAnsi="Times New Roman" w:cs="Times New Roman"/>
          <w:sz w:val="24"/>
          <w:szCs w:val="24"/>
          <w:lang w:val="it-IT"/>
        </w:rPr>
        <w:t>ove doktorske disertacije</w:t>
      </w:r>
      <w:r w:rsidRPr="00BE5472">
        <w:rPr>
          <w:rFonts w:ascii="Times New Roman" w:hAnsi="Times New Roman" w:cs="Times New Roman"/>
          <w:sz w:val="24"/>
          <w:szCs w:val="24"/>
          <w:lang w:val="it-IT"/>
        </w:rPr>
        <w:t xml:space="preserve"> prepoznaje se u konceptualizaciji spajanja i preuzimanja u hotelijerstvu kao dinamičkog, višefaznog procesa stvaranja vrijednosti, pri čemu se različiti čimbenici uspješnosti manifestiraju u različitim vremenskim i organizacijskim dimenzijama. Za razliku od dominantnih pristupa u literaturi koji uspješnost spajanja i preuzimanja promatraju primarno kroz kratkoročne financijske pokazatelje, ovaj rad pokazuje da se stvaranje vrijednosti odvija postupno, kroz interakciju strateških odluka, integracijskih procesa i kontekstualnih obilježja tržišta.</w:t>
      </w:r>
    </w:p>
    <w:p w14:paraId="2B9DE013" w14:textId="77777777" w:rsidR="00015DCD" w:rsidRPr="00BE5472" w:rsidRDefault="00015DCD" w:rsidP="00015DCD">
      <w:pPr>
        <w:spacing w:after="0" w:line="360" w:lineRule="auto"/>
        <w:jc w:val="both"/>
        <w:rPr>
          <w:rFonts w:ascii="Times New Roman" w:hAnsi="Times New Roman" w:cs="Times New Roman"/>
          <w:sz w:val="24"/>
          <w:szCs w:val="24"/>
          <w:lang w:val="it-IT"/>
        </w:rPr>
      </w:pPr>
    </w:p>
    <w:p w14:paraId="62A9F00C" w14:textId="5AEF0622" w:rsidR="00015DCD" w:rsidRPr="00BE5472" w:rsidRDefault="00015DCD" w:rsidP="00015DCD">
      <w:pPr>
        <w:spacing w:after="0" w:line="360" w:lineRule="auto"/>
        <w:jc w:val="both"/>
        <w:rPr>
          <w:rFonts w:ascii="Times New Roman" w:hAnsi="Times New Roman" w:cs="Times New Roman"/>
          <w:sz w:val="24"/>
          <w:szCs w:val="24"/>
          <w:lang w:val="it-IT"/>
        </w:rPr>
      </w:pPr>
      <w:r w:rsidRPr="00BE5472">
        <w:rPr>
          <w:rFonts w:ascii="Times New Roman" w:hAnsi="Times New Roman" w:cs="Times New Roman"/>
          <w:sz w:val="24"/>
          <w:szCs w:val="24"/>
          <w:lang w:val="it-IT"/>
        </w:rPr>
        <w:t xml:space="preserve">Rezultati </w:t>
      </w:r>
      <w:r w:rsidR="00367E7B" w:rsidRPr="00BE5472">
        <w:rPr>
          <w:rFonts w:ascii="Times New Roman" w:hAnsi="Times New Roman" w:cs="Times New Roman"/>
          <w:sz w:val="24"/>
          <w:szCs w:val="24"/>
          <w:lang w:val="it-IT"/>
        </w:rPr>
        <w:t>ove doktorske disertacije</w:t>
      </w:r>
      <w:r w:rsidRPr="00BE5472">
        <w:rPr>
          <w:rFonts w:ascii="Times New Roman" w:hAnsi="Times New Roman" w:cs="Times New Roman"/>
          <w:sz w:val="24"/>
          <w:szCs w:val="24"/>
          <w:lang w:val="it-IT"/>
        </w:rPr>
        <w:t xml:space="preserve"> doprinose ne samo boljem razumijevanju spajanja i preuzimanja u hotelskom sektoru, već i širem teorijskom okviru istraživanja organizacijskog rasta i transformacije u uslužnim djelatnostima. Posebno u kontekstu sve izraženijih procesa konsolidacije i globalizacije turizma, ovakav procesni pristup omogućuje preciznije sagledavanje dugoročnih učinaka strateških odluka. Time se otvara prostor za daljnja istraživanja, ali i za unapr</w:t>
      </w:r>
      <w:r w:rsidR="00B6766F" w:rsidRPr="00BE5472">
        <w:rPr>
          <w:rFonts w:ascii="Times New Roman" w:hAnsi="Times New Roman" w:cs="Times New Roman"/>
          <w:sz w:val="24"/>
          <w:szCs w:val="24"/>
          <w:lang w:val="it-IT"/>
        </w:rPr>
        <w:t>j</w:t>
      </w:r>
      <w:r w:rsidRPr="00BE5472">
        <w:rPr>
          <w:rFonts w:ascii="Times New Roman" w:hAnsi="Times New Roman" w:cs="Times New Roman"/>
          <w:sz w:val="24"/>
          <w:szCs w:val="24"/>
          <w:lang w:val="it-IT"/>
        </w:rPr>
        <w:t>eđenje prakse upravljanja spajanjima i preuzimanjima, ne samo u hrvatskom hotelijerstvu, već i u širem međunarodnom kontekstu.</w:t>
      </w:r>
    </w:p>
    <w:p w14:paraId="076D8235" w14:textId="2110D560" w:rsidR="00015DCD" w:rsidRPr="00BE5472" w:rsidRDefault="00015DCD" w:rsidP="00015DCD">
      <w:pPr>
        <w:rPr>
          <w:rFonts w:ascii="Times New Roman" w:hAnsi="Times New Roman" w:cs="Times New Roman"/>
          <w:lang w:val="it-IT"/>
        </w:rPr>
        <w:sectPr w:rsidR="00015DCD" w:rsidRPr="00BE5472" w:rsidSect="00D63A8E">
          <w:pgSz w:w="12240" w:h="15840"/>
          <w:pgMar w:top="1440" w:right="1440" w:bottom="1440" w:left="1440" w:header="708" w:footer="708" w:gutter="0"/>
          <w:cols w:space="708"/>
          <w:docGrid w:linePitch="360"/>
        </w:sectPr>
      </w:pPr>
    </w:p>
    <w:p w14:paraId="5E37D657" w14:textId="2126CBD5" w:rsidR="00EB4855" w:rsidRPr="006463E5" w:rsidRDefault="006E052A" w:rsidP="006463E5">
      <w:pPr>
        <w:pStyle w:val="Heading1"/>
        <w:rPr>
          <w:rFonts w:ascii="Times New Roman" w:hAnsi="Times New Roman" w:cs="Times New Roman"/>
        </w:rPr>
      </w:pPr>
      <w:bookmarkStart w:id="279" w:name="_Toc241865191"/>
      <w:r w:rsidRPr="006463E5">
        <w:rPr>
          <w:rFonts w:ascii="Times New Roman" w:hAnsi="Times New Roman" w:cs="Times New Roman"/>
        </w:rPr>
        <w:lastRenderedPageBreak/>
        <w:t>POPIS LITERATURE</w:t>
      </w:r>
      <w:bookmarkEnd w:id="279"/>
      <w:r w:rsidRPr="006463E5">
        <w:rPr>
          <w:rFonts w:ascii="Times New Roman" w:hAnsi="Times New Roman" w:cs="Times New Roman"/>
        </w:rPr>
        <w:t xml:space="preserve"> </w:t>
      </w:r>
    </w:p>
    <w:p w14:paraId="362D081F" w14:textId="77777777" w:rsidR="006E052A" w:rsidRPr="00BE5472" w:rsidRDefault="006E052A" w:rsidP="006E052A">
      <w:pPr>
        <w:spacing w:after="0" w:line="360" w:lineRule="auto"/>
        <w:rPr>
          <w:rFonts w:ascii="Times New Roman" w:hAnsi="Times New Roman" w:cs="Times New Roman"/>
          <w:b/>
          <w:caps/>
          <w:sz w:val="24"/>
          <w:szCs w:val="24"/>
        </w:rPr>
      </w:pPr>
    </w:p>
    <w:p w14:paraId="789D52D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Abdul, A. M. i Basri, R. (2012). Customer Relationship Management (CRM) in Hotel Industry: A framework Proposal on the Relationship among CRM Dimensions, Marketing Capabilities and Hotel Performance. </w:t>
      </w:r>
      <w:r w:rsidRPr="00BE5472">
        <w:rPr>
          <w:rFonts w:ascii="Times New Roman" w:hAnsi="Times New Roman" w:cs="Times New Roman"/>
          <w:i/>
          <w:noProof/>
          <w:sz w:val="24"/>
          <w:szCs w:val="24"/>
        </w:rPr>
        <w:t>International Review of Management and Marketing</w:t>
      </w:r>
      <w:r w:rsidRPr="00BE5472">
        <w:rPr>
          <w:rFonts w:ascii="Times New Roman" w:hAnsi="Times New Roman" w:cs="Times New Roman"/>
          <w:noProof/>
          <w:sz w:val="24"/>
          <w:szCs w:val="24"/>
        </w:rPr>
        <w:t>, 2(4), 220-230.</w:t>
      </w:r>
    </w:p>
    <w:p w14:paraId="7B867629" w14:textId="06A60C19" w:rsidR="00A006D9" w:rsidRPr="00BE5472" w:rsidRDefault="00A006D9" w:rsidP="00120B4F">
      <w:pPr>
        <w:numPr>
          <w:ilvl w:val="0"/>
          <w:numId w:val="64"/>
        </w:numPr>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Accor (2016). AccorHotels adds global luxury brands with landmark acquisition of Fairmont, Raffles and Swissôtel and stands among the leaders of luxury hotel market. Dostupno na: </w:t>
      </w:r>
      <w:hyperlink r:id="rId75" w:history="1">
        <w:r w:rsidRPr="00BE5472">
          <w:rPr>
            <w:rFonts w:ascii="Times New Roman" w:hAnsi="Times New Roman" w:cs="Times New Roman"/>
            <w:bCs/>
            <w:noProof/>
            <w:color w:val="0563C1" w:themeColor="hyperlink"/>
            <w:sz w:val="24"/>
            <w:szCs w:val="24"/>
            <w:u w:val="single"/>
          </w:rPr>
          <w:t>https://press.accor.com/accorhotels-officially-welcomes-fairmont-raffles-and-swissotel/?lang=en</w:t>
        </w:r>
      </w:hyperlink>
      <w:r w:rsidRPr="00BE5472">
        <w:rPr>
          <w:rFonts w:ascii="Times New Roman" w:hAnsi="Times New Roman" w:cs="Times New Roman"/>
          <w:bCs/>
          <w:noProof/>
          <w:sz w:val="24"/>
          <w:szCs w:val="24"/>
        </w:rPr>
        <w:t xml:space="preserve">   Pristupljeno: 6. ožujka 2024. </w:t>
      </w:r>
    </w:p>
    <w:p w14:paraId="1CB9A701"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Accor (bez dat.). All our brands. Luxury. Dostupno na: </w:t>
      </w:r>
      <w:hyperlink r:id="rId76" w:history="1">
        <w:r w:rsidRPr="00BE5472">
          <w:rPr>
            <w:rFonts w:ascii="Times New Roman" w:hAnsi="Times New Roman" w:cs="Times New Roman"/>
            <w:color w:val="0563C1" w:themeColor="hyperlink"/>
            <w:sz w:val="24"/>
            <w:szCs w:val="24"/>
            <w:u w:val="single"/>
          </w:rPr>
          <w:t>https://group.accor.com/en/brands</w:t>
        </w:r>
      </w:hyperlink>
      <w:r w:rsidRPr="00BE5472">
        <w:rPr>
          <w:rFonts w:ascii="Times New Roman" w:hAnsi="Times New Roman" w:cs="Times New Roman"/>
          <w:sz w:val="24"/>
          <w:szCs w:val="24"/>
        </w:rPr>
        <w:t xml:space="preserve">  Pristupljeno: 5. kolovoza 2024.</w:t>
      </w:r>
    </w:p>
    <w:p w14:paraId="46810509" w14:textId="12CDC836"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Adel, N. i Alkaraan, F. (2019). Strategic investment acquisitions performance in UK firms: the impact of managerial overconfidence. </w:t>
      </w:r>
      <w:r w:rsidRPr="00BE5472">
        <w:rPr>
          <w:rFonts w:ascii="Times New Roman" w:hAnsi="Times New Roman" w:cs="Times New Roman"/>
          <w:i/>
          <w:noProof/>
          <w:sz w:val="24"/>
          <w:szCs w:val="24"/>
        </w:rPr>
        <w:t>Journal of Financial Reporting and Accounting</w:t>
      </w:r>
      <w:r w:rsidRPr="00BE5472">
        <w:rPr>
          <w:rFonts w:ascii="Times New Roman" w:hAnsi="Times New Roman" w:cs="Times New Roman"/>
          <w:noProof/>
          <w:sz w:val="24"/>
          <w:szCs w:val="24"/>
        </w:rPr>
        <w:t>, 17(1), 24–41. https://doi.org/10.1108/JFRA-02-2017-0013.</w:t>
      </w:r>
    </w:p>
    <w:p w14:paraId="5EAB03C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Agnihotri, A. (2014). Corporate reputation based theory of choice between organic, hybrid and inorganic growth strategies. </w:t>
      </w:r>
      <w:r w:rsidRPr="00BE5472">
        <w:rPr>
          <w:rFonts w:ascii="Times New Roman" w:hAnsi="Times New Roman" w:cs="Times New Roman"/>
          <w:i/>
          <w:noProof/>
          <w:sz w:val="24"/>
          <w:szCs w:val="24"/>
        </w:rPr>
        <w:t>Corporate Communications: An International Journal</w:t>
      </w:r>
      <w:r w:rsidRPr="00BE5472">
        <w:rPr>
          <w:rFonts w:ascii="Times New Roman" w:hAnsi="Times New Roman" w:cs="Times New Roman"/>
          <w:noProof/>
          <w:sz w:val="24"/>
          <w:szCs w:val="24"/>
        </w:rPr>
        <w:t xml:space="preserve">, 19(3), 247 – 259. </w:t>
      </w:r>
    </w:p>
    <w:p w14:paraId="61BDF85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Agrawal, A., Jaffe, J. F. i Mandelker, G. M. (1992). The post-merger performance of acquiring firms: A re-examination of an anomaly. </w:t>
      </w:r>
      <w:r w:rsidRPr="00BE5472">
        <w:rPr>
          <w:rFonts w:ascii="Times New Roman" w:hAnsi="Times New Roman" w:cs="Times New Roman"/>
          <w:bCs/>
          <w:i/>
          <w:noProof/>
          <w:sz w:val="24"/>
          <w:szCs w:val="24"/>
        </w:rPr>
        <w:t>The Journal of Finance</w:t>
      </w:r>
      <w:r w:rsidRPr="00BE5472">
        <w:rPr>
          <w:rFonts w:ascii="Times New Roman" w:hAnsi="Times New Roman" w:cs="Times New Roman"/>
          <w:bCs/>
          <w:noProof/>
          <w:sz w:val="24"/>
          <w:szCs w:val="24"/>
        </w:rPr>
        <w:t>, 47(4), 1605-1621.</w:t>
      </w:r>
    </w:p>
    <w:p w14:paraId="4FEDCB4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Akram, J. i Shadid M. K. (2016). The Impact of Critical Factors on Mergers and Acquisition in Coverging  ICT Industry. </w:t>
      </w:r>
      <w:r w:rsidRPr="00BE5472">
        <w:rPr>
          <w:rFonts w:ascii="Times New Roman" w:hAnsi="Times New Roman" w:cs="Times New Roman"/>
          <w:i/>
          <w:noProof/>
          <w:sz w:val="24"/>
          <w:szCs w:val="24"/>
        </w:rPr>
        <w:t>Journal of Information Engineering and Application</w:t>
      </w:r>
      <w:r w:rsidRPr="00BE5472">
        <w:rPr>
          <w:rFonts w:ascii="Times New Roman" w:hAnsi="Times New Roman" w:cs="Times New Roman"/>
          <w:noProof/>
          <w:sz w:val="24"/>
          <w:szCs w:val="24"/>
        </w:rPr>
        <w:t xml:space="preserve">, 6, 43 – 48.  </w:t>
      </w:r>
    </w:p>
    <w:p w14:paraId="709CEF5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Alkaraan, F. (2015). Strategic investment decision-making perspectives. U: C. L. Cooper i S. Finkelstein (ur.), </w:t>
      </w:r>
      <w:r w:rsidRPr="00BE5472">
        <w:rPr>
          <w:rFonts w:ascii="Times New Roman" w:hAnsi="Times New Roman" w:cs="Times New Roman"/>
          <w:i/>
          <w:noProof/>
          <w:sz w:val="24"/>
          <w:szCs w:val="24"/>
        </w:rPr>
        <w:t>Advances in mergers and acquisitions</w:t>
      </w:r>
      <w:r w:rsidRPr="00BE5472">
        <w:rPr>
          <w:rFonts w:ascii="Times New Roman" w:hAnsi="Times New Roman" w:cs="Times New Roman"/>
          <w:noProof/>
          <w:sz w:val="24"/>
          <w:szCs w:val="24"/>
        </w:rPr>
        <w:t xml:space="preserve">, 14,  5–66. </w:t>
      </w:r>
    </w:p>
    <w:p w14:paraId="4F96901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Alkaran, F. (2021). Strategic Investment Decision-Making: Mergers and Acquisitions Towards Industry 4.0. </w:t>
      </w:r>
      <w:r w:rsidRPr="00BE5472">
        <w:rPr>
          <w:rFonts w:ascii="Times New Roman" w:hAnsi="Times New Roman" w:cs="Times New Roman"/>
          <w:i/>
          <w:noProof/>
          <w:sz w:val="24"/>
          <w:szCs w:val="24"/>
        </w:rPr>
        <w:t>Advances in Mergers and Acquisitions</w:t>
      </w:r>
      <w:r w:rsidRPr="00BE5472">
        <w:rPr>
          <w:rFonts w:ascii="Times New Roman" w:hAnsi="Times New Roman" w:cs="Times New Roman"/>
          <w:noProof/>
          <w:sz w:val="24"/>
          <w:szCs w:val="24"/>
        </w:rPr>
        <w:t xml:space="preserve">, 20, 39–52. </w:t>
      </w:r>
    </w:p>
    <w:p w14:paraId="5E22476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Alvarez-Gonzalez, P. I Otero, N. (2020). The effect of mergers and acquisitions on customer-company relationships. Exploring employees’ perceptions in the Spanish banking sector. </w:t>
      </w:r>
      <w:r w:rsidRPr="00BE5472">
        <w:rPr>
          <w:rFonts w:ascii="Times New Roman" w:hAnsi="Times New Roman" w:cs="Times New Roman"/>
          <w:i/>
          <w:noProof/>
          <w:sz w:val="24"/>
          <w:szCs w:val="24"/>
        </w:rPr>
        <w:t xml:space="preserve">International Journal of Bank Marketing, </w:t>
      </w:r>
      <w:r w:rsidRPr="00BE5472">
        <w:rPr>
          <w:rFonts w:ascii="Times New Roman" w:hAnsi="Times New Roman" w:cs="Times New Roman"/>
          <w:noProof/>
          <w:sz w:val="24"/>
          <w:szCs w:val="24"/>
        </w:rPr>
        <w:t xml:space="preserve">38(2): 406 – 424. </w:t>
      </w:r>
    </w:p>
    <w:p w14:paraId="64190E3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bCs/>
          <w:noProof/>
          <w:sz w:val="24"/>
          <w:szCs w:val="24"/>
          <w:lang w:val="en-US"/>
        </w:rPr>
        <w:t xml:space="preserve">Amar, O. et al. (2024). Unveiling the potential of hotel mergers: A hybrid DEA approach for optimizing sector-wide performance in the hospitality industry. </w:t>
      </w:r>
      <w:r w:rsidRPr="00BE5472">
        <w:rPr>
          <w:rFonts w:ascii="Times New Roman" w:hAnsi="Times New Roman" w:cs="Times New Roman"/>
          <w:bCs/>
          <w:i/>
          <w:noProof/>
          <w:sz w:val="24"/>
          <w:szCs w:val="24"/>
          <w:lang w:val="en-US"/>
        </w:rPr>
        <w:t xml:space="preserve">International Journal of Hospitality Management, </w:t>
      </w:r>
      <w:r w:rsidRPr="00BE5472">
        <w:rPr>
          <w:rFonts w:ascii="Times New Roman" w:hAnsi="Times New Roman" w:cs="Times New Roman"/>
          <w:bCs/>
          <w:noProof/>
          <w:sz w:val="24"/>
          <w:szCs w:val="24"/>
          <w:lang w:val="en-US"/>
        </w:rPr>
        <w:t>116, 103620.</w:t>
      </w:r>
    </w:p>
    <w:p w14:paraId="3043DDE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lastRenderedPageBreak/>
        <w:t xml:space="preserve">Amel, D., Barnes, C., Panetta, F. i Salleo, C. (2004). Consolidation and efficiency in the financial sector: a review of the international evidence. </w:t>
      </w:r>
      <w:r w:rsidRPr="00BE5472">
        <w:rPr>
          <w:rFonts w:ascii="Times New Roman" w:hAnsi="Times New Roman" w:cs="Times New Roman"/>
          <w:i/>
          <w:noProof/>
          <w:sz w:val="24"/>
          <w:szCs w:val="24"/>
        </w:rPr>
        <w:t xml:space="preserve">Journal of Banking and Finance, </w:t>
      </w:r>
      <w:r w:rsidRPr="00BE5472">
        <w:rPr>
          <w:rFonts w:ascii="Times New Roman" w:hAnsi="Times New Roman" w:cs="Times New Roman"/>
          <w:noProof/>
          <w:sz w:val="24"/>
          <w:szCs w:val="24"/>
        </w:rPr>
        <w:t>28(10): 2493 - 2519.</w:t>
      </w:r>
    </w:p>
    <w:p w14:paraId="36A4B30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Amihud, Y., Dodd, P. i  Weinstein, M. (1986). Conglomerate mergers, managerial motives &amp; stockholder wealth. </w:t>
      </w:r>
      <w:r w:rsidRPr="00BE5472">
        <w:rPr>
          <w:rFonts w:ascii="Times New Roman" w:hAnsi="Times New Roman" w:cs="Times New Roman"/>
          <w:bCs/>
          <w:i/>
          <w:noProof/>
          <w:sz w:val="24"/>
          <w:szCs w:val="24"/>
        </w:rPr>
        <w:t>Journal of Banking and Finance</w:t>
      </w:r>
      <w:r w:rsidRPr="00BE5472">
        <w:rPr>
          <w:rFonts w:ascii="Times New Roman" w:hAnsi="Times New Roman" w:cs="Times New Roman"/>
          <w:bCs/>
          <w:noProof/>
          <w:sz w:val="24"/>
          <w:szCs w:val="24"/>
        </w:rPr>
        <w:t>, 10(3), 401-410.</w:t>
      </w:r>
    </w:p>
    <w:p w14:paraId="67759BD0" w14:textId="3E0DE074" w:rsidR="006E052A" w:rsidRPr="00BE5472" w:rsidRDefault="006E052A" w:rsidP="00E466D0">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Anderson, H. et al. (2003). Are Customers and Suppliers part(icipants) of a Merger or an Acquisition? - A literature review. 19. IMP konferencija, Lugano, Švicarska, 4. – 6. rujna 2003.</w:t>
      </w:r>
    </w:p>
    <w:p w14:paraId="0903E00F" w14:textId="08CEED95" w:rsidR="00E466D0" w:rsidRPr="00BE5472" w:rsidRDefault="00A108BC" w:rsidP="00A108BC">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Andranovich G. (1995). </w:t>
      </w:r>
      <w:r w:rsidRPr="00BE5472">
        <w:rPr>
          <w:rFonts w:ascii="Times New Roman" w:hAnsi="Times New Roman" w:cs="Times New Roman"/>
          <w:i/>
          <w:iCs/>
          <w:sz w:val="24"/>
          <w:szCs w:val="24"/>
        </w:rPr>
        <w:t>Developing community participation and consensus: The Delphi Technique</w:t>
      </w:r>
      <w:r w:rsidRPr="00BE5472">
        <w:rPr>
          <w:rFonts w:ascii="Times New Roman" w:hAnsi="Times New Roman" w:cs="Times New Roman"/>
          <w:sz w:val="24"/>
          <w:szCs w:val="24"/>
        </w:rPr>
        <w:t>. Los Angeles: California State University.</w:t>
      </w:r>
    </w:p>
    <w:p w14:paraId="25E76D3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Andreson, H., Havila, V. i Nillson, F. (2013). </w:t>
      </w:r>
      <w:r w:rsidRPr="00BE5472">
        <w:rPr>
          <w:rFonts w:ascii="Times New Roman" w:hAnsi="Times New Roman" w:cs="Times New Roman"/>
          <w:i/>
          <w:noProof/>
          <w:sz w:val="24"/>
          <w:szCs w:val="24"/>
        </w:rPr>
        <w:t>Mergers and Acquisitions. The Critical Role of Stakeholders</w:t>
      </w:r>
      <w:r w:rsidRPr="00BE5472">
        <w:rPr>
          <w:rFonts w:ascii="Times New Roman" w:hAnsi="Times New Roman" w:cs="Times New Roman"/>
          <w:noProof/>
          <w:sz w:val="24"/>
          <w:szCs w:val="24"/>
        </w:rPr>
        <w:t xml:space="preserve">. New York: Routledge. </w:t>
      </w:r>
    </w:p>
    <w:p w14:paraId="3A553A4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Angwin, D. N. i Meadows, M. (2015). New Integration Strategies for Post-Acquisition Management. </w:t>
      </w:r>
      <w:r w:rsidRPr="00BE5472">
        <w:rPr>
          <w:rFonts w:ascii="Times New Roman" w:hAnsi="Times New Roman" w:cs="Times New Roman"/>
          <w:bCs/>
          <w:i/>
          <w:noProof/>
          <w:sz w:val="24"/>
          <w:szCs w:val="24"/>
        </w:rPr>
        <w:t>Long Range Planning</w:t>
      </w:r>
      <w:r w:rsidRPr="00BE5472">
        <w:rPr>
          <w:rFonts w:ascii="Times New Roman" w:hAnsi="Times New Roman" w:cs="Times New Roman"/>
          <w:bCs/>
          <w:noProof/>
          <w:sz w:val="24"/>
          <w:szCs w:val="24"/>
        </w:rPr>
        <w:t>, 48(4), 235 – 251</w:t>
      </w:r>
    </w:p>
    <w:p w14:paraId="72A9C68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Angwin, D. N., Mellahi, K., Gomez, E. i Peter, E. (2016). How communication approaches impact mergers and acquisitions outcomes? </w:t>
      </w:r>
      <w:r w:rsidRPr="00BE5472">
        <w:rPr>
          <w:rFonts w:ascii="Times New Roman" w:hAnsi="Times New Roman" w:cs="Times New Roman"/>
          <w:i/>
          <w:noProof/>
          <w:sz w:val="24"/>
          <w:szCs w:val="24"/>
        </w:rPr>
        <w:t xml:space="preserve">The International Journal of Human Resource Management, </w:t>
      </w:r>
      <w:r w:rsidRPr="00BE5472">
        <w:rPr>
          <w:rFonts w:ascii="Times New Roman" w:hAnsi="Times New Roman" w:cs="Times New Roman"/>
          <w:noProof/>
          <w:sz w:val="24"/>
          <w:szCs w:val="24"/>
        </w:rPr>
        <w:t xml:space="preserve">27(20): 2370 – 2397.  </w:t>
      </w:r>
    </w:p>
    <w:p w14:paraId="76330CB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Anon (2000). </w:t>
      </w:r>
      <w:r w:rsidRPr="00BE5472">
        <w:rPr>
          <w:rFonts w:ascii="Times New Roman" w:hAnsi="Times New Roman" w:cs="Times New Roman"/>
          <w:bCs/>
          <w:i/>
          <w:noProof/>
          <w:sz w:val="24"/>
          <w:szCs w:val="24"/>
        </w:rPr>
        <w:t>Performance Measurement During Mergers and Acquisitions Integration</w:t>
      </w:r>
      <w:r w:rsidRPr="00BE5472">
        <w:rPr>
          <w:rFonts w:ascii="Times New Roman" w:hAnsi="Times New Roman" w:cs="Times New Roman"/>
          <w:bCs/>
          <w:noProof/>
          <w:sz w:val="24"/>
          <w:szCs w:val="24"/>
        </w:rPr>
        <w:t xml:space="preserve">. New York, NY:The Conference Bord. </w:t>
      </w:r>
    </w:p>
    <w:p w14:paraId="1F7C1F0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Ansoff, H. (1957). Strategies for Diversification. </w:t>
      </w:r>
      <w:r w:rsidRPr="00BE5472">
        <w:rPr>
          <w:rFonts w:ascii="Times New Roman" w:hAnsi="Times New Roman" w:cs="Times New Roman"/>
          <w:i/>
          <w:noProof/>
          <w:sz w:val="24"/>
          <w:szCs w:val="24"/>
        </w:rPr>
        <w:t>Harvard Business Review</w:t>
      </w:r>
      <w:r w:rsidRPr="00BE5472">
        <w:rPr>
          <w:rFonts w:ascii="Times New Roman" w:hAnsi="Times New Roman" w:cs="Times New Roman"/>
          <w:noProof/>
          <w:sz w:val="24"/>
          <w:szCs w:val="24"/>
        </w:rPr>
        <w:t xml:space="preserve">, 35(5), 113 – 124. Dostupno na: https://archive.org/details/strategiesfordiversificationansoff1957hbr/page/n11/mode/2up Pristupljeno: 18. ožujka 2024. </w:t>
      </w:r>
    </w:p>
    <w:p w14:paraId="77BE1E5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Appelbaum, S. H., Gandell, J., Yortis, H., Proper, S. i Jobin, F. (2000). Anatomy of a merger: Behavior of organizational factors and processes throughout the pre-duringpost- stages (Part 1). </w:t>
      </w:r>
      <w:r w:rsidRPr="00BE5472">
        <w:rPr>
          <w:rFonts w:ascii="Times New Roman" w:hAnsi="Times New Roman" w:cs="Times New Roman"/>
          <w:bCs/>
          <w:i/>
          <w:noProof/>
          <w:sz w:val="24"/>
          <w:szCs w:val="24"/>
        </w:rPr>
        <w:t>Management Decision</w:t>
      </w:r>
      <w:r w:rsidRPr="00BE5472">
        <w:rPr>
          <w:rFonts w:ascii="Times New Roman" w:hAnsi="Times New Roman" w:cs="Times New Roman"/>
          <w:bCs/>
          <w:noProof/>
          <w:sz w:val="24"/>
          <w:szCs w:val="24"/>
        </w:rPr>
        <w:t xml:space="preserve">, 38(9), 649–662. https://doi.org/10.1108/00251740010357267 </w:t>
      </w:r>
    </w:p>
    <w:p w14:paraId="4072F567"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Arena Hospitality Group (bez dat.). Snažni, pouzdani i prepoznatljivi brendovi, prožeti luksuzom. Dostupno na: </w:t>
      </w:r>
      <w:hyperlink r:id="rId77" w:history="1">
        <w:r w:rsidRPr="00BE5472">
          <w:rPr>
            <w:rFonts w:ascii="Times New Roman" w:hAnsi="Times New Roman" w:cs="Times New Roman"/>
            <w:color w:val="0563C1" w:themeColor="hyperlink"/>
            <w:sz w:val="24"/>
            <w:szCs w:val="24"/>
            <w:u w:val="single"/>
          </w:rPr>
          <w:t>https://www.arenahospitalitygroup.com/hr/portfelj</w:t>
        </w:r>
      </w:hyperlink>
      <w:r w:rsidRPr="00BE5472">
        <w:rPr>
          <w:rFonts w:ascii="Times New Roman" w:hAnsi="Times New Roman" w:cs="Times New Roman"/>
          <w:sz w:val="24"/>
          <w:szCs w:val="24"/>
        </w:rPr>
        <w:t xml:space="preserve"> Preuzeto: 4. kolovoza 2024. </w:t>
      </w:r>
    </w:p>
    <w:p w14:paraId="2071A9D1" w14:textId="15005B33"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Avelini Holjevac, I. (1998). </w:t>
      </w:r>
      <w:r w:rsidRPr="00BE5472">
        <w:rPr>
          <w:rFonts w:ascii="Times New Roman" w:hAnsi="Times New Roman" w:cs="Times New Roman"/>
          <w:i/>
          <w:sz w:val="24"/>
          <w:szCs w:val="24"/>
        </w:rPr>
        <w:t>Kontroling-upravljanje poslovnim rezultatom</w:t>
      </w:r>
      <w:r w:rsidRPr="00BE5472">
        <w:rPr>
          <w:rFonts w:ascii="Times New Roman" w:hAnsi="Times New Roman" w:cs="Times New Roman"/>
          <w:sz w:val="24"/>
          <w:szCs w:val="24"/>
        </w:rPr>
        <w:t>. Opatija: Hotelijerski fakultet.</w:t>
      </w:r>
    </w:p>
    <w:p w14:paraId="49B780A1" w14:textId="79A89203"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Avelini Holjevac, I. (2002). </w:t>
      </w:r>
      <w:r w:rsidRPr="00BE5472">
        <w:rPr>
          <w:rFonts w:ascii="Times New Roman" w:hAnsi="Times New Roman" w:cs="Times New Roman"/>
          <w:i/>
          <w:sz w:val="24"/>
          <w:szCs w:val="24"/>
        </w:rPr>
        <w:t>Upravljanje kvalitetom u turizmu i hotelskoj industriji.</w:t>
      </w:r>
      <w:r w:rsidRPr="00BE5472">
        <w:rPr>
          <w:rFonts w:ascii="Times New Roman" w:hAnsi="Times New Roman" w:cs="Times New Roman"/>
          <w:sz w:val="24"/>
          <w:szCs w:val="24"/>
        </w:rPr>
        <w:t xml:space="preserve"> Opatija:  Fakultet za turistički i hotelski menadžment.</w:t>
      </w:r>
    </w:p>
    <w:p w14:paraId="539EB331" w14:textId="7A4ABE40"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Asquith, P. (1983). Merger bids, uncertainty, and stockholder returns</w:t>
      </w:r>
      <w:r w:rsidRPr="00BE5472">
        <w:rPr>
          <w:rFonts w:ascii="Times New Roman" w:hAnsi="Times New Roman" w:cs="Times New Roman"/>
          <w:bCs/>
          <w:i/>
          <w:noProof/>
          <w:sz w:val="24"/>
          <w:szCs w:val="24"/>
        </w:rPr>
        <w:t>. Journal of Financial Economics</w:t>
      </w:r>
      <w:r w:rsidRPr="00BE5472">
        <w:rPr>
          <w:rFonts w:ascii="Times New Roman" w:hAnsi="Times New Roman" w:cs="Times New Roman"/>
          <w:bCs/>
          <w:noProof/>
          <w:sz w:val="24"/>
          <w:szCs w:val="24"/>
        </w:rPr>
        <w:t>, 11(1-4), 51-83.</w:t>
      </w:r>
    </w:p>
    <w:p w14:paraId="4E9CC798" w14:textId="5969FBB8"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Azhar, M.G.A.A.A.(2018) Strategic Alliances. </w:t>
      </w:r>
      <w:r w:rsidRPr="00BE5472">
        <w:rPr>
          <w:rFonts w:ascii="Times New Roman" w:hAnsi="Times New Roman" w:cs="Times New Roman"/>
          <w:i/>
          <w:noProof/>
          <w:sz w:val="24"/>
          <w:szCs w:val="24"/>
        </w:rPr>
        <w:t>Journal of Business and Financial Affairs</w:t>
      </w:r>
      <w:r w:rsidRPr="00BE5472">
        <w:rPr>
          <w:rFonts w:ascii="Times New Roman" w:hAnsi="Times New Roman" w:cs="Times New Roman"/>
          <w:noProof/>
          <w:sz w:val="24"/>
          <w:szCs w:val="24"/>
        </w:rPr>
        <w:t>, 7(1), 1 – 3.</w:t>
      </w:r>
    </w:p>
    <w:p w14:paraId="6FA2026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Bahtijarević-Šiber, F. i Sikavica, P. (2001). </w:t>
      </w:r>
      <w:r w:rsidRPr="00BE5472">
        <w:rPr>
          <w:rFonts w:ascii="Times New Roman" w:hAnsi="Times New Roman" w:cs="Times New Roman"/>
          <w:bCs/>
          <w:i/>
          <w:noProof/>
          <w:sz w:val="24"/>
          <w:szCs w:val="24"/>
        </w:rPr>
        <w:t>Leksikon menadžmenta</w:t>
      </w:r>
      <w:r w:rsidRPr="00BE5472">
        <w:rPr>
          <w:rFonts w:ascii="Times New Roman" w:hAnsi="Times New Roman" w:cs="Times New Roman"/>
          <w:bCs/>
          <w:noProof/>
          <w:sz w:val="24"/>
          <w:szCs w:val="24"/>
        </w:rPr>
        <w:t>. Zagreb: Masmedia.</w:t>
      </w:r>
    </w:p>
    <w:p w14:paraId="57E0F6EB"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Bakan, R. (2012). Organizacija i poslovanje ugostiteljskih objekta, nastavni materijal. Preuzeto s: </w:t>
      </w:r>
      <w:hyperlink r:id="rId78" w:history="1">
        <w:r w:rsidRPr="00BE5472">
          <w:rPr>
            <w:rFonts w:ascii="Times New Roman" w:hAnsi="Times New Roman" w:cs="Times New Roman"/>
            <w:color w:val="0563C1" w:themeColor="hyperlink"/>
            <w:sz w:val="24"/>
            <w:szCs w:val="24"/>
            <w:u w:val="single"/>
          </w:rPr>
          <w:t>http://www.vsmti.hr/hr/nastava/nastavni-materijali/doc_download/593-opuo-2-razvoj-hrvatskog-hotelijerstvasvjetski-lanci-i-brendovi.html</w:t>
        </w:r>
      </w:hyperlink>
      <w:r w:rsidRPr="00BE5472">
        <w:rPr>
          <w:rFonts w:ascii="Times New Roman" w:hAnsi="Times New Roman" w:cs="Times New Roman"/>
          <w:sz w:val="24"/>
          <w:szCs w:val="24"/>
        </w:rPr>
        <w:t xml:space="preserve">  </w:t>
      </w:r>
    </w:p>
    <w:p w14:paraId="70A68D5A"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Bansal, A. i King, D. R. (2020). Communicating change following an acquisition. The International </w:t>
      </w:r>
      <w:r w:rsidRPr="00BE5472">
        <w:rPr>
          <w:rFonts w:ascii="Times New Roman" w:hAnsi="Times New Roman" w:cs="Times New Roman"/>
          <w:bCs/>
          <w:i/>
          <w:noProof/>
          <w:sz w:val="24"/>
          <w:szCs w:val="24"/>
        </w:rPr>
        <w:t>Journal of Human Resource Management</w:t>
      </w:r>
      <w:r w:rsidRPr="00BE5472">
        <w:rPr>
          <w:rFonts w:ascii="Times New Roman" w:hAnsi="Times New Roman" w:cs="Times New Roman"/>
          <w:bCs/>
          <w:noProof/>
          <w:sz w:val="24"/>
          <w:szCs w:val="24"/>
        </w:rPr>
        <w:t xml:space="preserve">, 33(9), 1886 – 1915. </w:t>
      </w:r>
    </w:p>
    <w:p w14:paraId="6C6D7CFF"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Barjaktarović, D. (2013). </w:t>
      </w:r>
      <w:r w:rsidRPr="00BE5472">
        <w:rPr>
          <w:rFonts w:ascii="Times New Roman" w:hAnsi="Times New Roman" w:cs="Times New Roman"/>
          <w:i/>
          <w:sz w:val="24"/>
          <w:szCs w:val="24"/>
        </w:rPr>
        <w:t>Upravljanje kvalitetom u hotelijerstvu</w:t>
      </w:r>
      <w:r w:rsidRPr="00BE5472">
        <w:rPr>
          <w:rFonts w:ascii="Times New Roman" w:hAnsi="Times New Roman" w:cs="Times New Roman"/>
          <w:sz w:val="24"/>
          <w:szCs w:val="24"/>
        </w:rPr>
        <w:t>. Beograd: Univerzitet Singidunum</w:t>
      </w:r>
    </w:p>
    <w:p w14:paraId="08CD86BD"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Barragato, C. A. i Markelevich, A. (2008). Earnings quality following corporate acquisitions. </w:t>
      </w:r>
      <w:r w:rsidRPr="00BE5472">
        <w:rPr>
          <w:rFonts w:ascii="Times New Roman" w:hAnsi="Times New Roman" w:cs="Times New Roman"/>
          <w:bCs/>
          <w:i/>
          <w:noProof/>
          <w:sz w:val="24"/>
          <w:szCs w:val="24"/>
        </w:rPr>
        <w:t>Managerial Finance</w:t>
      </w:r>
      <w:r w:rsidRPr="00BE5472">
        <w:rPr>
          <w:rFonts w:ascii="Times New Roman" w:hAnsi="Times New Roman" w:cs="Times New Roman"/>
          <w:bCs/>
          <w:noProof/>
          <w:sz w:val="24"/>
          <w:szCs w:val="24"/>
        </w:rPr>
        <w:t>, 34(5), 304-315.</w:t>
      </w:r>
    </w:p>
    <w:p w14:paraId="7BEAC6B3"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Bauer, F. i Matzler, K. (2014). Antecedents of M&amp;A success: the role of strategic complementarity, cultural fit, and degree and speed of integration. </w:t>
      </w:r>
      <w:r w:rsidRPr="00BE5472">
        <w:rPr>
          <w:rFonts w:ascii="Times New Roman" w:hAnsi="Times New Roman" w:cs="Times New Roman"/>
          <w:bCs/>
          <w:i/>
          <w:noProof/>
          <w:sz w:val="24"/>
          <w:szCs w:val="24"/>
        </w:rPr>
        <w:t>Strategic Management Journa</w:t>
      </w:r>
      <w:r w:rsidRPr="00BE5472">
        <w:rPr>
          <w:rFonts w:ascii="Times New Roman" w:hAnsi="Times New Roman" w:cs="Times New Roman"/>
          <w:bCs/>
          <w:noProof/>
          <w:sz w:val="24"/>
          <w:szCs w:val="24"/>
        </w:rPr>
        <w:t>l, 35, 269–291.</w:t>
      </w:r>
    </w:p>
    <w:p w14:paraId="326FEBFF"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Barringer B. i Ireland D. (2010). </w:t>
      </w:r>
      <w:r w:rsidRPr="00BE5472">
        <w:rPr>
          <w:rFonts w:ascii="Times New Roman" w:hAnsi="Times New Roman" w:cs="Times New Roman"/>
          <w:i/>
          <w:noProof/>
          <w:sz w:val="24"/>
          <w:szCs w:val="24"/>
        </w:rPr>
        <w:t>Poduzetništvo- uspješno pokretanje novih pothvata</w:t>
      </w:r>
      <w:r w:rsidRPr="00BE5472">
        <w:rPr>
          <w:rFonts w:ascii="Times New Roman" w:hAnsi="Times New Roman" w:cs="Times New Roman"/>
          <w:noProof/>
          <w:sz w:val="24"/>
          <w:szCs w:val="24"/>
        </w:rPr>
        <w:t>. Tuzla: OFF SET.</w:t>
      </w:r>
    </w:p>
    <w:p w14:paraId="3F61247E"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Batinić, I. (2016). Hotel Management and Quality of Hotel Services. </w:t>
      </w:r>
      <w:r w:rsidRPr="00BE5472">
        <w:rPr>
          <w:rFonts w:ascii="Times New Roman" w:hAnsi="Times New Roman" w:cs="Times New Roman"/>
          <w:i/>
          <w:sz w:val="24"/>
          <w:szCs w:val="24"/>
        </w:rPr>
        <w:t>Journal of Process Management – New Technologies, International</w:t>
      </w:r>
      <w:r w:rsidRPr="00BE5472">
        <w:rPr>
          <w:rFonts w:ascii="Times New Roman" w:hAnsi="Times New Roman" w:cs="Times New Roman"/>
          <w:sz w:val="24"/>
          <w:szCs w:val="24"/>
        </w:rPr>
        <w:t xml:space="preserve">, 4(1), 25 – 29. </w:t>
      </w:r>
    </w:p>
    <w:p w14:paraId="18029BFC"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Beena, P. (2014). </w:t>
      </w:r>
      <w:r w:rsidRPr="00BE5472">
        <w:rPr>
          <w:rFonts w:ascii="Times New Roman" w:hAnsi="Times New Roman" w:cs="Times New Roman"/>
          <w:bCs/>
          <w:i/>
          <w:noProof/>
          <w:sz w:val="24"/>
          <w:szCs w:val="24"/>
        </w:rPr>
        <w:t>Mergers and acquisitions: India under globalisation</w:t>
      </w:r>
      <w:r w:rsidRPr="00BE5472">
        <w:rPr>
          <w:rFonts w:ascii="Times New Roman" w:hAnsi="Times New Roman" w:cs="Times New Roman"/>
          <w:bCs/>
          <w:noProof/>
          <w:sz w:val="24"/>
          <w:szCs w:val="24"/>
        </w:rPr>
        <w:t>. London: Routledge.</w:t>
      </w:r>
    </w:p>
    <w:p w14:paraId="3726BE02"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Bertoncelj, A. (2006). </w:t>
      </w:r>
      <w:r w:rsidRPr="00BE5472">
        <w:rPr>
          <w:rFonts w:ascii="Times New Roman" w:hAnsi="Times New Roman" w:cs="Times New Roman"/>
          <w:i/>
          <w:noProof/>
          <w:sz w:val="24"/>
          <w:szCs w:val="24"/>
        </w:rPr>
        <w:t>Akvizicije</w:t>
      </w:r>
      <w:r w:rsidRPr="00BE5472">
        <w:rPr>
          <w:rFonts w:ascii="Times New Roman" w:hAnsi="Times New Roman" w:cs="Times New Roman"/>
          <w:noProof/>
          <w:sz w:val="24"/>
          <w:szCs w:val="24"/>
        </w:rPr>
        <w:t>. Zagreb: Narodne novine d.d.</w:t>
      </w:r>
    </w:p>
    <w:p w14:paraId="639FD6CF"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Berry, J. W. (1980). Social and cultural change. U: H. C. Triandis i R. W. Brislin (ur.), </w:t>
      </w:r>
      <w:r w:rsidRPr="00BE5472">
        <w:rPr>
          <w:rFonts w:ascii="Times New Roman" w:hAnsi="Times New Roman" w:cs="Times New Roman"/>
          <w:bCs/>
          <w:i/>
          <w:noProof/>
          <w:sz w:val="24"/>
          <w:szCs w:val="24"/>
        </w:rPr>
        <w:t>Handbook of cross-cultural psychology</w:t>
      </w:r>
      <w:r w:rsidRPr="00BE5472">
        <w:rPr>
          <w:rFonts w:ascii="Times New Roman" w:hAnsi="Times New Roman" w:cs="Times New Roman"/>
          <w:bCs/>
          <w:noProof/>
          <w:sz w:val="24"/>
          <w:szCs w:val="24"/>
        </w:rPr>
        <w:t>. Boston, MA: Allyn &amp; Bacon, str.. 211–279.</w:t>
      </w:r>
    </w:p>
    <w:p w14:paraId="0600C0EF"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Birkinshaw, J. M., Bresman, H. i Håkanson, L. (2000). Managing the post-acquisition integration process: How the human integration and task integration processes interact to foster value creation. </w:t>
      </w:r>
      <w:r w:rsidRPr="00BE5472">
        <w:rPr>
          <w:rFonts w:ascii="Times New Roman" w:hAnsi="Times New Roman" w:cs="Times New Roman"/>
          <w:bCs/>
          <w:i/>
          <w:noProof/>
          <w:sz w:val="24"/>
          <w:szCs w:val="24"/>
        </w:rPr>
        <w:t>Journal of Management Studies</w:t>
      </w:r>
      <w:r w:rsidRPr="00BE5472">
        <w:rPr>
          <w:rFonts w:ascii="Times New Roman" w:hAnsi="Times New Roman" w:cs="Times New Roman"/>
          <w:bCs/>
          <w:noProof/>
          <w:sz w:val="24"/>
          <w:szCs w:val="24"/>
        </w:rPr>
        <w:t>, 37, 395–425.</w:t>
      </w:r>
    </w:p>
    <w:p w14:paraId="0D6E659A" w14:textId="77777777"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Boland, R. J. (1970). Merger planning: How much weight do personnel factors carry? </w:t>
      </w:r>
      <w:r w:rsidRPr="00BE5472">
        <w:rPr>
          <w:rFonts w:ascii="Times New Roman" w:hAnsi="Times New Roman" w:cs="Times New Roman"/>
          <w:bCs/>
          <w:i/>
          <w:noProof/>
          <w:sz w:val="24"/>
          <w:szCs w:val="24"/>
        </w:rPr>
        <w:t>Personnel</w:t>
      </w:r>
      <w:r w:rsidRPr="00BE5472">
        <w:rPr>
          <w:rFonts w:ascii="Times New Roman" w:hAnsi="Times New Roman" w:cs="Times New Roman"/>
          <w:bCs/>
          <w:noProof/>
          <w:sz w:val="24"/>
          <w:szCs w:val="24"/>
        </w:rPr>
        <w:t>, 47, 8–13</w:t>
      </w:r>
    </w:p>
    <w:p w14:paraId="0CC1D84F"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Brand Finance (2023). Brand Finance Hotels 50 2023. Charts. Dostupno na: </w:t>
      </w:r>
      <w:hyperlink r:id="rId79" w:history="1">
        <w:r w:rsidRPr="00BE5472">
          <w:rPr>
            <w:rFonts w:ascii="Times New Roman" w:hAnsi="Times New Roman" w:cs="Times New Roman"/>
            <w:color w:val="0563C1" w:themeColor="hyperlink"/>
            <w:sz w:val="24"/>
            <w:szCs w:val="24"/>
            <w:u w:val="single"/>
          </w:rPr>
          <w:t>https://brandirectory.com/rankings/hotels/2023/charts</w:t>
        </w:r>
      </w:hyperlink>
      <w:r w:rsidRPr="00BE5472">
        <w:rPr>
          <w:rFonts w:ascii="Times New Roman" w:hAnsi="Times New Roman" w:cs="Times New Roman"/>
          <w:sz w:val="24"/>
          <w:szCs w:val="24"/>
        </w:rPr>
        <w:t xml:space="preserve"> Pristupljeno: 21. srpnja 2024. </w:t>
      </w:r>
    </w:p>
    <w:p w14:paraId="181B9C92" w14:textId="77777777" w:rsidR="00BD4805"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Brand Finance (2024). Brand Finance Hotels 50 2024. Suite success: Hilton continues as the world’s most valuable hotel brand as overall sector growth slows. Dostupno na:</w:t>
      </w:r>
      <w:r w:rsidRPr="00BE5472">
        <w:rPr>
          <w:rFonts w:ascii="Times New Roman" w:hAnsi="Times New Roman" w:cs="Times New Roman"/>
        </w:rPr>
        <w:t xml:space="preserve"> </w:t>
      </w:r>
      <w:hyperlink r:id="rId80" w:history="1">
        <w:r w:rsidRPr="00BE5472">
          <w:rPr>
            <w:rFonts w:ascii="Times New Roman" w:hAnsi="Times New Roman" w:cs="Times New Roman"/>
            <w:color w:val="0563C1" w:themeColor="hyperlink"/>
            <w:sz w:val="24"/>
            <w:szCs w:val="24"/>
            <w:u w:val="single"/>
          </w:rPr>
          <w:t>https://brandirectory.com/rankings/hotels/</w:t>
        </w:r>
      </w:hyperlink>
      <w:r w:rsidRPr="00BE5472">
        <w:rPr>
          <w:rFonts w:ascii="Times New Roman" w:hAnsi="Times New Roman" w:cs="Times New Roman"/>
          <w:sz w:val="24"/>
          <w:szCs w:val="24"/>
        </w:rPr>
        <w:t xml:space="preserve"> Pristupljeno: 21. srpnja 2024. </w:t>
      </w:r>
    </w:p>
    <w:p w14:paraId="130D9C58" w14:textId="3FDF79EA" w:rsidR="00A006D9" w:rsidRPr="00BE5472" w:rsidRDefault="0093320E" w:rsidP="00E84766">
      <w:pPr>
        <w:pStyle w:val="ListParagraph"/>
        <w:numPr>
          <w:ilvl w:val="0"/>
          <w:numId w:val="64"/>
        </w:numPr>
        <w:spacing w:line="360" w:lineRule="auto"/>
        <w:jc w:val="both"/>
        <w:rPr>
          <w:rFonts w:ascii="Times New Roman" w:hAnsi="Times New Roman" w:cs="Times New Roman"/>
          <w:color w:val="0563C1" w:themeColor="hyperlink"/>
          <w:sz w:val="24"/>
          <w:szCs w:val="24"/>
          <w:u w:val="single"/>
        </w:rPr>
      </w:pPr>
      <w:r w:rsidRPr="00BE5472">
        <w:rPr>
          <w:rFonts w:ascii="Times New Roman" w:hAnsi="Times New Roman" w:cs="Times New Roman"/>
          <w:sz w:val="24"/>
          <w:szCs w:val="24"/>
        </w:rPr>
        <w:t xml:space="preserve">Braun, V., &amp; Clarke, V. (2006). Using thematic analysis in psychology. Qualitative Research in Psychology, 3(2), 77–101. </w:t>
      </w:r>
      <w:hyperlink r:id="rId81" w:tgtFrame="_new" w:history="1">
        <w:r w:rsidRPr="00BE5472">
          <w:rPr>
            <w:rStyle w:val="Hyperlink"/>
            <w:rFonts w:ascii="Times New Roman" w:hAnsi="Times New Roman" w:cs="Times New Roman"/>
            <w:sz w:val="24"/>
            <w:szCs w:val="24"/>
          </w:rPr>
          <w:t>https://doi.org/10.1191/1478088706qp063oa</w:t>
        </w:r>
      </w:hyperlink>
      <w:r w:rsidR="00A006D9" w:rsidRPr="00BE5472">
        <w:rPr>
          <w:rFonts w:ascii="Times New Roman" w:hAnsi="Times New Roman" w:cs="Times New Roman"/>
          <w:sz w:val="24"/>
          <w:szCs w:val="24"/>
        </w:rPr>
        <w:t xml:space="preserve"> </w:t>
      </w:r>
    </w:p>
    <w:p w14:paraId="6C2B4EA0" w14:textId="0D8528FC" w:rsidR="00E84766" w:rsidRPr="00BE5472" w:rsidRDefault="00E84766" w:rsidP="00E84766">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Braun, V., &amp; Clarke, V. (2019).</w:t>
      </w:r>
      <w:r w:rsidRPr="00BE5472">
        <w:rPr>
          <w:rFonts w:ascii="Times New Roman" w:hAnsi="Times New Roman" w:cs="Times New Roman"/>
          <w:i/>
          <w:sz w:val="24"/>
          <w:szCs w:val="24"/>
        </w:rPr>
        <w:t xml:space="preserve"> Reflecting on reflexive thematic analysis. Qualitative Research in Sport, Exercise and Health,</w:t>
      </w:r>
      <w:r w:rsidRPr="00BE5472">
        <w:rPr>
          <w:rFonts w:ascii="Times New Roman" w:hAnsi="Times New Roman" w:cs="Times New Roman"/>
          <w:sz w:val="24"/>
          <w:szCs w:val="24"/>
        </w:rPr>
        <w:t xml:space="preserve"> 11(4), 589–597. </w:t>
      </w:r>
      <w:hyperlink r:id="rId82" w:tgtFrame="_new" w:history="1">
        <w:r w:rsidRPr="00BE5472">
          <w:rPr>
            <w:rStyle w:val="Hyperlink"/>
            <w:rFonts w:ascii="Times New Roman" w:hAnsi="Times New Roman" w:cs="Times New Roman"/>
            <w:sz w:val="24"/>
            <w:szCs w:val="24"/>
          </w:rPr>
          <w:t>https://doi.org/10.1080/2159676X.2019.1628806</w:t>
        </w:r>
      </w:hyperlink>
    </w:p>
    <w:p w14:paraId="5EF4DCF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Hruška, D., Jurčević, M. I Kovač, I. (2017). Developing of Leader’s Competences Through The process of Reflection. International OFEL Conference on Governance, Management and Entrepreneurship. Prilog sa skupa u časopisu. Tipurić, D.  i Galetić, F. (ur.). 2017. str. 44-x</w:t>
      </w:r>
    </w:p>
    <w:p w14:paraId="72CEC07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Bordean, O. N., Borza, A. I., Nistor, R. L. i Mitra, C. S. (2010). The use of Michael Porter’s generic strategies in the Romanian hotel industry. </w:t>
      </w:r>
      <w:r w:rsidRPr="00BE5472">
        <w:rPr>
          <w:rFonts w:ascii="Times New Roman" w:hAnsi="Times New Roman" w:cs="Times New Roman"/>
          <w:i/>
          <w:noProof/>
          <w:sz w:val="24"/>
          <w:szCs w:val="24"/>
        </w:rPr>
        <w:t>International Journal of Trade</w:t>
      </w:r>
      <w:r w:rsidRPr="00BE5472">
        <w:rPr>
          <w:rFonts w:ascii="Times New Roman" w:hAnsi="Times New Roman" w:cs="Times New Roman"/>
          <w:noProof/>
          <w:sz w:val="24"/>
          <w:szCs w:val="24"/>
        </w:rPr>
        <w:t xml:space="preserve">, </w:t>
      </w:r>
      <w:r w:rsidRPr="00BE5472">
        <w:rPr>
          <w:rFonts w:ascii="Times New Roman" w:hAnsi="Times New Roman" w:cs="Times New Roman"/>
          <w:i/>
          <w:noProof/>
          <w:sz w:val="24"/>
          <w:szCs w:val="24"/>
        </w:rPr>
        <w:t>Economics and Finance</w:t>
      </w:r>
      <w:r w:rsidRPr="00BE5472">
        <w:rPr>
          <w:rFonts w:ascii="Times New Roman" w:hAnsi="Times New Roman" w:cs="Times New Roman"/>
          <w:noProof/>
          <w:sz w:val="24"/>
          <w:szCs w:val="24"/>
        </w:rPr>
        <w:t>, 1(2), 173-178.</w:t>
      </w:r>
    </w:p>
    <w:p w14:paraId="00B975A3"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Brigić, M., Umihanić, B. (2015). Intrapreneurship impact on growth of production companies in Bosnia and Herzegovina. </w:t>
      </w:r>
      <w:r w:rsidRPr="00BE5472">
        <w:rPr>
          <w:rFonts w:ascii="Times New Roman" w:hAnsi="Times New Roman" w:cs="Times New Roman"/>
          <w:i/>
          <w:noProof/>
          <w:sz w:val="24"/>
          <w:szCs w:val="24"/>
        </w:rPr>
        <w:t>Ekonomski vjesnik/Ekonviews</w:t>
      </w:r>
      <w:r w:rsidRPr="00BE5472">
        <w:rPr>
          <w:rFonts w:ascii="Times New Roman" w:hAnsi="Times New Roman" w:cs="Times New Roman"/>
          <w:noProof/>
          <w:sz w:val="24"/>
          <w:szCs w:val="24"/>
        </w:rPr>
        <w:t>,  god. XXVIII, BR. 2/2015. str. 393-408.</w:t>
      </w:r>
    </w:p>
    <w:p w14:paraId="65E2A5E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Brotherton, B. (1999). Towards a definite view of the nature of hospitality and hospitality management. </w:t>
      </w:r>
      <w:r w:rsidRPr="00BE5472">
        <w:rPr>
          <w:rFonts w:ascii="Times New Roman" w:hAnsi="Times New Roman" w:cs="Times New Roman"/>
          <w:i/>
          <w:noProof/>
          <w:sz w:val="24"/>
          <w:szCs w:val="24"/>
        </w:rPr>
        <w:t>International Journal of Contemporary Hospitality Management</w:t>
      </w:r>
      <w:r w:rsidRPr="00BE5472">
        <w:rPr>
          <w:rFonts w:ascii="Times New Roman" w:hAnsi="Times New Roman" w:cs="Times New Roman"/>
          <w:noProof/>
          <w:sz w:val="24"/>
          <w:szCs w:val="24"/>
        </w:rPr>
        <w:t>, 11(4), 165-173.</w:t>
      </w:r>
    </w:p>
    <w:p w14:paraId="4302CDB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Bruner, R. F. (2004). </w:t>
      </w:r>
      <w:r w:rsidRPr="00BE5472">
        <w:rPr>
          <w:rFonts w:ascii="Times New Roman" w:hAnsi="Times New Roman" w:cs="Times New Roman"/>
          <w:i/>
          <w:noProof/>
          <w:sz w:val="24"/>
          <w:szCs w:val="24"/>
        </w:rPr>
        <w:t>Applied Mergers and Acquisitions</w:t>
      </w:r>
      <w:r w:rsidRPr="00BE5472">
        <w:rPr>
          <w:rFonts w:ascii="Times New Roman" w:hAnsi="Times New Roman" w:cs="Times New Roman"/>
          <w:noProof/>
          <w:sz w:val="24"/>
          <w:szCs w:val="24"/>
        </w:rPr>
        <w:t>. Hoboken, New Jersey: John Wiley &amp; Sons, Inc.</w:t>
      </w:r>
    </w:p>
    <w:p w14:paraId="5D9B633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Buble, M. et al. (2005). </w:t>
      </w:r>
      <w:r w:rsidRPr="00BE5472">
        <w:rPr>
          <w:rFonts w:ascii="Times New Roman" w:hAnsi="Times New Roman" w:cs="Times New Roman"/>
          <w:i/>
          <w:noProof/>
          <w:sz w:val="24"/>
          <w:szCs w:val="24"/>
        </w:rPr>
        <w:t>Strateški menadžment</w:t>
      </w:r>
      <w:r w:rsidRPr="00BE5472">
        <w:rPr>
          <w:rFonts w:ascii="Times New Roman" w:hAnsi="Times New Roman" w:cs="Times New Roman"/>
          <w:noProof/>
          <w:sz w:val="24"/>
          <w:szCs w:val="24"/>
        </w:rPr>
        <w:t>. Zagreb, Sinergija.</w:t>
      </w:r>
    </w:p>
    <w:p w14:paraId="2D3903A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Buono, A.F., Bowditch, J.L. (1989). </w:t>
      </w:r>
      <w:r w:rsidRPr="00BE5472">
        <w:rPr>
          <w:rFonts w:ascii="Times New Roman" w:hAnsi="Times New Roman" w:cs="Times New Roman"/>
          <w:bCs/>
          <w:i/>
          <w:noProof/>
          <w:sz w:val="24"/>
          <w:szCs w:val="24"/>
        </w:rPr>
        <w:t>The Human Side of Mergers and Acquisitions: Managing Collisions between People and Organizations</w:t>
      </w:r>
      <w:r w:rsidRPr="00BE5472">
        <w:rPr>
          <w:rFonts w:ascii="Times New Roman" w:hAnsi="Times New Roman" w:cs="Times New Roman"/>
          <w:bCs/>
          <w:noProof/>
          <w:sz w:val="24"/>
          <w:szCs w:val="24"/>
        </w:rPr>
        <w:t>. JosseyeBass, San Francisco.</w:t>
      </w:r>
    </w:p>
    <w:p w14:paraId="7F4CED2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Calipha,R., Tarba, S. i Broch, D. (2010). Mergers and Acquisitions: A Review of Phases, Motives and Success Factors. </w:t>
      </w:r>
      <w:r w:rsidRPr="00BE5472">
        <w:rPr>
          <w:rFonts w:ascii="Times New Roman" w:hAnsi="Times New Roman" w:cs="Times New Roman"/>
          <w:bCs/>
          <w:i/>
          <w:noProof/>
          <w:sz w:val="24"/>
          <w:szCs w:val="24"/>
        </w:rPr>
        <w:t>Advances in Mergers and Acquisitions</w:t>
      </w:r>
      <w:r w:rsidRPr="00BE5472">
        <w:rPr>
          <w:rFonts w:ascii="Times New Roman" w:hAnsi="Times New Roman" w:cs="Times New Roman"/>
          <w:bCs/>
          <w:noProof/>
          <w:sz w:val="24"/>
          <w:szCs w:val="24"/>
        </w:rPr>
        <w:t xml:space="preserve">, 9, 1 – 24. </w:t>
      </w:r>
    </w:p>
    <w:p w14:paraId="453233A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Canina, L. (2001). Good news for buyers and sellers: acquisitions in the lodging industry. </w:t>
      </w:r>
      <w:r w:rsidRPr="00BE5472">
        <w:rPr>
          <w:rFonts w:ascii="Times New Roman" w:hAnsi="Times New Roman" w:cs="Times New Roman"/>
          <w:bCs/>
          <w:i/>
          <w:noProof/>
          <w:sz w:val="24"/>
          <w:szCs w:val="24"/>
        </w:rPr>
        <w:t>Cornell Hotel Restaurant Administration Quarterly</w:t>
      </w:r>
      <w:r w:rsidRPr="00BE5472">
        <w:rPr>
          <w:rFonts w:ascii="Times New Roman" w:hAnsi="Times New Roman" w:cs="Times New Roman"/>
          <w:bCs/>
          <w:noProof/>
          <w:sz w:val="24"/>
          <w:szCs w:val="24"/>
        </w:rPr>
        <w:t xml:space="preserve">, 42(6): 47 – 54. </w:t>
      </w:r>
    </w:p>
    <w:p w14:paraId="31F462B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Canina, L. (2009). Mergers and Acquisitions. Degree of Relatedness. Note from the Editor. </w:t>
      </w:r>
      <w:r w:rsidRPr="00BE5472">
        <w:rPr>
          <w:rFonts w:ascii="Times New Roman" w:hAnsi="Times New Roman" w:cs="Times New Roman"/>
          <w:bCs/>
          <w:i/>
          <w:noProof/>
          <w:sz w:val="24"/>
          <w:szCs w:val="24"/>
        </w:rPr>
        <w:t>Cornell Hospitality Quarterly</w:t>
      </w:r>
      <w:r w:rsidRPr="00BE5472">
        <w:rPr>
          <w:rFonts w:ascii="Times New Roman" w:hAnsi="Times New Roman" w:cs="Times New Roman"/>
          <w:bCs/>
          <w:noProof/>
          <w:sz w:val="24"/>
          <w:szCs w:val="24"/>
        </w:rPr>
        <w:t>, 50(3), 278 – 280.</w:t>
      </w:r>
    </w:p>
    <w:p w14:paraId="077BC02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Canina, L. (2009). Mergers and Acquisitions. Degree of Relatedness. Note from the Editor. </w:t>
      </w:r>
      <w:r w:rsidRPr="00BE5472">
        <w:rPr>
          <w:rFonts w:ascii="Times New Roman" w:hAnsi="Times New Roman" w:cs="Times New Roman"/>
          <w:bCs/>
          <w:i/>
          <w:noProof/>
          <w:sz w:val="24"/>
          <w:szCs w:val="24"/>
        </w:rPr>
        <w:t xml:space="preserve">Cornell Hospitality Quarterly, </w:t>
      </w:r>
      <w:r w:rsidRPr="00BE5472">
        <w:rPr>
          <w:rFonts w:ascii="Times New Roman" w:hAnsi="Times New Roman" w:cs="Times New Roman"/>
          <w:bCs/>
          <w:noProof/>
          <w:sz w:val="24"/>
          <w:szCs w:val="24"/>
        </w:rPr>
        <w:t>50(3): 278 – 280.</w:t>
      </w:r>
    </w:p>
    <w:p w14:paraId="318852F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Canina, L. i Kim, J. Y. (2010). </w:t>
      </w:r>
      <w:r w:rsidRPr="00BE5472">
        <w:rPr>
          <w:rFonts w:ascii="Times New Roman" w:hAnsi="Times New Roman" w:cs="Times New Roman"/>
          <w:bCs/>
          <w:i/>
          <w:noProof/>
          <w:sz w:val="24"/>
          <w:szCs w:val="24"/>
        </w:rPr>
        <w:t>Commentary: Success and Failure of Mergers and Acquisitions</w:t>
      </w:r>
      <w:r w:rsidRPr="00BE5472">
        <w:rPr>
          <w:rFonts w:ascii="Times New Roman" w:hAnsi="Times New Roman" w:cs="Times New Roman"/>
          <w:bCs/>
          <w:noProof/>
          <w:sz w:val="24"/>
          <w:szCs w:val="24"/>
        </w:rPr>
        <w:t xml:space="preserve">. The Cornell School of Hotel Administration Handbook of Applied Hospitality Strategy. Los Angeles: SAGE, str. 655 – 671. </w:t>
      </w:r>
    </w:p>
    <w:p w14:paraId="55E2C42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noProof/>
          <w:sz w:val="24"/>
          <w:szCs w:val="24"/>
        </w:rPr>
        <w:t xml:space="preserve">Canina, L., Kim, J. Y. i Ma, Q. (2010). </w:t>
      </w:r>
      <w:r w:rsidRPr="00BE5472">
        <w:rPr>
          <w:rFonts w:ascii="Times New Roman" w:hAnsi="Times New Roman" w:cs="Times New Roman"/>
          <w:bCs/>
          <w:noProof/>
          <w:sz w:val="24"/>
          <w:szCs w:val="24"/>
        </w:rPr>
        <w:t>What We Know about M&amp;A Success: A Research Agenda for the Lodging Industry.</w:t>
      </w:r>
      <w:r w:rsidRPr="00BE5472">
        <w:rPr>
          <w:rFonts w:ascii="Times New Roman" w:hAnsi="Times New Roman" w:cs="Times New Roman"/>
          <w:noProof/>
          <w:sz w:val="24"/>
          <w:szCs w:val="24"/>
        </w:rPr>
        <w:t xml:space="preserve"> </w:t>
      </w:r>
      <w:r w:rsidRPr="00BE5472">
        <w:rPr>
          <w:rFonts w:ascii="Times New Roman" w:hAnsi="Times New Roman" w:cs="Times New Roman"/>
          <w:bCs/>
          <w:i/>
          <w:noProof/>
          <w:sz w:val="24"/>
          <w:szCs w:val="24"/>
        </w:rPr>
        <w:t>Cornell Hospitality Quarterly</w:t>
      </w:r>
      <w:r w:rsidRPr="00BE5472">
        <w:rPr>
          <w:rFonts w:ascii="Times New Roman" w:hAnsi="Times New Roman" w:cs="Times New Roman"/>
          <w:bCs/>
          <w:noProof/>
          <w:sz w:val="24"/>
          <w:szCs w:val="24"/>
        </w:rPr>
        <w:t>, 51(1): 81 – 101.</w:t>
      </w:r>
    </w:p>
    <w:p w14:paraId="778C463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Carmeli, A. i Markman, G. D. (2011). Capture, governance, and resilience: Strategy implications from the history of Rome. </w:t>
      </w:r>
      <w:r w:rsidRPr="00BE5472">
        <w:rPr>
          <w:rFonts w:ascii="Times New Roman" w:hAnsi="Times New Roman" w:cs="Times New Roman"/>
          <w:i/>
          <w:noProof/>
          <w:sz w:val="24"/>
          <w:szCs w:val="24"/>
        </w:rPr>
        <w:t>Strategic Management Journal</w:t>
      </w:r>
      <w:r w:rsidRPr="00BE5472">
        <w:rPr>
          <w:rFonts w:ascii="Times New Roman" w:hAnsi="Times New Roman" w:cs="Times New Roman"/>
          <w:noProof/>
          <w:sz w:val="24"/>
          <w:szCs w:val="24"/>
        </w:rPr>
        <w:t>, 32(3), 322–341. https://doi.org/10.1002/smj.880</w:t>
      </w:r>
    </w:p>
    <w:p w14:paraId="5B6E865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Carpenter, M. A. i Sanders, W. G. (2007). </w:t>
      </w:r>
      <w:r w:rsidRPr="00BE5472">
        <w:rPr>
          <w:rFonts w:ascii="Times New Roman" w:hAnsi="Times New Roman" w:cs="Times New Roman"/>
          <w:bCs/>
          <w:i/>
          <w:noProof/>
          <w:sz w:val="24"/>
          <w:szCs w:val="24"/>
        </w:rPr>
        <w:t>Strategic management: A dynamic perspective.</w:t>
      </w:r>
      <w:r w:rsidRPr="00BE5472">
        <w:rPr>
          <w:rFonts w:ascii="Times New Roman" w:hAnsi="Times New Roman" w:cs="Times New Roman"/>
          <w:bCs/>
          <w:noProof/>
          <w:sz w:val="24"/>
          <w:szCs w:val="24"/>
        </w:rPr>
        <w:t xml:space="preserve"> Upper Saddle River, NJ: Pearson Prentice Hall.</w:t>
      </w:r>
    </w:p>
    <w:p w14:paraId="3A24BA3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Carper, W. B. (1990). Corporate Acquisitions and Shareholder Wealth: A Review and Exploratory Analysis. </w:t>
      </w:r>
      <w:r w:rsidRPr="00BE5472">
        <w:rPr>
          <w:rFonts w:ascii="Times New Roman" w:hAnsi="Times New Roman" w:cs="Times New Roman"/>
          <w:bCs/>
          <w:i/>
          <w:noProof/>
          <w:sz w:val="24"/>
          <w:szCs w:val="24"/>
        </w:rPr>
        <w:t>Journal of Management</w:t>
      </w:r>
      <w:r w:rsidRPr="00BE5472">
        <w:rPr>
          <w:rFonts w:ascii="Times New Roman" w:hAnsi="Times New Roman" w:cs="Times New Roman"/>
          <w:bCs/>
          <w:noProof/>
          <w:sz w:val="24"/>
          <w:szCs w:val="24"/>
        </w:rPr>
        <w:t xml:space="preserve">, 16(4): 807 – 823. </w:t>
      </w:r>
    </w:p>
    <w:p w14:paraId="2E084DB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Cartwright, S. i Cooper, C. L. (1993). The role of cultural compatibility in successful organizational marriage. </w:t>
      </w:r>
      <w:r w:rsidRPr="00BE5472">
        <w:rPr>
          <w:rFonts w:ascii="Times New Roman" w:hAnsi="Times New Roman" w:cs="Times New Roman"/>
          <w:bCs/>
          <w:i/>
          <w:noProof/>
          <w:sz w:val="24"/>
          <w:szCs w:val="24"/>
        </w:rPr>
        <w:t>Academy of Management Executive,</w:t>
      </w:r>
      <w:r w:rsidRPr="00BE5472">
        <w:rPr>
          <w:rFonts w:ascii="Times New Roman" w:hAnsi="Times New Roman" w:cs="Times New Roman"/>
          <w:bCs/>
          <w:noProof/>
          <w:sz w:val="24"/>
          <w:szCs w:val="24"/>
        </w:rPr>
        <w:t xml:space="preserve"> 7(2), 57–70.</w:t>
      </w:r>
    </w:p>
    <w:p w14:paraId="0F9AEDE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Cartwright, S. i Price, F. (2003). Managerial preferences in international mergers and acquisitions: An international comparison. </w:t>
      </w:r>
      <w:r w:rsidRPr="00BE5472">
        <w:rPr>
          <w:rFonts w:ascii="Times New Roman" w:hAnsi="Times New Roman" w:cs="Times New Roman"/>
          <w:bCs/>
          <w:i/>
          <w:noProof/>
          <w:sz w:val="24"/>
          <w:szCs w:val="24"/>
        </w:rPr>
        <w:t>Advances in Mergers and Acquisitions</w:t>
      </w:r>
      <w:r w:rsidRPr="00BE5472">
        <w:rPr>
          <w:rFonts w:ascii="Times New Roman" w:hAnsi="Times New Roman" w:cs="Times New Roman"/>
          <w:bCs/>
          <w:noProof/>
          <w:sz w:val="24"/>
          <w:szCs w:val="24"/>
        </w:rPr>
        <w:t>, 2, 81–95.</w:t>
      </w:r>
    </w:p>
    <w:p w14:paraId="01EE2451" w14:textId="0648CD03" w:rsidR="007201FA" w:rsidRPr="00BE5472" w:rsidRDefault="007201FA"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Cerović, Z. (2010). </w:t>
      </w:r>
      <w:r w:rsidRPr="00BE5472">
        <w:rPr>
          <w:rFonts w:ascii="Times New Roman" w:hAnsi="Times New Roman" w:cs="Times New Roman"/>
          <w:i/>
          <w:sz w:val="24"/>
          <w:szCs w:val="24"/>
        </w:rPr>
        <w:t>Hotelski menadžment.</w:t>
      </w:r>
      <w:r w:rsidRPr="00BE5472">
        <w:rPr>
          <w:rFonts w:ascii="Times New Roman" w:hAnsi="Times New Roman" w:cs="Times New Roman"/>
          <w:sz w:val="24"/>
          <w:szCs w:val="24"/>
        </w:rPr>
        <w:t xml:space="preserve"> Opatija: Fakultet za menadžment u turizmu i ugostiteljstvu</w:t>
      </w:r>
    </w:p>
    <w:p w14:paraId="45A59122" w14:textId="65978C4C"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Chang, S. I., Chang, I. C. i Wang, T. (2014). Information systems integration after merger and acquisition. </w:t>
      </w:r>
      <w:r w:rsidRPr="00BE5472">
        <w:rPr>
          <w:rFonts w:ascii="Times New Roman" w:hAnsi="Times New Roman" w:cs="Times New Roman"/>
          <w:bCs/>
          <w:i/>
          <w:noProof/>
          <w:sz w:val="24"/>
          <w:szCs w:val="24"/>
        </w:rPr>
        <w:t>Industrial Management &amp; Data Systems,</w:t>
      </w:r>
      <w:r w:rsidRPr="00BE5472">
        <w:rPr>
          <w:rFonts w:ascii="Times New Roman" w:hAnsi="Times New Roman" w:cs="Times New Roman"/>
          <w:bCs/>
          <w:noProof/>
          <w:sz w:val="24"/>
          <w:szCs w:val="24"/>
        </w:rPr>
        <w:t xml:space="preserve"> 114(1), 37 – 52. </w:t>
      </w:r>
    </w:p>
    <w:p w14:paraId="7BBD938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Chanmugam, R., Shill, W., Mann, D., Ficery, K. i Pursche, B. (2005). The intelligent clean room: Ensuring value capture in mergers and acquisitions. </w:t>
      </w:r>
      <w:r w:rsidRPr="00BE5472">
        <w:rPr>
          <w:rFonts w:ascii="Times New Roman" w:hAnsi="Times New Roman" w:cs="Times New Roman"/>
          <w:bCs/>
          <w:i/>
          <w:noProof/>
          <w:sz w:val="24"/>
          <w:szCs w:val="24"/>
        </w:rPr>
        <w:t>Journal of Business Strategy</w:t>
      </w:r>
      <w:r w:rsidRPr="00BE5472">
        <w:rPr>
          <w:rFonts w:ascii="Times New Roman" w:hAnsi="Times New Roman" w:cs="Times New Roman"/>
          <w:bCs/>
          <w:noProof/>
          <w:sz w:val="24"/>
          <w:szCs w:val="24"/>
        </w:rPr>
        <w:t>, 26 (3): 43-49.</w:t>
      </w:r>
    </w:p>
    <w:p w14:paraId="32D080A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Charles A. B. Ariel Markelevich (2008), Earnings quality following corporate acquisitions. Managerial Finance, 34(5), 304-315.</w:t>
      </w:r>
    </w:p>
    <w:p w14:paraId="03E4308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Charman, A. (1999). </w:t>
      </w:r>
      <w:r w:rsidRPr="00BE5472">
        <w:rPr>
          <w:rFonts w:ascii="Times New Roman" w:hAnsi="Times New Roman" w:cs="Times New Roman"/>
          <w:bCs/>
          <w:i/>
          <w:noProof/>
          <w:sz w:val="24"/>
          <w:szCs w:val="24"/>
        </w:rPr>
        <w:t>Global Mergers and Acquisitions: The Human Resource Challenge.</w:t>
      </w:r>
      <w:r w:rsidRPr="00BE5472">
        <w:rPr>
          <w:rFonts w:ascii="Times New Roman" w:hAnsi="Times New Roman" w:cs="Times New Roman"/>
          <w:bCs/>
          <w:noProof/>
          <w:sz w:val="24"/>
          <w:szCs w:val="24"/>
        </w:rPr>
        <w:t xml:space="preserve"> Alexandria, VA: International Focus, Society for Human Resource Management.</w:t>
      </w:r>
    </w:p>
    <w:p w14:paraId="64277FA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Chatfield, H. K., Chatfield, R. i Dalbor, M. (2012). Returns to hospitality acquisitions by method of payment. </w:t>
      </w:r>
      <w:r w:rsidRPr="00BE5472">
        <w:rPr>
          <w:rFonts w:ascii="Times New Roman" w:hAnsi="Times New Roman" w:cs="Times New Roman"/>
          <w:bCs/>
          <w:i/>
          <w:noProof/>
          <w:sz w:val="24"/>
          <w:szCs w:val="24"/>
        </w:rPr>
        <w:t xml:space="preserve">Journal of Hospitality Financial Management, </w:t>
      </w:r>
      <w:r w:rsidRPr="00BE5472">
        <w:rPr>
          <w:rFonts w:ascii="Times New Roman" w:hAnsi="Times New Roman" w:cs="Times New Roman"/>
          <w:bCs/>
          <w:noProof/>
          <w:sz w:val="24"/>
          <w:szCs w:val="24"/>
        </w:rPr>
        <w:t xml:space="preserve">20(1): 1 – 16. </w:t>
      </w:r>
    </w:p>
    <w:p w14:paraId="26FB4CB6" w14:textId="6CF71DD6" w:rsidR="00682674" w:rsidRPr="00BE5472" w:rsidRDefault="00682674"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Chemmanur, A. i Jiwnani, L. (2024). The hospitality guest of the future. Dostupno na: </w:t>
      </w:r>
      <w:hyperlink r:id="rId83" w:history="1">
        <w:r w:rsidRPr="00BE5472">
          <w:rPr>
            <w:rFonts w:ascii="Times New Roman" w:hAnsi="Times New Roman" w:cs="Times New Roman"/>
            <w:color w:val="0563C1" w:themeColor="hyperlink"/>
            <w:sz w:val="24"/>
            <w:szCs w:val="24"/>
            <w:u w:val="single"/>
          </w:rPr>
          <w:t>https://www.deloitte.com/uk/en/Industries/consumer/blogs/the-hospitality-guest-of-the-future.html</w:t>
        </w:r>
      </w:hyperlink>
      <w:r w:rsidRPr="00BE5472">
        <w:rPr>
          <w:rFonts w:ascii="Times New Roman" w:hAnsi="Times New Roman" w:cs="Times New Roman"/>
          <w:sz w:val="24"/>
          <w:szCs w:val="24"/>
        </w:rPr>
        <w:t xml:space="preserve"> Pristupljeno: 24. srpnja 2024. </w:t>
      </w:r>
    </w:p>
    <w:p w14:paraId="5F409972" w14:textId="38A32E0B" w:rsidR="00682674" w:rsidRPr="00BE5472" w:rsidRDefault="00682674"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Chen, R. X. Y., Cheung, C. i Law, R. (2012). A review of the literature on culture in hotel management research: What is the future?</w:t>
      </w:r>
      <w:r w:rsidRPr="00BE5472">
        <w:rPr>
          <w:rFonts w:ascii="Times New Roman" w:hAnsi="Times New Roman" w:cs="Times New Roman"/>
        </w:rPr>
        <w:t xml:space="preserve"> </w:t>
      </w:r>
      <w:r w:rsidRPr="00BE5472">
        <w:rPr>
          <w:rFonts w:ascii="Times New Roman" w:hAnsi="Times New Roman" w:cs="Times New Roman"/>
          <w:i/>
          <w:sz w:val="24"/>
          <w:szCs w:val="24"/>
        </w:rPr>
        <w:t>International Journal of Hospitality Management</w:t>
      </w:r>
      <w:r w:rsidRPr="00BE5472">
        <w:rPr>
          <w:rFonts w:ascii="Times New Roman" w:hAnsi="Times New Roman" w:cs="Times New Roman"/>
          <w:sz w:val="24"/>
          <w:szCs w:val="24"/>
        </w:rPr>
        <w:t xml:space="preserve">, 31, 52 – 65. </w:t>
      </w:r>
    </w:p>
    <w:p w14:paraId="35B68C0E" w14:textId="71F81D90" w:rsidR="00061A32" w:rsidRPr="00BE5472" w:rsidRDefault="00061A32" w:rsidP="00061A32">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Constantin i sur. (</w:t>
      </w:r>
      <w:r w:rsidR="009D240E" w:rsidRPr="00BE5472">
        <w:rPr>
          <w:rFonts w:ascii="Times New Roman" w:hAnsi="Times New Roman" w:cs="Times New Roman"/>
          <w:sz w:val="24"/>
          <w:szCs w:val="24"/>
        </w:rPr>
        <w:t>2023</w:t>
      </w:r>
      <w:r w:rsidRPr="00BE5472">
        <w:rPr>
          <w:rFonts w:ascii="Times New Roman" w:hAnsi="Times New Roman" w:cs="Times New Roman"/>
          <w:sz w:val="24"/>
          <w:szCs w:val="24"/>
        </w:rPr>
        <w:t xml:space="preserve">). The hotel of the future. Dostupno na: </w:t>
      </w:r>
      <w:hyperlink r:id="rId84" w:anchor="/" w:history="1">
        <w:r w:rsidRPr="00BE5472">
          <w:rPr>
            <w:rFonts w:ascii="Times New Roman" w:hAnsi="Times New Roman" w:cs="Times New Roman"/>
            <w:color w:val="0563C1" w:themeColor="hyperlink"/>
            <w:sz w:val="24"/>
            <w:szCs w:val="24"/>
            <w:u w:val="single"/>
          </w:rPr>
          <w:t>https://www.mckinsey.com/industries/travel-logistics-and-infrastructure/our-insights/the-hotel-of-the-future#/</w:t>
        </w:r>
      </w:hyperlink>
      <w:r w:rsidRPr="00BE5472">
        <w:rPr>
          <w:rFonts w:ascii="Times New Roman" w:hAnsi="Times New Roman" w:cs="Times New Roman"/>
          <w:sz w:val="24"/>
          <w:szCs w:val="24"/>
        </w:rPr>
        <w:t xml:space="preserve"> Pristupljeno: 24. srpnja 2024. </w:t>
      </w:r>
    </w:p>
    <w:p w14:paraId="1771DB76" w14:textId="2102CF1F" w:rsidR="00AE4AFA" w:rsidRPr="00BE5472" w:rsidRDefault="00094E5E" w:rsidP="00094E5E">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Creswell, J. W., &amp; Creswell, J. D. (2018). </w:t>
      </w:r>
      <w:r w:rsidRPr="00BE5472">
        <w:rPr>
          <w:rFonts w:ascii="Times New Roman" w:hAnsi="Times New Roman" w:cs="Times New Roman"/>
          <w:i/>
          <w:sz w:val="24"/>
          <w:szCs w:val="24"/>
        </w:rPr>
        <w:t xml:space="preserve">Research design: Qualitative, quantitative, and mixed methods approaches </w:t>
      </w:r>
      <w:r w:rsidRPr="00BE5472">
        <w:rPr>
          <w:rFonts w:ascii="Times New Roman" w:hAnsi="Times New Roman" w:cs="Times New Roman"/>
          <w:sz w:val="24"/>
          <w:szCs w:val="24"/>
        </w:rPr>
        <w:t>(5. izdanje). SAGE Publications.</w:t>
      </w:r>
    </w:p>
    <w:p w14:paraId="5A5992EB" w14:textId="57A318CD"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Cruz, M. (2014). </w:t>
      </w:r>
      <w:r w:rsidRPr="00BE5472">
        <w:rPr>
          <w:rFonts w:ascii="Times New Roman" w:hAnsi="Times New Roman" w:cs="Times New Roman"/>
          <w:i/>
          <w:noProof/>
          <w:sz w:val="24"/>
          <w:szCs w:val="24"/>
        </w:rPr>
        <w:t>The Secret to Business Immortality The Impact Business Life Cycle.</w:t>
      </w:r>
      <w:r w:rsidRPr="00BE5472">
        <w:rPr>
          <w:rFonts w:ascii="Times New Roman" w:hAnsi="Times New Roman" w:cs="Times New Roman"/>
          <w:noProof/>
          <w:sz w:val="24"/>
          <w:szCs w:val="24"/>
        </w:rPr>
        <w:t xml:space="preserve"> US: Xlibris.</w:t>
      </w:r>
    </w:p>
    <w:p w14:paraId="4DD096AE" w14:textId="37B91915" w:rsidR="002A40C6" w:rsidRPr="00BE5472" w:rsidRDefault="002A40C6" w:rsidP="002A40C6">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Customer Allianze (bez dat.). A Brief History of the Hotel Industry. Dostupno na: </w:t>
      </w:r>
      <w:hyperlink r:id="rId85" w:history="1">
        <w:r w:rsidRPr="00BE5472">
          <w:rPr>
            <w:rFonts w:ascii="Times New Roman" w:hAnsi="Times New Roman" w:cs="Times New Roman"/>
            <w:color w:val="0563C1" w:themeColor="hyperlink"/>
            <w:sz w:val="24"/>
            <w:szCs w:val="24"/>
            <w:u w:val="single"/>
          </w:rPr>
          <w:t>https://www.customer-alliance.com/en/resources/article/hotel-industry/</w:t>
        </w:r>
      </w:hyperlink>
      <w:r w:rsidRPr="00BE5472">
        <w:rPr>
          <w:rFonts w:ascii="Times New Roman" w:hAnsi="Times New Roman" w:cs="Times New Roman"/>
          <w:sz w:val="24"/>
          <w:szCs w:val="24"/>
        </w:rPr>
        <w:t xml:space="preserve"> Preuzeto: 19. srpnja 2024. </w:t>
      </w:r>
    </w:p>
    <w:p w14:paraId="28F773A6" w14:textId="6A1BEF78" w:rsidR="002A40C6" w:rsidRPr="00BE5472" w:rsidRDefault="002A40C6" w:rsidP="002A40C6">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Čavlek, N. i sur. (2011). </w:t>
      </w:r>
      <w:r w:rsidRPr="00BE5472">
        <w:rPr>
          <w:rFonts w:ascii="Times New Roman" w:hAnsi="Times New Roman" w:cs="Times New Roman"/>
          <w:i/>
          <w:sz w:val="24"/>
          <w:szCs w:val="24"/>
        </w:rPr>
        <w:t>Turizam: ekonomske osnove i organizacijski sustav</w:t>
      </w:r>
      <w:r w:rsidRPr="00BE5472">
        <w:rPr>
          <w:rFonts w:ascii="Times New Roman" w:hAnsi="Times New Roman" w:cs="Times New Roman"/>
          <w:sz w:val="24"/>
          <w:szCs w:val="24"/>
        </w:rPr>
        <w:t>. Zagreb: Školska knjiga</w:t>
      </w:r>
    </w:p>
    <w:p w14:paraId="6F2C11C3" w14:textId="77777777" w:rsidR="002A40C6" w:rsidRPr="00BE5472" w:rsidRDefault="002A40C6" w:rsidP="002A40C6">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Čizmar, S. (2007). Konkurentnost hotelske industrije Hrvatske. </w:t>
      </w:r>
      <w:r w:rsidRPr="00BE5472">
        <w:rPr>
          <w:rFonts w:ascii="Times New Roman" w:hAnsi="Times New Roman" w:cs="Times New Roman"/>
          <w:i/>
          <w:sz w:val="24"/>
          <w:szCs w:val="24"/>
        </w:rPr>
        <w:t xml:space="preserve">Acta Turistica, </w:t>
      </w:r>
      <w:r w:rsidRPr="00BE5472">
        <w:rPr>
          <w:rFonts w:ascii="Times New Roman" w:hAnsi="Times New Roman" w:cs="Times New Roman"/>
          <w:sz w:val="24"/>
          <w:szCs w:val="24"/>
        </w:rPr>
        <w:t xml:space="preserve">19(2), 150 – 181. </w:t>
      </w:r>
    </w:p>
    <w:p w14:paraId="6F1E0ED6" w14:textId="455D710E" w:rsidR="002A40C6" w:rsidRPr="00BE5472" w:rsidRDefault="002A40C6" w:rsidP="002A40C6">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Črnjar, K. i Vrtodušić Hrgović, A. (2013). Znanje i kvaliteta – uvjet konkurentnosti hotelijerstva Hrvatske. </w:t>
      </w:r>
      <w:r w:rsidRPr="00BE5472">
        <w:rPr>
          <w:rFonts w:ascii="Times New Roman" w:hAnsi="Times New Roman" w:cs="Times New Roman"/>
          <w:i/>
          <w:sz w:val="24"/>
          <w:szCs w:val="24"/>
        </w:rPr>
        <w:t xml:space="preserve">Poslovna izvrsnost, </w:t>
      </w:r>
      <w:r w:rsidRPr="00BE5472">
        <w:rPr>
          <w:rFonts w:ascii="Times New Roman" w:hAnsi="Times New Roman" w:cs="Times New Roman"/>
          <w:sz w:val="24"/>
          <w:szCs w:val="24"/>
        </w:rPr>
        <w:t xml:space="preserve">7(2), 65 – 82. </w:t>
      </w:r>
    </w:p>
    <w:p w14:paraId="39662C5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Daly, J. P. (1995). Explaining changes to employees: The influence of justifications and change outcomes on employees’ fairness judgments. </w:t>
      </w:r>
      <w:r w:rsidRPr="00BE5472">
        <w:rPr>
          <w:rFonts w:ascii="Times New Roman" w:hAnsi="Times New Roman" w:cs="Times New Roman"/>
          <w:bCs/>
          <w:i/>
          <w:noProof/>
          <w:sz w:val="24"/>
          <w:szCs w:val="24"/>
        </w:rPr>
        <w:t xml:space="preserve">The Journal of Applied Behavioral Science, </w:t>
      </w:r>
      <w:r w:rsidRPr="00BE5472">
        <w:rPr>
          <w:rFonts w:ascii="Times New Roman" w:hAnsi="Times New Roman" w:cs="Times New Roman"/>
          <w:bCs/>
          <w:noProof/>
          <w:sz w:val="24"/>
          <w:szCs w:val="24"/>
        </w:rPr>
        <w:t xml:space="preserve">31(4), 415–428. </w:t>
      </w:r>
    </w:p>
    <w:p w14:paraId="1FC0FAA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lastRenderedPageBreak/>
        <w:t xml:space="preserve">Dash, A. P. (2013). </w:t>
      </w:r>
      <w:r w:rsidRPr="00BE5472">
        <w:rPr>
          <w:rFonts w:ascii="Times New Roman" w:hAnsi="Times New Roman" w:cs="Times New Roman"/>
          <w:i/>
          <w:noProof/>
          <w:sz w:val="24"/>
          <w:szCs w:val="24"/>
        </w:rPr>
        <w:t>Mergers and Acquisitions</w:t>
      </w:r>
      <w:r w:rsidRPr="00BE5472">
        <w:rPr>
          <w:rFonts w:ascii="Times New Roman" w:hAnsi="Times New Roman" w:cs="Times New Roman"/>
          <w:noProof/>
          <w:sz w:val="24"/>
          <w:szCs w:val="24"/>
        </w:rPr>
        <w:t>. New Delhi: I.K. International Publishing House Pvt. Limited.</w:t>
      </w:r>
    </w:p>
    <w:p w14:paraId="7F198B2F" w14:textId="293D1165" w:rsidR="00B849BC" w:rsidRPr="00BE5472" w:rsidRDefault="00B849BC" w:rsidP="00B849BC">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Databahn (bez dat.).  Marrito Organizational Chart Report 2024. Dostupno na:  </w:t>
      </w:r>
      <w:hyperlink r:id="rId86" w:history="1">
        <w:r w:rsidRPr="00BE5472">
          <w:rPr>
            <w:rFonts w:ascii="Times New Roman" w:hAnsi="Times New Roman" w:cs="Times New Roman"/>
            <w:color w:val="0563C1" w:themeColor="hyperlink"/>
            <w:sz w:val="24"/>
            <w:szCs w:val="24"/>
            <w:u w:val="single"/>
          </w:rPr>
          <w:t>https://www.databahn.com/pages/marriott-org-chart</w:t>
        </w:r>
      </w:hyperlink>
      <w:r w:rsidRPr="00BE5472">
        <w:rPr>
          <w:rFonts w:ascii="Times New Roman" w:hAnsi="Times New Roman" w:cs="Times New Roman"/>
          <w:sz w:val="24"/>
          <w:szCs w:val="24"/>
        </w:rPr>
        <w:t xml:space="preserve"> Pristupljeno: 4. kolovoza 2024.</w:t>
      </w:r>
    </w:p>
    <w:p w14:paraId="495D813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Denis, D. K. (2001). Twenty-five years of corporate governance research…and counting. </w:t>
      </w:r>
      <w:r w:rsidRPr="00BE5472">
        <w:rPr>
          <w:rFonts w:ascii="Times New Roman" w:hAnsi="Times New Roman" w:cs="Times New Roman"/>
          <w:bCs/>
          <w:i/>
          <w:noProof/>
          <w:sz w:val="24"/>
          <w:szCs w:val="24"/>
        </w:rPr>
        <w:t xml:space="preserve">Review of Financial Economics, </w:t>
      </w:r>
      <w:r w:rsidRPr="00BE5472">
        <w:rPr>
          <w:rFonts w:ascii="Times New Roman" w:hAnsi="Times New Roman" w:cs="Times New Roman"/>
          <w:bCs/>
          <w:noProof/>
          <w:sz w:val="24"/>
          <w:szCs w:val="24"/>
        </w:rPr>
        <w:t>10(3): 191 – 212.</w:t>
      </w:r>
    </w:p>
    <w:p w14:paraId="2333B21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De Bruin, L. (2017). Internal and External Growth Strategies, Business to you. Dostupno na https://www.business-to-you.com/internal-external-growth-strategies/ Pristupljeno: 2. ožujka 2024.</w:t>
      </w:r>
    </w:p>
    <w:p w14:paraId="750CA79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Deogun, N. I Scannell, K. (2001). Market swoon stifles M&amp;A’s red-hot start, but old economy supplies a surprise bounty. </w:t>
      </w:r>
      <w:r w:rsidRPr="00BE5472">
        <w:rPr>
          <w:rFonts w:ascii="Times New Roman" w:hAnsi="Times New Roman" w:cs="Times New Roman"/>
          <w:bCs/>
          <w:i/>
          <w:noProof/>
          <w:sz w:val="24"/>
          <w:szCs w:val="24"/>
        </w:rPr>
        <w:t>The Wall Street Journal</w:t>
      </w:r>
      <w:r w:rsidRPr="00BE5472">
        <w:rPr>
          <w:rFonts w:ascii="Times New Roman" w:hAnsi="Times New Roman" w:cs="Times New Roman"/>
          <w:bCs/>
          <w:noProof/>
          <w:sz w:val="24"/>
          <w:szCs w:val="24"/>
        </w:rPr>
        <w:t>, 2, 4.</w:t>
      </w:r>
    </w:p>
    <w:p w14:paraId="018573E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DePamphilis, D. M. (2018). </w:t>
      </w:r>
      <w:r w:rsidRPr="00BE5472">
        <w:rPr>
          <w:rFonts w:ascii="Times New Roman" w:hAnsi="Times New Roman" w:cs="Times New Roman"/>
          <w:i/>
          <w:noProof/>
          <w:sz w:val="24"/>
          <w:szCs w:val="24"/>
        </w:rPr>
        <w:t>Merger, Acquisition and Other Restructuring Activities</w:t>
      </w:r>
      <w:r w:rsidRPr="00BE5472">
        <w:rPr>
          <w:rFonts w:ascii="Times New Roman" w:hAnsi="Times New Roman" w:cs="Times New Roman"/>
          <w:noProof/>
          <w:sz w:val="24"/>
          <w:szCs w:val="24"/>
        </w:rPr>
        <w:t>. United State of  America: Elsevier Inc.</w:t>
      </w:r>
    </w:p>
    <w:p w14:paraId="77BBC25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Diaz-Bernardo R. (2011). Franchising in the Hospitality Industry:An Analysis of Three ConfrontingTheories to Explain Why Hotel ChainsFranchise Journal of Business Case Studies (JBCS),  5 (3) dostupno na: https://www.researchgate.net/publication/268385543_Franchising_And_The_Society_The_Case_Of_Franchising_In_The_Hotel_Industry - pristupljeno 6.3.2024.</w:t>
      </w:r>
    </w:p>
    <w:p w14:paraId="791CC0D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DiGeorgio, R. M. (2001). Making mergers and acquisitions work: What we know and don’t know – Part II’. </w:t>
      </w:r>
      <w:r w:rsidRPr="00BE5472">
        <w:rPr>
          <w:rFonts w:ascii="Times New Roman" w:hAnsi="Times New Roman" w:cs="Times New Roman"/>
          <w:bCs/>
          <w:i/>
          <w:noProof/>
          <w:sz w:val="24"/>
          <w:szCs w:val="24"/>
        </w:rPr>
        <w:t>Journal of Change Management,</w:t>
      </w:r>
      <w:r w:rsidRPr="00BE5472">
        <w:rPr>
          <w:rFonts w:ascii="Times New Roman" w:hAnsi="Times New Roman" w:cs="Times New Roman"/>
          <w:bCs/>
          <w:noProof/>
          <w:sz w:val="24"/>
          <w:szCs w:val="24"/>
        </w:rPr>
        <w:t xml:space="preserve"> 3(3), 259–274.</w:t>
      </w:r>
    </w:p>
    <w:p w14:paraId="5F1E763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Dogru, T. (2017). Under-vs over-investment: hotel firms’ value around acquisitions. </w:t>
      </w:r>
      <w:r w:rsidRPr="00BE5472">
        <w:rPr>
          <w:rFonts w:ascii="Times New Roman" w:hAnsi="Times New Roman" w:cs="Times New Roman"/>
          <w:bCs/>
          <w:i/>
          <w:noProof/>
          <w:sz w:val="24"/>
          <w:szCs w:val="24"/>
        </w:rPr>
        <w:t>International Journal of Contemporary Hospitality Management</w:t>
      </w:r>
      <w:r w:rsidRPr="00BE5472">
        <w:rPr>
          <w:rFonts w:ascii="Times New Roman" w:hAnsi="Times New Roman" w:cs="Times New Roman"/>
          <w:bCs/>
          <w:noProof/>
          <w:sz w:val="24"/>
          <w:szCs w:val="24"/>
        </w:rPr>
        <w:t xml:space="preserve">, 29(8): 2050 – 2069. </w:t>
      </w:r>
    </w:p>
    <w:p w14:paraId="2EAAA0F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Dogru, T., Erdogan, A. and Kizildag, M. (2018). Marriott Starwood merger: what did we learn from a financial standpoint? </w:t>
      </w:r>
      <w:r w:rsidRPr="00BE5472">
        <w:rPr>
          <w:rFonts w:ascii="Times New Roman" w:hAnsi="Times New Roman" w:cs="Times New Roman"/>
          <w:bCs/>
          <w:i/>
          <w:noProof/>
          <w:sz w:val="24"/>
          <w:szCs w:val="24"/>
        </w:rPr>
        <w:t>Journal of Hospitality and Tourism Insights</w:t>
      </w:r>
      <w:r w:rsidRPr="00BE5472">
        <w:rPr>
          <w:rFonts w:ascii="Times New Roman" w:hAnsi="Times New Roman" w:cs="Times New Roman"/>
          <w:bCs/>
          <w:noProof/>
          <w:sz w:val="24"/>
          <w:szCs w:val="24"/>
        </w:rPr>
        <w:t>, 1(2), 121 – 136.</w:t>
      </w:r>
    </w:p>
    <w:p w14:paraId="084A50C1" w14:textId="490A2894" w:rsidR="00B849BC" w:rsidRPr="00BE5472" w:rsidRDefault="00B849BC" w:rsidP="00B849BC">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Dropulić Ružić, M. (2011). Korporativno upravljanje u hotelskim poduzećima – slučaj Hrvatske. </w:t>
      </w:r>
      <w:r w:rsidRPr="00BE5472">
        <w:rPr>
          <w:rFonts w:ascii="Times New Roman" w:hAnsi="Times New Roman" w:cs="Times New Roman"/>
          <w:i/>
          <w:sz w:val="24"/>
          <w:szCs w:val="24"/>
        </w:rPr>
        <w:t xml:space="preserve">Ekonomska misao i praksa, </w:t>
      </w:r>
      <w:r w:rsidRPr="00BE5472">
        <w:rPr>
          <w:rFonts w:ascii="Times New Roman" w:hAnsi="Times New Roman" w:cs="Times New Roman"/>
          <w:sz w:val="24"/>
          <w:szCs w:val="24"/>
        </w:rPr>
        <w:t xml:space="preserve">1, 171 – 201. </w:t>
      </w:r>
    </w:p>
    <w:p w14:paraId="62EDA39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Drori, I., Wrzesniewski, A. i Ellis, S. (2011). Cultural clashes in a merger of equals: the case of high-tech start-ups. </w:t>
      </w:r>
      <w:r w:rsidRPr="00BE5472">
        <w:rPr>
          <w:rFonts w:ascii="Times New Roman" w:hAnsi="Times New Roman" w:cs="Times New Roman"/>
          <w:bCs/>
          <w:i/>
          <w:noProof/>
          <w:sz w:val="24"/>
          <w:szCs w:val="24"/>
        </w:rPr>
        <w:t>Human Resource Management</w:t>
      </w:r>
      <w:r w:rsidRPr="00BE5472">
        <w:rPr>
          <w:rFonts w:ascii="Times New Roman" w:hAnsi="Times New Roman" w:cs="Times New Roman"/>
          <w:bCs/>
          <w:noProof/>
          <w:sz w:val="24"/>
          <w:szCs w:val="24"/>
        </w:rPr>
        <w:t xml:space="preserve">, 50(5), 625 – 649. </w:t>
      </w:r>
    </w:p>
    <w:p w14:paraId="396CBB3D" w14:textId="4E9ABB79" w:rsidR="009B3339" w:rsidRPr="00BE5472" w:rsidRDefault="009B3339" w:rsidP="009B3339">
      <w:pPr>
        <w:pStyle w:val="ListParagraph"/>
        <w:numPr>
          <w:ilvl w:val="0"/>
          <w:numId w:val="64"/>
        </w:numPr>
        <w:spacing w:after="120" w:line="360" w:lineRule="auto"/>
        <w:jc w:val="both"/>
        <w:rPr>
          <w:rFonts w:ascii="Times New Roman" w:hAnsi="Times New Roman" w:cs="Times New Roman"/>
          <w:i/>
          <w:sz w:val="24"/>
          <w:szCs w:val="24"/>
        </w:rPr>
      </w:pPr>
      <w:r w:rsidRPr="00BE5472">
        <w:rPr>
          <w:rFonts w:ascii="Times New Roman" w:hAnsi="Times New Roman" w:cs="Times New Roman"/>
          <w:sz w:val="24"/>
          <w:szCs w:val="24"/>
        </w:rPr>
        <w:t xml:space="preserve">Duda, I. (2005). </w:t>
      </w:r>
      <w:r w:rsidRPr="00BE5472">
        <w:rPr>
          <w:rFonts w:ascii="Times New Roman" w:hAnsi="Times New Roman" w:cs="Times New Roman"/>
          <w:i/>
          <w:sz w:val="24"/>
          <w:szCs w:val="24"/>
        </w:rPr>
        <w:t>U potrazi za blagostanjem, O povijesti dokolice i potrošačkog društva</w:t>
      </w:r>
      <w:r w:rsidR="00FF1F5C" w:rsidRPr="00BE5472">
        <w:rPr>
          <w:rFonts w:ascii="Times New Roman" w:hAnsi="Times New Roman" w:cs="Times New Roman"/>
          <w:i/>
          <w:sz w:val="24"/>
          <w:szCs w:val="24"/>
        </w:rPr>
        <w:t xml:space="preserve"> </w:t>
      </w:r>
      <w:r w:rsidRPr="00BE5472">
        <w:rPr>
          <w:rFonts w:ascii="Times New Roman" w:hAnsi="Times New Roman" w:cs="Times New Roman"/>
          <w:i/>
          <w:sz w:val="24"/>
          <w:szCs w:val="24"/>
        </w:rPr>
        <w:t>u Hrvatskoj 1950-ih i 1960-ih</w:t>
      </w:r>
      <w:r w:rsidRPr="00BE5472">
        <w:rPr>
          <w:rFonts w:ascii="Times New Roman" w:hAnsi="Times New Roman" w:cs="Times New Roman"/>
          <w:sz w:val="24"/>
          <w:szCs w:val="24"/>
        </w:rPr>
        <w:t>. Zagreb: Srednja Europa</w:t>
      </w:r>
    </w:p>
    <w:p w14:paraId="1D5CEA80" w14:textId="1607E89E" w:rsidR="002A4867" w:rsidRPr="00BE5472" w:rsidRDefault="002A4867" w:rsidP="002A4867">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Državni zavod za statistiku (2024). Dolasci i noćenja turista u 2023. godini. TUR-2023-1-2 od 29. veljače 2024. Dostupno na: </w:t>
      </w:r>
      <w:hyperlink r:id="rId87" w:history="1">
        <w:r w:rsidRPr="00BE5472">
          <w:rPr>
            <w:rFonts w:ascii="Times New Roman" w:hAnsi="Times New Roman" w:cs="Times New Roman"/>
            <w:color w:val="0563C1" w:themeColor="hyperlink"/>
            <w:sz w:val="24"/>
            <w:szCs w:val="24"/>
            <w:u w:val="single"/>
          </w:rPr>
          <w:t>https://mint.gov.hr/UserDocsImages/2024_dokumenti/DZS_tur_promet_2023.pdf</w:t>
        </w:r>
      </w:hyperlink>
      <w:r w:rsidRPr="00BE5472">
        <w:rPr>
          <w:rFonts w:ascii="Times New Roman" w:hAnsi="Times New Roman" w:cs="Times New Roman"/>
          <w:sz w:val="24"/>
          <w:szCs w:val="24"/>
        </w:rPr>
        <w:t xml:space="preserve"> Pristupljeno: 30. srpnja 2024. </w:t>
      </w:r>
    </w:p>
    <w:p w14:paraId="51A9570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Ecobici, M.L. (2017). The Use Of Ansoff Matrix In The Field Of Busines. </w:t>
      </w:r>
      <w:r w:rsidRPr="00BE5472">
        <w:rPr>
          <w:rFonts w:ascii="Times New Roman" w:hAnsi="Times New Roman" w:cs="Times New Roman"/>
          <w:i/>
          <w:noProof/>
          <w:sz w:val="24"/>
          <w:szCs w:val="24"/>
        </w:rPr>
        <w:t>Annals of the „Constantin Brâncuşi” University of Târgu Jiu, Economy Series</w:t>
      </w:r>
      <w:r w:rsidRPr="00BE5472">
        <w:rPr>
          <w:rFonts w:ascii="Times New Roman" w:hAnsi="Times New Roman" w:cs="Times New Roman"/>
          <w:noProof/>
          <w:sz w:val="24"/>
          <w:szCs w:val="24"/>
        </w:rPr>
        <w:t>, Special Issue, II/2017</w:t>
      </w:r>
    </w:p>
    <w:p w14:paraId="11C99162" w14:textId="3378D2E6" w:rsidR="002D7014" w:rsidRPr="00BE5472" w:rsidRDefault="002D7014" w:rsidP="002D7014">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EHL Insights (2024). Top 10 Trends in the Hospitality Industry in 2024. Dostupno na: </w:t>
      </w:r>
      <w:hyperlink r:id="rId88" w:history="1">
        <w:r w:rsidRPr="00BE5472">
          <w:rPr>
            <w:rFonts w:ascii="Times New Roman" w:hAnsi="Times New Roman" w:cs="Times New Roman"/>
            <w:color w:val="0563C1" w:themeColor="hyperlink"/>
            <w:sz w:val="24"/>
            <w:szCs w:val="24"/>
            <w:u w:val="single"/>
          </w:rPr>
          <w:t>https://hospitalityinsights.ehl.edu/hospitality-industry-trends</w:t>
        </w:r>
      </w:hyperlink>
      <w:r w:rsidRPr="00BE5472">
        <w:rPr>
          <w:rFonts w:ascii="Times New Roman" w:hAnsi="Times New Roman" w:cs="Times New Roman"/>
          <w:sz w:val="24"/>
          <w:szCs w:val="24"/>
        </w:rPr>
        <w:t xml:space="preserve"> Pristupljeno: 24. srpnja 2024. </w:t>
      </w:r>
    </w:p>
    <w:p w14:paraId="687CA7D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Ellis, K.M., Reus, T.H., Lamont, B.T. and Ranft, A.L. (2011). Transfer effects in large acquisitions: how size-specific experience matters. </w:t>
      </w:r>
      <w:r w:rsidRPr="00BE5472">
        <w:rPr>
          <w:rFonts w:ascii="Times New Roman" w:hAnsi="Times New Roman" w:cs="Times New Roman"/>
          <w:bCs/>
          <w:i/>
          <w:noProof/>
          <w:sz w:val="24"/>
          <w:szCs w:val="24"/>
        </w:rPr>
        <w:t>Academy of Management Journal</w:t>
      </w:r>
      <w:r w:rsidRPr="00BE5472">
        <w:rPr>
          <w:rFonts w:ascii="Times New Roman" w:hAnsi="Times New Roman" w:cs="Times New Roman"/>
          <w:bCs/>
          <w:noProof/>
          <w:sz w:val="24"/>
          <w:szCs w:val="24"/>
        </w:rPr>
        <w:t>, 54, 1261–1276.</w:t>
      </w:r>
    </w:p>
    <w:p w14:paraId="113EFBE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Eulerich, M., Koop, R. i Fligge, B. (2022). Mergers and acquisitions research — A bibliometric analysis. </w:t>
      </w:r>
      <w:r w:rsidRPr="00BE5472">
        <w:rPr>
          <w:rFonts w:ascii="Times New Roman" w:hAnsi="Times New Roman" w:cs="Times New Roman"/>
          <w:i/>
          <w:noProof/>
          <w:sz w:val="24"/>
          <w:szCs w:val="24"/>
        </w:rPr>
        <w:t>European Management Journal</w:t>
      </w:r>
      <w:r w:rsidRPr="00BE5472">
        <w:rPr>
          <w:rFonts w:ascii="Times New Roman" w:hAnsi="Times New Roman" w:cs="Times New Roman"/>
          <w:noProof/>
          <w:sz w:val="24"/>
          <w:szCs w:val="24"/>
        </w:rPr>
        <w:t xml:space="preserve">, 40(6), 832 – 846. </w:t>
      </w:r>
    </w:p>
    <w:p w14:paraId="3853AEB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Europska komisija (2004). Control of concentrations between companies.  Br. 139/2004. Dostupno na: </w:t>
      </w:r>
      <w:hyperlink r:id="rId89" w:history="1">
        <w:r w:rsidRPr="00BE5472">
          <w:rPr>
            <w:rFonts w:ascii="Times New Roman" w:hAnsi="Times New Roman" w:cs="Times New Roman"/>
            <w:bCs/>
            <w:noProof/>
            <w:color w:val="0563C1" w:themeColor="hyperlink"/>
            <w:sz w:val="24"/>
            <w:szCs w:val="24"/>
            <w:u w:val="single"/>
          </w:rPr>
          <w:t>https://eur-lex.europa.eu/summary/EN/l26096</w:t>
        </w:r>
      </w:hyperlink>
      <w:r w:rsidRPr="00BE5472">
        <w:rPr>
          <w:rFonts w:ascii="Times New Roman" w:hAnsi="Times New Roman" w:cs="Times New Roman"/>
          <w:bCs/>
          <w:noProof/>
          <w:sz w:val="24"/>
          <w:szCs w:val="24"/>
        </w:rPr>
        <w:t xml:space="preserve"> </w:t>
      </w:r>
      <w:bookmarkStart w:id="280" w:name="_Hlk93401370"/>
      <w:r w:rsidRPr="00BE5472">
        <w:rPr>
          <w:rFonts w:ascii="Times New Roman" w:hAnsi="Times New Roman" w:cs="Times New Roman"/>
          <w:bCs/>
          <w:noProof/>
          <w:sz w:val="24"/>
          <w:szCs w:val="24"/>
        </w:rPr>
        <w:t>Pristupljeno: 17. siječnja 2022.</w:t>
      </w:r>
      <w:bookmarkEnd w:id="280"/>
    </w:p>
    <w:p w14:paraId="23A5762C" w14:textId="2619CE3B" w:rsidR="00A630F9" w:rsidRPr="00BE5472" w:rsidRDefault="00A630F9" w:rsidP="00A630F9">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Europska komisija (2023). Komunikacija komisije Europskom parlamentu, Vijeću, Europskom gospodarskom i socijalnom odboru i Odboru regija. COM(2023) 298 final od 07.06.2023. </w:t>
      </w:r>
    </w:p>
    <w:p w14:paraId="7D630A8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Evans, N. (2015). </w:t>
      </w:r>
      <w:r w:rsidRPr="00BE5472">
        <w:rPr>
          <w:rFonts w:ascii="Times New Roman" w:hAnsi="Times New Roman" w:cs="Times New Roman"/>
          <w:i/>
          <w:noProof/>
          <w:sz w:val="24"/>
          <w:szCs w:val="24"/>
        </w:rPr>
        <w:t>Strategic Management for Tourism, Hospitality and Events</w:t>
      </w:r>
      <w:r w:rsidRPr="00BE5472">
        <w:rPr>
          <w:rFonts w:ascii="Times New Roman" w:hAnsi="Times New Roman" w:cs="Times New Roman"/>
          <w:noProof/>
          <w:sz w:val="24"/>
          <w:szCs w:val="24"/>
        </w:rPr>
        <w:t>. London: Routledge.</w:t>
      </w:r>
    </w:p>
    <w:p w14:paraId="5B97F20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Fan, Z. (2020). Interantional Acquisition Strategy of Emerging Economies: A Study on Chinaese Hotel Companies. Doktorska disertacija. The Hong Kong Polytechnic University</w:t>
      </w:r>
    </w:p>
    <w:p w14:paraId="6F2BC7B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Fatih A. i Cagle, M. N. (2015). Critical Success Factors in Merger and Acquisition Strategies: Evaluation  of Turkish Market</w:t>
      </w:r>
      <w:r w:rsidRPr="00BE5472">
        <w:rPr>
          <w:rFonts w:ascii="Times New Roman" w:hAnsi="Times New Roman" w:cs="Times New Roman"/>
          <w:i/>
          <w:noProof/>
          <w:sz w:val="24"/>
          <w:szCs w:val="24"/>
        </w:rPr>
        <w:t>.  İşletme Fakültesi Dergisi</w:t>
      </w:r>
      <w:r w:rsidRPr="00BE5472">
        <w:rPr>
          <w:rFonts w:ascii="Times New Roman" w:hAnsi="Times New Roman" w:cs="Times New Roman"/>
          <w:noProof/>
          <w:sz w:val="24"/>
          <w:szCs w:val="24"/>
        </w:rPr>
        <w:t xml:space="preserve">, 16(2), 117 – 133. </w:t>
      </w:r>
    </w:p>
    <w:p w14:paraId="7D9A5A0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Fernández-Barcala, M., González-Díaz, M. i López-Bayón, S. (2022). Choosing contracts to support ALFO strategy: Insights from comparing franchised and managed hotels. </w:t>
      </w:r>
      <w:r w:rsidRPr="00BE5472">
        <w:rPr>
          <w:rFonts w:ascii="Times New Roman" w:hAnsi="Times New Roman" w:cs="Times New Roman"/>
          <w:i/>
          <w:noProof/>
          <w:sz w:val="24"/>
          <w:szCs w:val="24"/>
        </w:rPr>
        <w:t>Industrial Marketing Management</w:t>
      </w:r>
      <w:r w:rsidRPr="00BE5472">
        <w:rPr>
          <w:rFonts w:ascii="Times New Roman" w:hAnsi="Times New Roman" w:cs="Times New Roman"/>
          <w:noProof/>
          <w:sz w:val="24"/>
          <w:szCs w:val="24"/>
        </w:rPr>
        <w:t xml:space="preserve">, 105, 94 – 108. </w:t>
      </w:r>
    </w:p>
    <w:p w14:paraId="257D8E2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Ferraz Lucerna, C. (2017). Mergers and Acquisitions Performance of Hotel and Lodging Industry. Doktorska disertacija. </w:t>
      </w:r>
    </w:p>
    <w:p w14:paraId="5CC3112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Franks, J., Harris, R., &amp; Timan, S. (1991). The post-merger share-price performance of acquiring firms. </w:t>
      </w:r>
      <w:r w:rsidRPr="00BE5472">
        <w:rPr>
          <w:rFonts w:ascii="Times New Roman" w:hAnsi="Times New Roman" w:cs="Times New Roman"/>
          <w:bCs/>
          <w:i/>
          <w:noProof/>
          <w:sz w:val="24"/>
          <w:szCs w:val="24"/>
        </w:rPr>
        <w:t>Journal of Financial Economics</w:t>
      </w:r>
      <w:r w:rsidRPr="00BE5472">
        <w:rPr>
          <w:rFonts w:ascii="Times New Roman" w:hAnsi="Times New Roman" w:cs="Times New Roman"/>
          <w:bCs/>
          <w:noProof/>
          <w:sz w:val="24"/>
          <w:szCs w:val="24"/>
        </w:rPr>
        <w:t>, 29(1), 81-96.</w:t>
      </w:r>
    </w:p>
    <w:p w14:paraId="4276251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Fuertes, G. (2020). Conceptual Framework for the Strategic Management: A Literature Review—Descriptive. </w:t>
      </w:r>
      <w:r w:rsidRPr="00BE5472">
        <w:rPr>
          <w:rFonts w:ascii="Times New Roman" w:hAnsi="Times New Roman" w:cs="Times New Roman"/>
          <w:i/>
          <w:noProof/>
          <w:sz w:val="24"/>
          <w:szCs w:val="24"/>
        </w:rPr>
        <w:t>Journal of Engineering</w:t>
      </w:r>
      <w:r w:rsidRPr="00BE5472">
        <w:rPr>
          <w:rFonts w:ascii="Times New Roman" w:hAnsi="Times New Roman" w:cs="Times New Roman"/>
          <w:noProof/>
          <w:sz w:val="24"/>
          <w:szCs w:val="24"/>
        </w:rPr>
        <w:t>, 253013, 1 – 21.</w:t>
      </w:r>
    </w:p>
    <w:p w14:paraId="2D8E1ABE" w14:textId="057C9767" w:rsidR="00A630F9" w:rsidRPr="00BE5472" w:rsidRDefault="00A630F9" w:rsidP="00A630F9">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Fulir, T. (bez dat.). Što je hotelski management? Dostupno na: </w:t>
      </w:r>
      <w:hyperlink r:id="rId90" w:history="1">
        <w:r w:rsidRPr="00BE5472">
          <w:rPr>
            <w:rFonts w:ascii="Times New Roman" w:hAnsi="Times New Roman" w:cs="Times New Roman"/>
            <w:color w:val="0563C1" w:themeColor="hyperlink"/>
            <w:sz w:val="24"/>
            <w:szCs w:val="24"/>
            <w:u w:val="single"/>
          </w:rPr>
          <w:t>https://www.tihanafulir.com/sto-je-hotelski-management/</w:t>
        </w:r>
      </w:hyperlink>
      <w:r w:rsidRPr="00BE5472">
        <w:rPr>
          <w:rFonts w:ascii="Times New Roman" w:hAnsi="Times New Roman" w:cs="Times New Roman"/>
          <w:sz w:val="24"/>
          <w:szCs w:val="24"/>
        </w:rPr>
        <w:t xml:space="preserve"> Pristupljeno: 25. srpnja 2024. </w:t>
      </w:r>
    </w:p>
    <w:p w14:paraId="4978C87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Gašparović, V. (1996.) </w:t>
      </w:r>
      <w:r w:rsidRPr="00BE5472">
        <w:rPr>
          <w:rFonts w:ascii="Times New Roman" w:hAnsi="Times New Roman" w:cs="Times New Roman"/>
          <w:i/>
          <w:noProof/>
          <w:sz w:val="24"/>
          <w:szCs w:val="24"/>
        </w:rPr>
        <w:t>Teorija rasta i upravljanje rastom poduzeća</w:t>
      </w:r>
      <w:r w:rsidRPr="00BE5472">
        <w:rPr>
          <w:rFonts w:ascii="Times New Roman" w:hAnsi="Times New Roman" w:cs="Times New Roman"/>
          <w:noProof/>
          <w:sz w:val="24"/>
          <w:szCs w:val="24"/>
        </w:rPr>
        <w:t>. Zagreb. Školska knjiga</w:t>
      </w:r>
    </w:p>
    <w:p w14:paraId="39AFDF3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Gaughan, P. A., (2010.), </w:t>
      </w:r>
      <w:r w:rsidRPr="00BE5472">
        <w:rPr>
          <w:rFonts w:ascii="Times New Roman" w:hAnsi="Times New Roman" w:cs="Times New Roman"/>
          <w:i/>
          <w:noProof/>
          <w:sz w:val="24"/>
          <w:szCs w:val="24"/>
        </w:rPr>
        <w:t>Mergers, acquisitions and corporate restructurings</w:t>
      </w:r>
      <w:r w:rsidRPr="00BE5472">
        <w:rPr>
          <w:rFonts w:ascii="Times New Roman" w:hAnsi="Times New Roman" w:cs="Times New Roman"/>
          <w:noProof/>
          <w:sz w:val="24"/>
          <w:szCs w:val="24"/>
        </w:rPr>
        <w:t>. Hoboken, New Jersey: John Wiley &amp; Sons.</w:t>
      </w:r>
    </w:p>
    <w:p w14:paraId="2B13143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Gaughan, P. A. (2015). </w:t>
      </w:r>
      <w:r w:rsidRPr="00BE5472">
        <w:rPr>
          <w:rFonts w:ascii="Times New Roman" w:hAnsi="Times New Roman" w:cs="Times New Roman"/>
          <w:bCs/>
          <w:i/>
          <w:noProof/>
          <w:sz w:val="24"/>
          <w:szCs w:val="24"/>
        </w:rPr>
        <w:t>Mergers, Acquisitions and Corporate Restructuring</w:t>
      </w:r>
      <w:r w:rsidRPr="00BE5472">
        <w:rPr>
          <w:rFonts w:ascii="Times New Roman" w:hAnsi="Times New Roman" w:cs="Times New Roman"/>
          <w:bCs/>
          <w:noProof/>
          <w:sz w:val="24"/>
          <w:szCs w:val="24"/>
        </w:rPr>
        <w:t>. Šesto izdanje. New Jersey: Wiley &amp; Sons.</w:t>
      </w:r>
    </w:p>
    <w:p w14:paraId="72878D61" w14:textId="27E0893C" w:rsidR="00A3595F" w:rsidRPr="00BE5472" w:rsidRDefault="00A3595F" w:rsidP="00120B4F">
      <w:pPr>
        <w:pStyle w:val="ListParagraph"/>
        <w:numPr>
          <w:ilvl w:val="0"/>
          <w:numId w:val="64"/>
        </w:numPr>
        <w:spacing w:line="360" w:lineRule="auto"/>
        <w:rPr>
          <w:rFonts w:ascii="Times New Roman" w:hAnsi="Times New Roman" w:cs="Times New Roman"/>
        </w:rPr>
      </w:pPr>
      <w:r w:rsidRPr="00BE5472">
        <w:rPr>
          <w:rFonts w:ascii="Times New Roman" w:hAnsi="Times New Roman" w:cs="Times New Roman"/>
          <w:bCs/>
          <w:noProof/>
          <w:sz w:val="24"/>
          <w:szCs w:val="24"/>
        </w:rPr>
        <w:t>Gelman, A. i Hill, J. (2007).</w:t>
      </w:r>
      <w:r w:rsidRPr="00BE5472">
        <w:rPr>
          <w:rFonts w:ascii="Times New Roman" w:hAnsi="Times New Roman" w:cs="Times New Roman"/>
        </w:rPr>
        <w:t xml:space="preserve"> </w:t>
      </w:r>
      <w:r w:rsidRPr="00BE5472">
        <w:rPr>
          <w:rFonts w:ascii="Times New Roman" w:hAnsi="Times New Roman" w:cs="Times New Roman"/>
          <w:bCs/>
          <w:i/>
          <w:noProof/>
          <w:sz w:val="24"/>
          <w:szCs w:val="24"/>
        </w:rPr>
        <w:t>Data Analysis Using Regression and Mulitlevel/Hierarchical Models.</w:t>
      </w:r>
      <w:r w:rsidRPr="00BE5472">
        <w:rPr>
          <w:rFonts w:ascii="Times New Roman" w:hAnsi="Times New Roman" w:cs="Times New Roman"/>
        </w:rPr>
        <w:t xml:space="preserve"> </w:t>
      </w:r>
      <w:r w:rsidRPr="00BE5472">
        <w:rPr>
          <w:rFonts w:ascii="Times New Roman" w:hAnsi="Times New Roman" w:cs="Times New Roman"/>
          <w:bCs/>
          <w:noProof/>
          <w:sz w:val="24"/>
          <w:szCs w:val="24"/>
        </w:rPr>
        <w:t>Cambridge University Press.</w:t>
      </w:r>
      <w:r w:rsidRPr="00BE5472">
        <w:rPr>
          <w:rFonts w:ascii="Times New Roman" w:hAnsi="Times New Roman" w:cs="Times New Roman"/>
        </w:rPr>
        <w:t xml:space="preserve"> </w:t>
      </w:r>
    </w:p>
    <w:p w14:paraId="676FA47F" w14:textId="55282081" w:rsidR="003B5671" w:rsidRPr="00BE5472" w:rsidRDefault="003B5671" w:rsidP="003B5671">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Glion (2024). Exploring the Hotel Industry: Crucial Factors for Success. Dostupno na: </w:t>
      </w:r>
      <w:hyperlink r:id="rId91" w:history="1">
        <w:r w:rsidRPr="00BE5472">
          <w:rPr>
            <w:rFonts w:ascii="Times New Roman" w:hAnsi="Times New Roman" w:cs="Times New Roman"/>
            <w:color w:val="0563C1" w:themeColor="hyperlink"/>
            <w:sz w:val="24"/>
            <w:szCs w:val="24"/>
            <w:u w:val="single"/>
          </w:rPr>
          <w:t>https://www.glion.edu/magazine/hotel-industry-key-success-factors/</w:t>
        </w:r>
      </w:hyperlink>
      <w:r w:rsidRPr="00BE5472">
        <w:rPr>
          <w:rFonts w:ascii="Times New Roman" w:hAnsi="Times New Roman" w:cs="Times New Roman"/>
          <w:sz w:val="24"/>
          <w:szCs w:val="24"/>
        </w:rPr>
        <w:t xml:space="preserve"> Pristupljeno: 23. srpnja 2024. </w:t>
      </w:r>
    </w:p>
    <w:p w14:paraId="15FBC75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Global Data (2024). Travel and Tourism M&amp;A Deals 2023 – Top Themes – Thematic Intelligence. Dostupno na: https://www.globaldata.com/store/report/travel-and-tourism-industry-m-and-a-deals-by-theme-analysis/ Pristupljeno: 6. ožujka 2024.</w:t>
      </w:r>
    </w:p>
    <w:p w14:paraId="771B3F6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Goel, A. M. i Thakor, A. V. (2010). Do enviousceos cause merger waves". </w:t>
      </w:r>
      <w:r w:rsidRPr="00BE5472">
        <w:rPr>
          <w:rFonts w:ascii="Times New Roman" w:hAnsi="Times New Roman" w:cs="Times New Roman"/>
          <w:bCs/>
          <w:i/>
          <w:noProof/>
          <w:sz w:val="24"/>
          <w:szCs w:val="24"/>
        </w:rPr>
        <w:t>Review of Financial Studies</w:t>
      </w:r>
      <w:r w:rsidRPr="00BE5472">
        <w:rPr>
          <w:rFonts w:ascii="Times New Roman" w:hAnsi="Times New Roman" w:cs="Times New Roman"/>
          <w:bCs/>
          <w:noProof/>
          <w:sz w:val="24"/>
          <w:szCs w:val="24"/>
        </w:rPr>
        <w:t>, 23(2), 487-517.</w:t>
      </w:r>
    </w:p>
    <w:p w14:paraId="6B5B3FD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Golja, T. Kukurin, Ž. i Prevolšek, D. (2024). </w:t>
      </w:r>
      <w:r w:rsidRPr="00BE5472">
        <w:rPr>
          <w:rFonts w:ascii="Times New Roman" w:hAnsi="Times New Roman" w:cs="Times New Roman"/>
          <w:bCs/>
          <w:i/>
          <w:noProof/>
          <w:sz w:val="24"/>
          <w:szCs w:val="24"/>
        </w:rPr>
        <w:t>Razvojne strategije u hotelijerstvu</w:t>
      </w:r>
      <w:r w:rsidRPr="00BE5472">
        <w:rPr>
          <w:rFonts w:ascii="Times New Roman" w:hAnsi="Times New Roman" w:cs="Times New Roman"/>
          <w:bCs/>
          <w:noProof/>
          <w:sz w:val="24"/>
          <w:szCs w:val="24"/>
        </w:rPr>
        <w:t>. Pula: Sveučilište Jurja Dobrile u Puli.</w:t>
      </w:r>
    </w:p>
    <w:p w14:paraId="26ADA9A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Gomes, E., Angwin, D. N., Weber, Y. i Tarba, S. Y. (2013). Critical Success Factors through the Mergers and Acquisitions Process: Revealing Pre- and Post-M&amp;A Connections for Improved Performance. </w:t>
      </w:r>
      <w:r w:rsidRPr="00BE5472">
        <w:rPr>
          <w:rFonts w:ascii="Times New Roman" w:hAnsi="Times New Roman" w:cs="Times New Roman"/>
          <w:bCs/>
          <w:i/>
          <w:noProof/>
          <w:sz w:val="24"/>
          <w:szCs w:val="24"/>
        </w:rPr>
        <w:t>Thunderbird International Business Review</w:t>
      </w:r>
      <w:r w:rsidRPr="00BE5472">
        <w:rPr>
          <w:rFonts w:ascii="Times New Roman" w:hAnsi="Times New Roman" w:cs="Times New Roman"/>
          <w:bCs/>
          <w:noProof/>
          <w:sz w:val="24"/>
          <w:szCs w:val="24"/>
        </w:rPr>
        <w:t xml:space="preserve">, 55(1), 13 – 35. </w:t>
      </w:r>
    </w:p>
    <w:p w14:paraId="6F5301B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Graebner, M. E., Heimeriks, K. H., Huy, G. N. i Vaara, E. (2017). The process of post-merger integration: A review and agenda for future research’. </w:t>
      </w:r>
      <w:r w:rsidRPr="00BE5472">
        <w:rPr>
          <w:rFonts w:ascii="Times New Roman" w:hAnsi="Times New Roman" w:cs="Times New Roman"/>
          <w:bCs/>
          <w:i/>
          <w:noProof/>
          <w:sz w:val="24"/>
          <w:szCs w:val="24"/>
        </w:rPr>
        <w:t>Academy of Management Annals,</w:t>
      </w:r>
      <w:r w:rsidRPr="00BE5472">
        <w:rPr>
          <w:rFonts w:ascii="Times New Roman" w:hAnsi="Times New Roman" w:cs="Times New Roman"/>
          <w:bCs/>
          <w:noProof/>
          <w:sz w:val="24"/>
          <w:szCs w:val="24"/>
        </w:rPr>
        <w:t xml:space="preserve"> 11, 1–32.</w:t>
      </w:r>
    </w:p>
    <w:p w14:paraId="3C0AF1C4" w14:textId="02FB3993" w:rsidR="007B754F" w:rsidRPr="00BE5472" w:rsidRDefault="00A15226" w:rsidP="00A15226">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Green, R. A. (2014.) The Delphi Technique in Education Research. Sage Open, 4(2). Dostupno na: </w:t>
      </w:r>
      <w:hyperlink r:id="rId92" w:history="1">
        <w:r w:rsidRPr="00BE5472">
          <w:rPr>
            <w:rStyle w:val="Hyperlink"/>
            <w:rFonts w:ascii="Times New Roman" w:hAnsi="Times New Roman" w:cs="Times New Roman"/>
            <w:sz w:val="24"/>
            <w:szCs w:val="24"/>
          </w:rPr>
          <w:t>https://journals.sagepub.com/doi/10.1177/2158244014529773</w:t>
        </w:r>
      </w:hyperlink>
      <w:r w:rsidRPr="00BE5472">
        <w:rPr>
          <w:rFonts w:ascii="Times New Roman" w:hAnsi="Times New Roman" w:cs="Times New Roman"/>
          <w:sz w:val="24"/>
          <w:szCs w:val="24"/>
        </w:rPr>
        <w:t xml:space="preserve"> Pristupljeno: 10. veljače 2024.</w:t>
      </w:r>
    </w:p>
    <w:p w14:paraId="5E76190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Greiner, L. E. (1972). Evolution and revolution as organizations grow. </w:t>
      </w:r>
      <w:r w:rsidRPr="00BE5472">
        <w:rPr>
          <w:rFonts w:ascii="Times New Roman" w:hAnsi="Times New Roman" w:cs="Times New Roman"/>
          <w:i/>
          <w:noProof/>
          <w:sz w:val="24"/>
          <w:szCs w:val="24"/>
        </w:rPr>
        <w:t>Harvard Business Review,</w:t>
      </w:r>
      <w:r w:rsidRPr="00BE5472">
        <w:rPr>
          <w:rFonts w:ascii="Times New Roman" w:hAnsi="Times New Roman" w:cs="Times New Roman"/>
          <w:noProof/>
          <w:sz w:val="24"/>
          <w:szCs w:val="24"/>
        </w:rPr>
        <w:t xml:space="preserve"> 50(4), 37-46.</w:t>
      </w:r>
    </w:p>
    <w:p w14:paraId="61AF0DDB" w14:textId="2CAD0BDD" w:rsidR="00D449E3" w:rsidRPr="00BE5472" w:rsidRDefault="00D449E3" w:rsidP="00D449E3">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Groschl, S. i Doherty, L. (2000). Conceptualising culture. </w:t>
      </w:r>
      <w:r w:rsidRPr="00BE5472">
        <w:rPr>
          <w:rFonts w:ascii="Times New Roman" w:hAnsi="Times New Roman" w:cs="Times New Roman"/>
          <w:i/>
          <w:sz w:val="24"/>
          <w:szCs w:val="24"/>
        </w:rPr>
        <w:t>Cross Cultural Management: An International Journal,</w:t>
      </w:r>
      <w:r w:rsidRPr="00BE5472">
        <w:rPr>
          <w:rFonts w:ascii="Times New Roman" w:hAnsi="Times New Roman" w:cs="Times New Roman"/>
          <w:sz w:val="24"/>
          <w:szCs w:val="24"/>
        </w:rPr>
        <w:t xml:space="preserve"> 7 (4), 12–17.</w:t>
      </w:r>
    </w:p>
    <w:p w14:paraId="73AB277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Grzegorzek, J. (2021). Internal Growth – Evaluation. </w:t>
      </w:r>
      <w:r w:rsidRPr="00BE5472">
        <w:rPr>
          <w:rFonts w:ascii="Times New Roman" w:hAnsi="Times New Roman" w:cs="Times New Roman"/>
          <w:bCs/>
          <w:i/>
          <w:noProof/>
          <w:sz w:val="24"/>
          <w:szCs w:val="24"/>
        </w:rPr>
        <w:t>Super Business Manager</w:t>
      </w:r>
      <w:r w:rsidRPr="00BE5472">
        <w:rPr>
          <w:rFonts w:ascii="Times New Roman" w:hAnsi="Times New Roman" w:cs="Times New Roman"/>
          <w:bCs/>
          <w:noProof/>
          <w:sz w:val="24"/>
          <w:szCs w:val="24"/>
        </w:rPr>
        <w:t xml:space="preserve">.    Dostupno na </w:t>
      </w:r>
      <w:hyperlink r:id="rId93" w:history="1">
        <w:r w:rsidRPr="00BE5472">
          <w:rPr>
            <w:rFonts w:ascii="Times New Roman" w:hAnsi="Times New Roman" w:cs="Times New Roman"/>
            <w:bCs/>
            <w:noProof/>
            <w:color w:val="0563C1" w:themeColor="hyperlink"/>
            <w:sz w:val="24"/>
            <w:szCs w:val="24"/>
            <w:u w:val="single"/>
          </w:rPr>
          <w:t>https://www.superbusinessmanager.com/internal-growth-evaluation/</w:t>
        </w:r>
      </w:hyperlink>
      <w:r w:rsidRPr="00BE5472">
        <w:rPr>
          <w:rFonts w:ascii="Times New Roman" w:hAnsi="Times New Roman" w:cs="Times New Roman"/>
          <w:bCs/>
          <w:noProof/>
          <w:sz w:val="24"/>
          <w:szCs w:val="24"/>
        </w:rPr>
        <w:t xml:space="preserve"> Pristupljeno: 2. ožujka 2024. </w:t>
      </w:r>
    </w:p>
    <w:p w14:paraId="0814E43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Haddad, S. (2018). Mergers &amp; Acquisitions in Hospitality: Stick or Twist? EHL Insights. Dostupno na: </w:t>
      </w:r>
      <w:hyperlink r:id="rId94" w:history="1">
        <w:r w:rsidRPr="00BE5472">
          <w:rPr>
            <w:rFonts w:ascii="Times New Roman" w:hAnsi="Times New Roman" w:cs="Times New Roman"/>
            <w:bCs/>
            <w:noProof/>
            <w:color w:val="0563C1" w:themeColor="hyperlink"/>
            <w:sz w:val="24"/>
            <w:szCs w:val="24"/>
            <w:u w:val="single"/>
          </w:rPr>
          <w:t>https://hospitalityinsights.ehl.edu/hospitality-mergers-acquisition-trends</w:t>
        </w:r>
      </w:hyperlink>
      <w:r w:rsidRPr="00BE5472">
        <w:rPr>
          <w:rFonts w:ascii="Times New Roman" w:hAnsi="Times New Roman" w:cs="Times New Roman"/>
          <w:bCs/>
          <w:noProof/>
          <w:sz w:val="24"/>
          <w:szCs w:val="24"/>
        </w:rPr>
        <w:t xml:space="preserve">  Pristupljeno: 6. ožujka 2023. </w:t>
      </w:r>
    </w:p>
    <w:p w14:paraId="24847EA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Hadrović Zekić, B. i Lukić, K.. (2015). Analiza modela slabljenja poslovanja kroz modele životnog ciklusa poduzeća: pregled literature.   FINIZ 2015 - Međunarodna naučna konferencija Univerziteta Singidunum Upravljanje finansijama u savremenim uslovima poslovanja / Stanišić, Milovan ; Petrović, Zoran ; Vićentijević, Kosana ; Barjakatarović, Lidija ; Stanišić, Nemanja - Beograd : Univerzitet Singidunum, Beograd, str.130-136 Dostupno na: </w:t>
      </w:r>
      <w:hyperlink r:id="rId95" w:history="1">
        <w:r w:rsidRPr="00BE5472">
          <w:rPr>
            <w:rFonts w:ascii="Times New Roman" w:hAnsi="Times New Roman" w:cs="Times New Roman"/>
            <w:bCs/>
            <w:noProof/>
            <w:color w:val="0563C1" w:themeColor="hyperlink"/>
            <w:sz w:val="24"/>
            <w:szCs w:val="24"/>
            <w:u w:val="single"/>
          </w:rPr>
          <w:t>https://www.academia.edu/48635266/Analiza_Modela_Slabljenja_Poslovanja_Kroz_Modele_%C5%BDivotnog_Ciklusa_Poduze%C4%87a_Pregled_Literature</w:t>
        </w:r>
      </w:hyperlink>
      <w:r w:rsidRPr="00BE5472">
        <w:rPr>
          <w:rFonts w:ascii="Times New Roman" w:hAnsi="Times New Roman" w:cs="Times New Roman"/>
          <w:bCs/>
          <w:noProof/>
          <w:sz w:val="24"/>
          <w:szCs w:val="24"/>
        </w:rPr>
        <w:t>. Pristupljeno 22. ožujka 2024.</w:t>
      </w:r>
    </w:p>
    <w:p w14:paraId="09FCAB7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Haleblian J., Devers C.E., McNamara G., Carpenter M.A. i Davison R.B. (2009) Taking Stock of What We Know About Mergers and Acquisitions: A Review and Research Agenda. </w:t>
      </w:r>
      <w:r w:rsidRPr="00BE5472">
        <w:rPr>
          <w:rFonts w:ascii="Times New Roman" w:hAnsi="Times New Roman" w:cs="Times New Roman"/>
          <w:bCs/>
          <w:i/>
          <w:iCs/>
          <w:noProof/>
          <w:sz w:val="24"/>
          <w:szCs w:val="24"/>
        </w:rPr>
        <w:t>Journal of Management</w:t>
      </w:r>
      <w:r w:rsidRPr="00BE5472">
        <w:rPr>
          <w:rFonts w:ascii="Times New Roman" w:hAnsi="Times New Roman" w:cs="Times New Roman"/>
          <w:bCs/>
          <w:noProof/>
          <w:sz w:val="24"/>
          <w:szCs w:val="24"/>
        </w:rPr>
        <w:t>, 35(3):469-502.</w:t>
      </w:r>
    </w:p>
    <w:p w14:paraId="3D4B787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Hambrick, D. C. I Cannella, A. A. (1993). Relative standing: A framework for understanding departures of acquired executives. </w:t>
      </w:r>
      <w:r w:rsidRPr="00BE5472">
        <w:rPr>
          <w:rFonts w:ascii="Times New Roman" w:hAnsi="Times New Roman" w:cs="Times New Roman"/>
          <w:bCs/>
          <w:i/>
          <w:noProof/>
          <w:sz w:val="24"/>
          <w:szCs w:val="24"/>
        </w:rPr>
        <w:t>Academy of Management Journal</w:t>
      </w:r>
      <w:r w:rsidRPr="00BE5472">
        <w:rPr>
          <w:rFonts w:ascii="Times New Roman" w:hAnsi="Times New Roman" w:cs="Times New Roman"/>
          <w:bCs/>
          <w:noProof/>
          <w:sz w:val="24"/>
          <w:szCs w:val="24"/>
        </w:rPr>
        <w:t>, 36, 733–62.</w:t>
      </w:r>
    </w:p>
    <w:p w14:paraId="1358F42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Harford, J. (2005). What drives merger waves? </w:t>
      </w:r>
      <w:r w:rsidRPr="00BE5472">
        <w:rPr>
          <w:rFonts w:ascii="Times New Roman" w:hAnsi="Times New Roman" w:cs="Times New Roman"/>
          <w:i/>
          <w:noProof/>
          <w:sz w:val="24"/>
          <w:szCs w:val="24"/>
        </w:rPr>
        <w:t>Journal of Financial Economics</w:t>
      </w:r>
      <w:r w:rsidRPr="00BE5472">
        <w:rPr>
          <w:rFonts w:ascii="Times New Roman" w:hAnsi="Times New Roman" w:cs="Times New Roman"/>
          <w:noProof/>
          <w:sz w:val="24"/>
          <w:szCs w:val="24"/>
        </w:rPr>
        <w:t xml:space="preserve">, 77 (3), 529-560. </w:t>
      </w:r>
    </w:p>
    <w:p w14:paraId="569A3E6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lastRenderedPageBreak/>
        <w:t xml:space="preserve">Harrison, J. S. i Enz, C. A. (2005). </w:t>
      </w:r>
      <w:r w:rsidRPr="00BE5472">
        <w:rPr>
          <w:rFonts w:ascii="Times New Roman" w:hAnsi="Times New Roman" w:cs="Times New Roman"/>
          <w:i/>
          <w:noProof/>
          <w:sz w:val="24"/>
          <w:szCs w:val="24"/>
        </w:rPr>
        <w:t>Hospitality strategic management – concepts and cases.</w:t>
      </w:r>
      <w:r w:rsidRPr="00BE5472">
        <w:rPr>
          <w:rFonts w:ascii="Times New Roman" w:hAnsi="Times New Roman" w:cs="Times New Roman"/>
          <w:noProof/>
          <w:sz w:val="24"/>
          <w:szCs w:val="24"/>
        </w:rPr>
        <w:t xml:space="preserve"> NJ: John Wiley and Sons.</w:t>
      </w:r>
    </w:p>
    <w:p w14:paraId="7657BF0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Havila, V. i Salmi, A. (2000). Spread of change in business networks: an empirical study of mergers and acquisitions in the graphic industry. </w:t>
      </w:r>
      <w:r w:rsidRPr="00BE5472">
        <w:rPr>
          <w:rFonts w:ascii="Times New Roman" w:hAnsi="Times New Roman" w:cs="Times New Roman"/>
          <w:i/>
          <w:noProof/>
          <w:sz w:val="24"/>
          <w:szCs w:val="24"/>
        </w:rPr>
        <w:t>Journal of Strategic Marketing</w:t>
      </w:r>
      <w:r w:rsidRPr="00BE5472">
        <w:rPr>
          <w:rFonts w:ascii="Times New Roman" w:hAnsi="Times New Roman" w:cs="Times New Roman"/>
          <w:noProof/>
          <w:sz w:val="24"/>
          <w:szCs w:val="24"/>
        </w:rPr>
        <w:t>, 8(2), 105-119.</w:t>
      </w:r>
    </w:p>
    <w:p w14:paraId="1F48DE7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Henry, A. E. (2021). </w:t>
      </w:r>
      <w:r w:rsidRPr="00BE5472">
        <w:rPr>
          <w:rFonts w:ascii="Times New Roman" w:hAnsi="Times New Roman" w:cs="Times New Roman"/>
          <w:i/>
          <w:noProof/>
          <w:sz w:val="24"/>
          <w:szCs w:val="24"/>
        </w:rPr>
        <w:t>Understanding Strategic Management</w:t>
      </w:r>
      <w:r w:rsidRPr="00BE5472">
        <w:rPr>
          <w:rFonts w:ascii="Times New Roman" w:hAnsi="Times New Roman" w:cs="Times New Roman"/>
          <w:noProof/>
          <w:sz w:val="24"/>
          <w:szCs w:val="24"/>
        </w:rPr>
        <w:t xml:space="preserve">. Četvrto izdanje. Oxford: Oxford University Press. </w:t>
      </w:r>
    </w:p>
    <w:p w14:paraId="141F334B" w14:textId="0174726F" w:rsidR="00D449E3" w:rsidRPr="00BE5472" w:rsidRDefault="00D449E3" w:rsidP="00D449E3">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Hilton (bez dat.). Our Stories. Dostupno na: </w:t>
      </w:r>
      <w:hyperlink r:id="rId96" w:history="1">
        <w:r w:rsidRPr="00BE5472">
          <w:rPr>
            <w:rFonts w:ascii="Times New Roman" w:hAnsi="Times New Roman" w:cs="Times New Roman"/>
            <w:color w:val="0563C1" w:themeColor="hyperlink"/>
            <w:sz w:val="24"/>
            <w:szCs w:val="24"/>
            <w:u w:val="single"/>
          </w:rPr>
          <w:t>https://stories.hilton.com/emea/brands</w:t>
        </w:r>
      </w:hyperlink>
      <w:r w:rsidRPr="00BE5472">
        <w:rPr>
          <w:rFonts w:ascii="Times New Roman" w:hAnsi="Times New Roman" w:cs="Times New Roman"/>
          <w:sz w:val="24"/>
          <w:szCs w:val="24"/>
        </w:rPr>
        <w:t xml:space="preserve"> Pristupljeno: 4. kolovoza 2024.</w:t>
      </w:r>
    </w:p>
    <w:p w14:paraId="6722843B" w14:textId="7F19FC6D" w:rsidR="00D449E3" w:rsidRPr="00BE5472" w:rsidRDefault="00D449E3" w:rsidP="00D449E3">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Hollander, J. (2024). What is Hotel Management? Dostupno na: </w:t>
      </w:r>
      <w:hyperlink r:id="rId97" w:history="1">
        <w:r w:rsidRPr="00BE5472">
          <w:rPr>
            <w:rFonts w:ascii="Times New Roman" w:hAnsi="Times New Roman" w:cs="Times New Roman"/>
            <w:color w:val="0563C1" w:themeColor="hyperlink"/>
            <w:sz w:val="24"/>
            <w:szCs w:val="24"/>
            <w:u w:val="single"/>
          </w:rPr>
          <w:t>https://hoteltechreport.com/news/hotel-management</w:t>
        </w:r>
      </w:hyperlink>
      <w:r w:rsidRPr="00BE5472">
        <w:rPr>
          <w:rFonts w:ascii="Times New Roman" w:hAnsi="Times New Roman" w:cs="Times New Roman"/>
          <w:sz w:val="24"/>
          <w:szCs w:val="24"/>
        </w:rPr>
        <w:t xml:space="preserve"> Pristupljeno: 25. srpnja 2024. </w:t>
      </w:r>
    </w:p>
    <w:p w14:paraId="498C44F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Horvat Đ., Perkov, D. I., Trojak N. (2012). </w:t>
      </w:r>
      <w:r w:rsidRPr="00BE5472">
        <w:rPr>
          <w:rFonts w:ascii="Times New Roman" w:hAnsi="Times New Roman" w:cs="Times New Roman"/>
          <w:i/>
          <w:noProof/>
          <w:sz w:val="24"/>
          <w:szCs w:val="24"/>
        </w:rPr>
        <w:t>Strategijsko upravljanje i konkurentnost u novoj ekonomiji.</w:t>
      </w:r>
      <w:r w:rsidRPr="00BE5472">
        <w:rPr>
          <w:rFonts w:ascii="Times New Roman" w:hAnsi="Times New Roman" w:cs="Times New Roman"/>
          <w:noProof/>
          <w:sz w:val="24"/>
          <w:szCs w:val="24"/>
        </w:rPr>
        <w:t xml:space="preserve"> Zagreb: Edukator.</w:t>
      </w:r>
    </w:p>
    <w:p w14:paraId="7719A1C9" w14:textId="198EFD91" w:rsidR="00705937" w:rsidRPr="00BE5472" w:rsidRDefault="00705937" w:rsidP="00705937">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Hotelijer (bez dat.). Povijest hotelijerstva. Dostupno na: </w:t>
      </w:r>
      <w:hyperlink r:id="rId98" w:history="1">
        <w:r w:rsidRPr="00BE5472">
          <w:rPr>
            <w:rFonts w:ascii="Times New Roman" w:hAnsi="Times New Roman" w:cs="Times New Roman"/>
            <w:color w:val="0563C1" w:themeColor="hyperlink"/>
            <w:sz w:val="24"/>
            <w:szCs w:val="24"/>
            <w:u w:val="single"/>
          </w:rPr>
          <w:t>https://hotelijer.wordpress.com/povijest-hotelijerstva/</w:t>
        </w:r>
      </w:hyperlink>
      <w:r w:rsidRPr="00BE5472">
        <w:rPr>
          <w:rFonts w:ascii="Times New Roman" w:hAnsi="Times New Roman" w:cs="Times New Roman"/>
          <w:sz w:val="24"/>
          <w:szCs w:val="24"/>
        </w:rPr>
        <w:t xml:space="preserve"> Pristupljeno: 4. kolovoza 2024. </w:t>
      </w:r>
    </w:p>
    <w:p w14:paraId="253F871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Hruška, D., Omazić, A. i Vrdoljak Raguž, I. (2015). (Re)Constructing Leader's Identity - Cornerstones of Successful Organizational Change. U: Tipurić, D., Vrdoljak Raguž, I. i Daraboš, M. (ur.). </w:t>
      </w:r>
      <w:r w:rsidRPr="00BE5472">
        <w:rPr>
          <w:rFonts w:ascii="Times New Roman" w:hAnsi="Times New Roman" w:cs="Times New Roman"/>
          <w:bCs/>
          <w:i/>
          <w:noProof/>
          <w:sz w:val="24"/>
          <w:szCs w:val="24"/>
        </w:rPr>
        <w:t>Dynamics of Organizational Change - Beyond Identity and Reputation.</w:t>
      </w:r>
      <w:r w:rsidRPr="00BE5472">
        <w:rPr>
          <w:rFonts w:ascii="Times New Roman" w:hAnsi="Times New Roman" w:cs="Times New Roman"/>
          <w:bCs/>
          <w:noProof/>
          <w:sz w:val="24"/>
          <w:szCs w:val="24"/>
        </w:rPr>
        <w:t xml:space="preserve"> Harlow: Pearson Education., str. 86-100</w:t>
      </w:r>
    </w:p>
    <w:p w14:paraId="5276D128" w14:textId="5E879927" w:rsidR="00306972" w:rsidRPr="00BE5472" w:rsidRDefault="00306972" w:rsidP="00306972">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Hrvatska enciklopedija, mrežno izdanje. Leksikografski zavod Miroslav Krleža, 2013. – 2024. Pristupljeno 17.7.2024. &lt;https://www.enciklopedija.hr/clanak/ugostiteljstvo&gt;.</w:t>
      </w:r>
    </w:p>
    <w:p w14:paraId="12016990" w14:textId="77777777"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Hrvatska narodna banka (2024). Prihodi od turizma u 2023. veći za 11,4%. Dostupno na:  </w:t>
      </w:r>
      <w:hyperlink r:id="rId99" w:history="1">
        <w:r w:rsidRPr="00BE5472">
          <w:rPr>
            <w:rFonts w:ascii="Times New Roman" w:hAnsi="Times New Roman" w:cs="Times New Roman"/>
            <w:color w:val="0563C1" w:themeColor="hyperlink"/>
            <w:sz w:val="24"/>
            <w:szCs w:val="24"/>
            <w:u w:val="single"/>
          </w:rPr>
          <w:t>https://www.hnb.hr/-/prihodi-od-turizma-u-2023-veci-za-11-4-posto</w:t>
        </w:r>
      </w:hyperlink>
      <w:r w:rsidRPr="00BE5472">
        <w:rPr>
          <w:rFonts w:ascii="Times New Roman" w:hAnsi="Times New Roman" w:cs="Times New Roman"/>
          <w:sz w:val="24"/>
          <w:szCs w:val="24"/>
        </w:rPr>
        <w:t xml:space="preserve"> Prestupljeno: 30. srpnja 2024. </w:t>
      </w:r>
    </w:p>
    <w:p w14:paraId="4BDDAB4C" w14:textId="4C8D1EA1"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Hrvatska turistička zajednica (2024). </w:t>
      </w:r>
      <w:r w:rsidRPr="00BE5472">
        <w:rPr>
          <w:rFonts w:ascii="Times New Roman" w:hAnsi="Times New Roman" w:cs="Times New Roman"/>
          <w:i/>
          <w:sz w:val="24"/>
          <w:szCs w:val="24"/>
        </w:rPr>
        <w:t>Rezultati hrvatskog turizma u razdoblju 2019. – 2023</w:t>
      </w:r>
      <w:r w:rsidRPr="00BE5472">
        <w:rPr>
          <w:rFonts w:ascii="Times New Roman" w:hAnsi="Times New Roman" w:cs="Times New Roman"/>
          <w:sz w:val="24"/>
          <w:szCs w:val="24"/>
        </w:rPr>
        <w:t>. Zagreb: Hrvatska turistička zajednica</w:t>
      </w:r>
    </w:p>
    <w:p w14:paraId="6F4DEAE3" w14:textId="069657F8" w:rsidR="00705937" w:rsidRPr="00BE5472" w:rsidRDefault="006E052A" w:rsidP="00705937">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Hsu, L. T. i Jang, S. (2007). The Postmerger Financial Performance of Hotel Companies. </w:t>
      </w:r>
      <w:r w:rsidRPr="00BE5472">
        <w:rPr>
          <w:rFonts w:ascii="Times New Roman" w:hAnsi="Times New Roman" w:cs="Times New Roman"/>
          <w:bCs/>
          <w:i/>
          <w:noProof/>
          <w:sz w:val="24"/>
          <w:szCs w:val="24"/>
        </w:rPr>
        <w:t xml:space="preserve">Journal of Hospitality and Tourism Research, </w:t>
      </w:r>
      <w:r w:rsidRPr="00BE5472">
        <w:rPr>
          <w:rFonts w:ascii="Times New Roman" w:hAnsi="Times New Roman" w:cs="Times New Roman"/>
          <w:bCs/>
          <w:noProof/>
          <w:sz w:val="24"/>
          <w:szCs w:val="24"/>
        </w:rPr>
        <w:t>31(4): 471 – 485.</w:t>
      </w:r>
    </w:p>
    <w:p w14:paraId="47478EB2" w14:textId="38F32F4B"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IHG Hotels &amp; Resorts (bez dat.). 9 hotel brands. 6,000+ destinations. One loyalty program. Dostupno na: </w:t>
      </w:r>
      <w:hyperlink r:id="rId100" w:history="1">
        <w:r w:rsidRPr="00BE5472">
          <w:rPr>
            <w:rFonts w:ascii="Times New Roman" w:hAnsi="Times New Roman" w:cs="Times New Roman"/>
            <w:color w:val="0563C1" w:themeColor="hyperlink"/>
            <w:sz w:val="24"/>
            <w:szCs w:val="24"/>
            <w:u w:val="single"/>
          </w:rPr>
          <w:t>https://www.ihg.com/content/us/en/about/brands</w:t>
        </w:r>
      </w:hyperlink>
      <w:r w:rsidRPr="00BE5472">
        <w:rPr>
          <w:rFonts w:ascii="Times New Roman" w:hAnsi="Times New Roman" w:cs="Times New Roman"/>
          <w:sz w:val="24"/>
          <w:szCs w:val="24"/>
        </w:rPr>
        <w:t xml:space="preserve"> Pristupljeno: 5. kolovoza 2024. </w:t>
      </w:r>
    </w:p>
    <w:p w14:paraId="56B51E3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Isaković, S., (2015). </w:t>
      </w:r>
      <w:r w:rsidRPr="00BE5472">
        <w:rPr>
          <w:rFonts w:ascii="Times New Roman" w:hAnsi="Times New Roman" w:cs="Times New Roman"/>
          <w:i/>
          <w:noProof/>
          <w:sz w:val="24"/>
          <w:szCs w:val="24"/>
        </w:rPr>
        <w:t>Menadžment malih i srednjih preduzeća</w:t>
      </w:r>
      <w:r w:rsidRPr="00BE5472">
        <w:rPr>
          <w:rFonts w:ascii="Times New Roman" w:hAnsi="Times New Roman" w:cs="Times New Roman"/>
          <w:noProof/>
          <w:sz w:val="24"/>
          <w:szCs w:val="24"/>
        </w:rPr>
        <w:t>. Zenica: Ekonomski fakultet Univerziteta u Zenici.</w:t>
      </w:r>
    </w:p>
    <w:p w14:paraId="3EFA6FB7" w14:textId="1A662373"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Ivanović, S. (2012). </w:t>
      </w:r>
      <w:r w:rsidRPr="00BE5472">
        <w:rPr>
          <w:rFonts w:ascii="Times New Roman" w:hAnsi="Times New Roman" w:cs="Times New Roman"/>
          <w:i/>
          <w:sz w:val="24"/>
          <w:szCs w:val="24"/>
        </w:rPr>
        <w:t>Ekonomika ugostiteljstva</w:t>
      </w:r>
      <w:r w:rsidRPr="00BE5472">
        <w:rPr>
          <w:rFonts w:ascii="Times New Roman" w:hAnsi="Times New Roman" w:cs="Times New Roman"/>
          <w:sz w:val="24"/>
          <w:szCs w:val="24"/>
        </w:rPr>
        <w:t>. Opatija: Fakultet za menadžment u turizmu i ugostiteljstvu</w:t>
      </w:r>
    </w:p>
    <w:p w14:paraId="3C0EB613" w14:textId="20387EB3"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Jackson, E. (2018). </w:t>
      </w:r>
      <w:r w:rsidRPr="00BE5472">
        <w:rPr>
          <w:rFonts w:ascii="Times New Roman" w:hAnsi="Times New Roman" w:cs="Times New Roman"/>
          <w:i/>
          <w:sz w:val="24"/>
          <w:szCs w:val="24"/>
        </w:rPr>
        <w:t>Hotel Management</w:t>
      </w:r>
      <w:r w:rsidRPr="00BE5472">
        <w:rPr>
          <w:rFonts w:ascii="Times New Roman" w:hAnsi="Times New Roman" w:cs="Times New Roman"/>
          <w:sz w:val="24"/>
          <w:szCs w:val="24"/>
        </w:rPr>
        <w:t>. New York: Larsen &amp; Keller</w:t>
      </w:r>
    </w:p>
    <w:p w14:paraId="2AB4F6F9" w14:textId="6CD69F93"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Jadhav, A. (2023). From Inn to App: A Tale of Hotels' Evolution in the 21st Century. Dostupno na: </w:t>
      </w:r>
      <w:hyperlink r:id="rId101" w:history="1">
        <w:r w:rsidRPr="00BE5472">
          <w:rPr>
            <w:rFonts w:ascii="Times New Roman" w:hAnsi="Times New Roman" w:cs="Times New Roman"/>
            <w:color w:val="0563C1" w:themeColor="hyperlink"/>
            <w:sz w:val="24"/>
            <w:szCs w:val="24"/>
            <w:u w:val="single"/>
          </w:rPr>
          <w:t>https://www.linkedin.com/pulse/from-inn-app-tale-hotels-evolution-21st-century-abhishek-jadhav</w:t>
        </w:r>
      </w:hyperlink>
      <w:r w:rsidRPr="00BE5472">
        <w:rPr>
          <w:rFonts w:ascii="Times New Roman" w:hAnsi="Times New Roman" w:cs="Times New Roman"/>
          <w:sz w:val="24"/>
          <w:szCs w:val="24"/>
        </w:rPr>
        <w:t xml:space="preserve"> Pristupljeno: 4. kolovoza 2023. </w:t>
      </w:r>
    </w:p>
    <w:p w14:paraId="7D54CBE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Jensen, M. C. i Meckling, W. H. (1976). Theory of the firm: managerial behavior, agency costs and ownership structure. </w:t>
      </w:r>
      <w:r w:rsidRPr="00BE5472">
        <w:rPr>
          <w:rFonts w:ascii="Times New Roman" w:hAnsi="Times New Roman" w:cs="Times New Roman"/>
          <w:bCs/>
          <w:i/>
          <w:noProof/>
          <w:sz w:val="24"/>
          <w:szCs w:val="24"/>
        </w:rPr>
        <w:t>Journal of Financial Economics</w:t>
      </w:r>
      <w:r w:rsidRPr="00BE5472">
        <w:rPr>
          <w:rFonts w:ascii="Times New Roman" w:hAnsi="Times New Roman" w:cs="Times New Roman"/>
          <w:bCs/>
          <w:noProof/>
          <w:sz w:val="24"/>
          <w:szCs w:val="24"/>
        </w:rPr>
        <w:t>, 3(4): 305 – 360.</w:t>
      </w:r>
    </w:p>
    <w:p w14:paraId="391FC91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Jin, J. (2023). Determinants of Successful Mergers and Acquisitions. </w:t>
      </w:r>
      <w:r w:rsidRPr="00BE5472">
        <w:rPr>
          <w:rFonts w:ascii="Times New Roman" w:hAnsi="Times New Roman" w:cs="Times New Roman"/>
          <w:bCs/>
          <w:i/>
          <w:noProof/>
          <w:sz w:val="24"/>
          <w:szCs w:val="24"/>
        </w:rPr>
        <w:t>BCP Business &amp; Management FMEME</w:t>
      </w:r>
      <w:r w:rsidRPr="00BE5472">
        <w:rPr>
          <w:rFonts w:ascii="Times New Roman" w:hAnsi="Times New Roman" w:cs="Times New Roman"/>
          <w:bCs/>
          <w:noProof/>
          <w:sz w:val="24"/>
          <w:szCs w:val="24"/>
        </w:rPr>
        <w:t>. 46,  203-208.</w:t>
      </w:r>
    </w:p>
    <w:p w14:paraId="1372659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Jirásek, M. i Bílek, J. (2018). The Organizational Life Cycle: Review and Future Agenda. </w:t>
      </w:r>
      <w:r w:rsidRPr="00BE5472">
        <w:rPr>
          <w:rFonts w:ascii="Times New Roman" w:hAnsi="Times New Roman" w:cs="Times New Roman"/>
          <w:i/>
          <w:noProof/>
          <w:sz w:val="24"/>
          <w:szCs w:val="24"/>
        </w:rPr>
        <w:t>Quality innovation prosperity / Kvalita inovácia prosperita</w:t>
      </w:r>
      <w:r w:rsidRPr="00BE5472">
        <w:rPr>
          <w:rFonts w:ascii="Times New Roman" w:hAnsi="Times New Roman" w:cs="Times New Roman"/>
          <w:noProof/>
          <w:sz w:val="24"/>
          <w:szCs w:val="24"/>
        </w:rPr>
        <w:t xml:space="preserve">, 22(3), 1 – 18. </w:t>
      </w:r>
    </w:p>
    <w:p w14:paraId="5C381543" w14:textId="2C28E82C"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Jones, P. (1999). Operational issues and trends in the hospitality industry. </w:t>
      </w:r>
      <w:r w:rsidRPr="00BE5472">
        <w:rPr>
          <w:rFonts w:ascii="Times New Roman" w:hAnsi="Times New Roman" w:cs="Times New Roman"/>
          <w:i/>
          <w:sz w:val="24"/>
          <w:szCs w:val="24"/>
        </w:rPr>
        <w:t>International Journal of Hospitality Management</w:t>
      </w:r>
      <w:r w:rsidRPr="00BE5472">
        <w:rPr>
          <w:rFonts w:ascii="Times New Roman" w:hAnsi="Times New Roman" w:cs="Times New Roman"/>
          <w:sz w:val="24"/>
          <w:szCs w:val="24"/>
        </w:rPr>
        <w:t>, 18 (4), 427–442.</w:t>
      </w:r>
    </w:p>
    <w:p w14:paraId="26AF99A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Jovanovic, B. i Rousseau, P. (2002). The Q-theory of mergers. </w:t>
      </w:r>
      <w:r w:rsidRPr="00BE5472">
        <w:rPr>
          <w:rFonts w:ascii="Times New Roman" w:hAnsi="Times New Roman" w:cs="Times New Roman"/>
          <w:i/>
          <w:noProof/>
          <w:sz w:val="24"/>
          <w:szCs w:val="24"/>
        </w:rPr>
        <w:t>American Economic Review</w:t>
      </w:r>
      <w:r w:rsidRPr="00BE5472">
        <w:rPr>
          <w:rFonts w:ascii="Times New Roman" w:hAnsi="Times New Roman" w:cs="Times New Roman"/>
          <w:noProof/>
          <w:sz w:val="24"/>
          <w:szCs w:val="24"/>
        </w:rPr>
        <w:t xml:space="preserve">, 92(2), 198 – 204. </w:t>
      </w:r>
    </w:p>
    <w:p w14:paraId="3CC91B6C" w14:textId="4351326F" w:rsidR="00D51198" w:rsidRPr="00BE5472" w:rsidRDefault="004F01EA" w:rsidP="004F01EA">
      <w:pPr>
        <w:pStyle w:val="ListParagraph"/>
        <w:numPr>
          <w:ilvl w:val="0"/>
          <w:numId w:val="64"/>
        </w:numPr>
        <w:spacing w:line="360" w:lineRule="auto"/>
        <w:jc w:val="both"/>
        <w:rPr>
          <w:rFonts w:ascii="Times New Roman" w:hAnsi="Times New Roman" w:cs="Times New Roman"/>
          <w:b/>
          <w:bCs/>
          <w:sz w:val="24"/>
          <w:szCs w:val="24"/>
          <w:lang w:val="en-US"/>
        </w:rPr>
      </w:pPr>
      <w:r w:rsidRPr="00BE5472">
        <w:rPr>
          <w:rFonts w:ascii="Times New Roman" w:hAnsi="Times New Roman" w:cs="Times New Roman"/>
          <w:sz w:val="24"/>
          <w:szCs w:val="24"/>
        </w:rPr>
        <w:t xml:space="preserve">Jung, S. (2013). </w:t>
      </w:r>
      <w:r w:rsidRPr="00BE5472">
        <w:rPr>
          <w:rFonts w:ascii="Times New Roman" w:hAnsi="Times New Roman" w:cs="Times New Roman"/>
          <w:bCs/>
          <w:sz w:val="24"/>
          <w:szCs w:val="24"/>
          <w:lang w:val="en-US"/>
        </w:rPr>
        <w:t xml:space="preserve">Exploratory factor analysis with small sample sizes: A comparison of three approaches. </w:t>
      </w:r>
      <w:r w:rsidRPr="00BE5472">
        <w:rPr>
          <w:rFonts w:ascii="Times New Roman" w:hAnsi="Times New Roman" w:cs="Times New Roman"/>
          <w:bCs/>
          <w:i/>
          <w:sz w:val="24"/>
          <w:szCs w:val="24"/>
          <w:lang w:val="en-US"/>
        </w:rPr>
        <w:t>Behavioural Processes</w:t>
      </w:r>
      <w:r w:rsidRPr="00BE5472">
        <w:rPr>
          <w:rFonts w:ascii="Times New Roman" w:hAnsi="Times New Roman" w:cs="Times New Roman"/>
          <w:bCs/>
          <w:sz w:val="24"/>
          <w:szCs w:val="24"/>
          <w:lang w:val="en-US"/>
        </w:rPr>
        <w:t>,</w:t>
      </w:r>
      <w:r w:rsidRPr="00BE5472">
        <w:rPr>
          <w:rFonts w:ascii="Times New Roman" w:hAnsi="Times New Roman" w:cs="Times New Roman"/>
          <w:b/>
          <w:bCs/>
          <w:sz w:val="24"/>
          <w:szCs w:val="24"/>
          <w:lang w:val="en-US"/>
        </w:rPr>
        <w:t xml:space="preserve"> </w:t>
      </w:r>
      <w:r w:rsidRPr="00BE5472">
        <w:rPr>
          <w:rFonts w:ascii="Times New Roman" w:hAnsi="Times New Roman" w:cs="Times New Roman"/>
          <w:bCs/>
          <w:sz w:val="24"/>
          <w:szCs w:val="24"/>
          <w:lang w:val="en-US"/>
        </w:rPr>
        <w:t>97, 90 – 95.</w:t>
      </w:r>
    </w:p>
    <w:p w14:paraId="39A6B96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Juričić Bukarica, A. (2013). Na bubnju šest državnih turističkih tvrtki: Zapušteni hoteli na obali traže vlasnike. </w:t>
      </w:r>
      <w:r w:rsidRPr="00BE5472">
        <w:rPr>
          <w:rFonts w:ascii="Times New Roman" w:hAnsi="Times New Roman" w:cs="Times New Roman"/>
          <w:i/>
          <w:noProof/>
          <w:sz w:val="24"/>
          <w:szCs w:val="24"/>
        </w:rPr>
        <w:t>Novi list</w:t>
      </w:r>
      <w:r w:rsidRPr="00BE5472">
        <w:rPr>
          <w:rFonts w:ascii="Times New Roman" w:hAnsi="Times New Roman" w:cs="Times New Roman"/>
          <w:noProof/>
          <w:sz w:val="24"/>
          <w:szCs w:val="24"/>
        </w:rPr>
        <w:t>, 26.08.2014.</w:t>
      </w:r>
    </w:p>
    <w:p w14:paraId="4C2318B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Kadlec, Ž. (2013). Strateški menadžment vs. strateško planiranje. </w:t>
      </w:r>
      <w:r w:rsidRPr="00BE5472">
        <w:rPr>
          <w:rFonts w:ascii="Times New Roman" w:hAnsi="Times New Roman" w:cs="Times New Roman"/>
          <w:i/>
          <w:noProof/>
          <w:sz w:val="24"/>
          <w:szCs w:val="24"/>
        </w:rPr>
        <w:t>Zbornik radova Međimurskog veleučilišta u Čakovcu</w:t>
      </w:r>
      <w:r w:rsidRPr="00BE5472">
        <w:rPr>
          <w:rFonts w:ascii="Times New Roman" w:hAnsi="Times New Roman" w:cs="Times New Roman"/>
          <w:noProof/>
          <w:sz w:val="24"/>
          <w:szCs w:val="24"/>
        </w:rPr>
        <w:t xml:space="preserve">, 4 (1), 4956-0. </w:t>
      </w:r>
    </w:p>
    <w:p w14:paraId="79788AE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Kaehler, B., Grundei J. (2019). </w:t>
      </w:r>
      <w:r w:rsidRPr="00BE5472">
        <w:rPr>
          <w:rFonts w:ascii="Times New Roman" w:hAnsi="Times New Roman" w:cs="Times New Roman"/>
          <w:i/>
          <w:noProof/>
          <w:sz w:val="24"/>
          <w:szCs w:val="24"/>
        </w:rPr>
        <w:t>HR Governance A Theoretical Introduction</w:t>
      </w:r>
      <w:r w:rsidRPr="00BE5472">
        <w:rPr>
          <w:rFonts w:ascii="Times New Roman" w:hAnsi="Times New Roman" w:cs="Times New Roman"/>
          <w:noProof/>
          <w:sz w:val="24"/>
          <w:szCs w:val="24"/>
        </w:rPr>
        <w:t xml:space="preserve">.Springer, dostupno </w:t>
      </w:r>
      <w:r w:rsidRPr="00BE5472">
        <w:rPr>
          <w:rFonts w:ascii="Times New Roman" w:hAnsi="Times New Roman" w:cs="Times New Roman"/>
          <w:noProof/>
          <w:sz w:val="24"/>
          <w:szCs w:val="24"/>
        </w:rPr>
        <w:lastRenderedPageBreak/>
        <w:t>na:https://www.researchgate.net/publication/326209797_The_Concept_of_Management_In_Search_of_a_New_Definition#fullTextFileContent  Pristupljeno 14.prosinca 2023.</w:t>
      </w:r>
    </w:p>
    <w:p w14:paraId="16E45FD9" w14:textId="5AB024D8" w:rsidR="00426BED" w:rsidRPr="00BE5472" w:rsidRDefault="00426BED" w:rsidP="00426BED">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Kainthola, P. V. (2009). </w:t>
      </w:r>
      <w:r w:rsidRPr="00BE5472">
        <w:rPr>
          <w:rFonts w:ascii="Times New Roman" w:hAnsi="Times New Roman" w:cs="Times New Roman"/>
          <w:i/>
          <w:sz w:val="24"/>
          <w:szCs w:val="24"/>
        </w:rPr>
        <w:t>Principles of Hotel Management</w:t>
      </w:r>
      <w:r w:rsidRPr="00BE5472">
        <w:rPr>
          <w:rFonts w:ascii="Times New Roman" w:hAnsi="Times New Roman" w:cs="Times New Roman"/>
          <w:sz w:val="24"/>
          <w:szCs w:val="24"/>
        </w:rPr>
        <w:t>. India: Global Media</w:t>
      </w:r>
    </w:p>
    <w:p w14:paraId="2074EED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Kamthe, M. i Verma, D. S. (2013). Product Life Cycle And Marketing Management Strategies. </w:t>
      </w:r>
      <w:r w:rsidRPr="00BE5472">
        <w:rPr>
          <w:rFonts w:ascii="Times New Roman" w:hAnsi="Times New Roman" w:cs="Times New Roman"/>
          <w:i/>
          <w:noProof/>
          <w:sz w:val="24"/>
          <w:szCs w:val="24"/>
        </w:rPr>
        <w:t>International Journal of Engineering Research &amp; Technology</w:t>
      </w:r>
      <w:r w:rsidRPr="00BE5472">
        <w:rPr>
          <w:rFonts w:ascii="Times New Roman" w:hAnsi="Times New Roman" w:cs="Times New Roman"/>
          <w:noProof/>
          <w:sz w:val="24"/>
          <w:szCs w:val="24"/>
        </w:rPr>
        <w:t>, 2(4), 2035 – 2042.</w:t>
      </w:r>
    </w:p>
    <w:p w14:paraId="49F34427" w14:textId="1ACC9893" w:rsidR="0074272F" w:rsidRPr="00BE5472" w:rsidRDefault="0074272F" w:rsidP="0074272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Kandampully, J, Mok, C. i Sparks, B. (2009). </w:t>
      </w:r>
      <w:r w:rsidRPr="00BE5472">
        <w:rPr>
          <w:rFonts w:ascii="Times New Roman" w:hAnsi="Times New Roman" w:cs="Times New Roman"/>
          <w:i/>
          <w:sz w:val="24"/>
          <w:szCs w:val="24"/>
        </w:rPr>
        <w:t>Service Quality Management in Hospitality, Tourism and Leisure</w:t>
      </w:r>
      <w:r w:rsidRPr="00BE5472">
        <w:rPr>
          <w:rFonts w:ascii="Times New Roman" w:hAnsi="Times New Roman" w:cs="Times New Roman"/>
          <w:sz w:val="24"/>
          <w:szCs w:val="24"/>
        </w:rPr>
        <w:t>. New York i London: Routledge.</w:t>
      </w:r>
    </w:p>
    <w:p w14:paraId="40FBC04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Kandžija, V. i  Ivandić, N. (1996). Ugovori o hotelskom menadžmentu i franšizi. </w:t>
      </w:r>
      <w:r w:rsidRPr="00BE5472">
        <w:rPr>
          <w:rFonts w:ascii="Times New Roman" w:hAnsi="Times New Roman" w:cs="Times New Roman"/>
          <w:i/>
          <w:noProof/>
          <w:sz w:val="24"/>
          <w:szCs w:val="24"/>
        </w:rPr>
        <w:t>Tourism Hospitality Management</w:t>
      </w:r>
      <w:r w:rsidRPr="00BE5472">
        <w:rPr>
          <w:rFonts w:ascii="Times New Roman" w:hAnsi="Times New Roman" w:cs="Times New Roman"/>
          <w:noProof/>
          <w:sz w:val="24"/>
          <w:szCs w:val="24"/>
        </w:rPr>
        <w:t>, 2(1),149-156.</w:t>
      </w:r>
    </w:p>
    <w:p w14:paraId="150CBF5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Karp, T. (2006). Transforming organisations for organic growth: The DNA of change leadership. </w:t>
      </w:r>
      <w:r w:rsidRPr="00BE5472">
        <w:rPr>
          <w:rFonts w:ascii="Times New Roman" w:hAnsi="Times New Roman" w:cs="Times New Roman"/>
          <w:i/>
          <w:noProof/>
          <w:sz w:val="24"/>
          <w:szCs w:val="24"/>
        </w:rPr>
        <w:t>Journal of Change Management</w:t>
      </w:r>
      <w:r w:rsidRPr="00BE5472">
        <w:rPr>
          <w:rFonts w:ascii="Times New Roman" w:hAnsi="Times New Roman" w:cs="Times New Roman"/>
          <w:noProof/>
          <w:sz w:val="24"/>
          <w:szCs w:val="24"/>
        </w:rPr>
        <w:t>, 6(1), 3 – 20.</w:t>
      </w:r>
    </w:p>
    <w:p w14:paraId="251501A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Kenny, G. (2020). Don’t Make This Common M&amp;A Mistake. </w:t>
      </w:r>
      <w:r w:rsidRPr="00BE5472">
        <w:rPr>
          <w:rFonts w:ascii="Times New Roman" w:hAnsi="Times New Roman" w:cs="Times New Roman"/>
          <w:bCs/>
          <w:i/>
          <w:noProof/>
          <w:sz w:val="24"/>
          <w:szCs w:val="24"/>
        </w:rPr>
        <w:t>Harvard Business Review.</w:t>
      </w:r>
      <w:r w:rsidRPr="00BE5472">
        <w:rPr>
          <w:rFonts w:ascii="Times New Roman" w:hAnsi="Times New Roman" w:cs="Times New Roman"/>
          <w:bCs/>
          <w:noProof/>
          <w:sz w:val="24"/>
          <w:szCs w:val="24"/>
        </w:rPr>
        <w:t xml:space="preserve"> Dostupno na: </w:t>
      </w:r>
      <w:hyperlink r:id="rId102" w:history="1">
        <w:r w:rsidRPr="00BE5472">
          <w:rPr>
            <w:rFonts w:ascii="Times New Roman" w:hAnsi="Times New Roman" w:cs="Times New Roman"/>
            <w:bCs/>
            <w:noProof/>
            <w:color w:val="0563C1" w:themeColor="hyperlink"/>
            <w:sz w:val="24"/>
            <w:szCs w:val="24"/>
            <w:u w:val="single"/>
          </w:rPr>
          <w:t>https://hbr.org/2020/03/dont-make-this-common-ma-mistake</w:t>
        </w:r>
      </w:hyperlink>
      <w:r w:rsidRPr="00BE5472">
        <w:rPr>
          <w:rFonts w:ascii="Times New Roman" w:hAnsi="Times New Roman" w:cs="Times New Roman"/>
          <w:bCs/>
          <w:noProof/>
          <w:sz w:val="24"/>
          <w:szCs w:val="24"/>
        </w:rPr>
        <w:t xml:space="preserve">  Pristupljeno: 2. ožujka 2024. </w:t>
      </w:r>
    </w:p>
    <w:p w14:paraId="31ED8BC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Kim, J. Y. i Finkelstein, S. (2009). The effects of strategic and market complementarity on acquisition performance: evidence from US commercial banking industry, 1989 – 2001. </w:t>
      </w:r>
      <w:r w:rsidRPr="00BE5472">
        <w:rPr>
          <w:rFonts w:ascii="Times New Roman" w:hAnsi="Times New Roman" w:cs="Times New Roman"/>
          <w:bCs/>
          <w:i/>
          <w:noProof/>
          <w:sz w:val="24"/>
          <w:szCs w:val="24"/>
        </w:rPr>
        <w:t xml:space="preserve">Strategic Management Journal, </w:t>
      </w:r>
      <w:r w:rsidRPr="00BE5472">
        <w:rPr>
          <w:rFonts w:ascii="Times New Roman" w:hAnsi="Times New Roman" w:cs="Times New Roman"/>
          <w:bCs/>
          <w:noProof/>
          <w:sz w:val="24"/>
          <w:szCs w:val="24"/>
        </w:rPr>
        <w:t xml:space="preserve">30(6): 617 – 646.  </w:t>
      </w:r>
    </w:p>
    <w:p w14:paraId="01194EC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Kim, J.-Y. i Canina, L. (2013). Acquisition Premiums and Performance Improvements for Acquirers and Targets in the Lodging Industry. </w:t>
      </w:r>
      <w:r w:rsidRPr="00BE5472">
        <w:rPr>
          <w:rFonts w:ascii="Times New Roman" w:hAnsi="Times New Roman" w:cs="Times New Roman"/>
          <w:bCs/>
          <w:i/>
          <w:noProof/>
          <w:sz w:val="24"/>
          <w:szCs w:val="24"/>
        </w:rPr>
        <w:t>Cornell Hospitality Quarterly</w:t>
      </w:r>
      <w:r w:rsidRPr="00BE5472">
        <w:rPr>
          <w:rFonts w:ascii="Times New Roman" w:hAnsi="Times New Roman" w:cs="Times New Roman"/>
          <w:bCs/>
          <w:noProof/>
          <w:sz w:val="24"/>
          <w:szCs w:val="24"/>
        </w:rPr>
        <w:t>, 54(4) 416–425.</w:t>
      </w:r>
    </w:p>
    <w:p w14:paraId="42EF11B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Kim, K. H. i Olsen, M. D.  (1999a). Determinants of successful acquisition processes in the US lodging industry. </w:t>
      </w:r>
      <w:r w:rsidRPr="00BE5472">
        <w:rPr>
          <w:rFonts w:ascii="Times New Roman" w:hAnsi="Times New Roman" w:cs="Times New Roman"/>
          <w:bCs/>
          <w:i/>
          <w:noProof/>
          <w:sz w:val="24"/>
          <w:szCs w:val="24"/>
        </w:rPr>
        <w:t xml:space="preserve">International Journal of Hospitality Management, </w:t>
      </w:r>
      <w:r w:rsidRPr="00BE5472">
        <w:rPr>
          <w:rFonts w:ascii="Times New Roman" w:hAnsi="Times New Roman" w:cs="Times New Roman"/>
          <w:bCs/>
          <w:noProof/>
          <w:sz w:val="24"/>
          <w:szCs w:val="24"/>
        </w:rPr>
        <w:t>18(3): 285 – 307.</w:t>
      </w:r>
    </w:p>
    <w:p w14:paraId="6886630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Kim, K. H. i Olsen, M. D.  (1999b).</w:t>
      </w:r>
      <w:r w:rsidRPr="00BE5472">
        <w:rPr>
          <w:rFonts w:ascii="Times New Roman" w:hAnsi="Times New Roman" w:cs="Times New Roman"/>
          <w:noProof/>
          <w:sz w:val="24"/>
          <w:szCs w:val="24"/>
        </w:rPr>
        <w:t xml:space="preserve"> </w:t>
      </w:r>
      <w:r w:rsidRPr="00BE5472">
        <w:rPr>
          <w:rFonts w:ascii="Times New Roman" w:hAnsi="Times New Roman" w:cs="Times New Roman"/>
          <w:bCs/>
          <w:noProof/>
          <w:sz w:val="24"/>
          <w:szCs w:val="24"/>
        </w:rPr>
        <w:t xml:space="preserve">Managing the Corporate Acquisition Process for Success. </w:t>
      </w:r>
      <w:r w:rsidRPr="00BE5472">
        <w:rPr>
          <w:rFonts w:ascii="Times New Roman" w:hAnsi="Times New Roman" w:cs="Times New Roman"/>
          <w:bCs/>
          <w:i/>
          <w:noProof/>
          <w:sz w:val="24"/>
          <w:szCs w:val="24"/>
        </w:rPr>
        <w:t xml:space="preserve">The Journal of Hospitality Financial Management, </w:t>
      </w:r>
      <w:r w:rsidRPr="00BE5472">
        <w:rPr>
          <w:rFonts w:ascii="Times New Roman" w:hAnsi="Times New Roman" w:cs="Times New Roman"/>
          <w:bCs/>
          <w:noProof/>
          <w:sz w:val="24"/>
          <w:szCs w:val="24"/>
        </w:rPr>
        <w:t>7(1): 19 – 34.</w:t>
      </w:r>
    </w:p>
    <w:p w14:paraId="069203E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bookmarkStart w:id="281" w:name="_Hlk171681200"/>
      <w:r w:rsidRPr="00BE5472">
        <w:rPr>
          <w:rFonts w:ascii="Times New Roman" w:hAnsi="Times New Roman" w:cs="Times New Roman"/>
          <w:bCs/>
          <w:noProof/>
          <w:sz w:val="24"/>
          <w:szCs w:val="24"/>
        </w:rPr>
        <w:t>Kim, J., Zheng, T. i Arendt, S. W. (2019). Identification of Merger and Acquisition Waves and Their Macroeconomic Determinants in the Hospitality Industry</w:t>
      </w:r>
      <w:r w:rsidRPr="00BE5472">
        <w:rPr>
          <w:rFonts w:ascii="Times New Roman" w:hAnsi="Times New Roman" w:cs="Times New Roman"/>
          <w:bCs/>
          <w:i/>
          <w:noProof/>
          <w:sz w:val="24"/>
          <w:szCs w:val="24"/>
        </w:rPr>
        <w:t xml:space="preserve">. Journal of Hospitality &amp; Tourism Research, </w:t>
      </w:r>
      <w:r w:rsidRPr="00BE5472">
        <w:rPr>
          <w:rFonts w:ascii="Times New Roman" w:hAnsi="Times New Roman" w:cs="Times New Roman"/>
          <w:bCs/>
          <w:noProof/>
          <w:sz w:val="24"/>
          <w:szCs w:val="24"/>
        </w:rPr>
        <w:t xml:space="preserve">43(2), 249 – 271. </w:t>
      </w:r>
    </w:p>
    <w:bookmarkEnd w:id="281"/>
    <w:p w14:paraId="2AAC47C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King, D. R., Bauer,F. i Schriber, S. (2019). </w:t>
      </w:r>
      <w:r w:rsidRPr="00BE5472">
        <w:rPr>
          <w:rFonts w:ascii="Times New Roman" w:hAnsi="Times New Roman" w:cs="Times New Roman"/>
          <w:i/>
          <w:noProof/>
          <w:sz w:val="24"/>
          <w:szCs w:val="24"/>
        </w:rPr>
        <w:t xml:space="preserve">Mergers  and  Acquisitions. A Research Overview. </w:t>
      </w:r>
      <w:r w:rsidRPr="00BE5472">
        <w:rPr>
          <w:rFonts w:ascii="Times New Roman" w:hAnsi="Times New Roman" w:cs="Times New Roman"/>
          <w:noProof/>
          <w:sz w:val="24"/>
          <w:szCs w:val="24"/>
        </w:rPr>
        <w:t>London i New York: Routledge.</w:t>
      </w:r>
    </w:p>
    <w:p w14:paraId="3514E241" w14:textId="564F8AB7" w:rsidR="0074272F" w:rsidRPr="00BE5472" w:rsidRDefault="0074272F" w:rsidP="0074272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Kirillova, K., Gilmetdinova, A. i Lehto, X. (2014). Interpretation of hospitality across religions.</w:t>
      </w:r>
      <w:r w:rsidRPr="00BE5472">
        <w:rPr>
          <w:rFonts w:ascii="Times New Roman" w:hAnsi="Times New Roman" w:cs="Times New Roman"/>
        </w:rPr>
        <w:t xml:space="preserve"> </w:t>
      </w:r>
      <w:r w:rsidRPr="00BE5472">
        <w:rPr>
          <w:rFonts w:ascii="Times New Roman" w:hAnsi="Times New Roman" w:cs="Times New Roman"/>
          <w:i/>
          <w:sz w:val="24"/>
          <w:szCs w:val="24"/>
        </w:rPr>
        <w:t>International Journal of Hospitality Management</w:t>
      </w:r>
      <w:r w:rsidRPr="00BE5472">
        <w:rPr>
          <w:rFonts w:ascii="Times New Roman" w:hAnsi="Times New Roman" w:cs="Times New Roman"/>
          <w:sz w:val="24"/>
          <w:szCs w:val="24"/>
        </w:rPr>
        <w:t xml:space="preserve">, 43, 23 – 34. </w:t>
      </w:r>
    </w:p>
    <w:p w14:paraId="2E4B549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Kotler, P. (2000). </w:t>
      </w:r>
      <w:r w:rsidRPr="00BE5472">
        <w:rPr>
          <w:rFonts w:ascii="Times New Roman" w:hAnsi="Times New Roman" w:cs="Times New Roman"/>
          <w:bCs/>
          <w:i/>
          <w:noProof/>
          <w:sz w:val="24"/>
          <w:szCs w:val="24"/>
        </w:rPr>
        <w:t>Marketing Management</w:t>
      </w:r>
      <w:r w:rsidRPr="00BE5472">
        <w:rPr>
          <w:rFonts w:ascii="Times New Roman" w:hAnsi="Times New Roman" w:cs="Times New Roman"/>
          <w:bCs/>
          <w:noProof/>
          <w:sz w:val="24"/>
          <w:szCs w:val="24"/>
        </w:rPr>
        <w:t>. 11. izdanje. UK: Pearson Education.</w:t>
      </w:r>
    </w:p>
    <w:p w14:paraId="1AFA26B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Kotler P. (2000). </w:t>
      </w:r>
      <w:r w:rsidRPr="00BE5472">
        <w:rPr>
          <w:rFonts w:ascii="Times New Roman" w:hAnsi="Times New Roman" w:cs="Times New Roman"/>
          <w:i/>
          <w:noProof/>
          <w:sz w:val="24"/>
          <w:szCs w:val="24"/>
        </w:rPr>
        <w:t>Upravljanje marketingom</w:t>
      </w:r>
      <w:r w:rsidRPr="00BE5472">
        <w:rPr>
          <w:rFonts w:ascii="Times New Roman" w:hAnsi="Times New Roman" w:cs="Times New Roman"/>
          <w:noProof/>
          <w:sz w:val="24"/>
          <w:szCs w:val="24"/>
        </w:rPr>
        <w:t>. Zagreb: MATE.</w:t>
      </w:r>
    </w:p>
    <w:p w14:paraId="09ACE55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Köseoğlu, M. A. et al. (2020). What are the key success factors for strategy formulation and implementation? Perspectives of managers in the hotel industry. </w:t>
      </w:r>
      <w:r w:rsidRPr="00BE5472">
        <w:rPr>
          <w:rFonts w:ascii="Times New Roman" w:hAnsi="Times New Roman" w:cs="Times New Roman"/>
          <w:i/>
          <w:noProof/>
          <w:sz w:val="24"/>
          <w:szCs w:val="24"/>
        </w:rPr>
        <w:t>International Journal of Hospitality Management</w:t>
      </w:r>
      <w:r w:rsidRPr="00BE5472">
        <w:rPr>
          <w:rFonts w:ascii="Times New Roman" w:hAnsi="Times New Roman" w:cs="Times New Roman"/>
          <w:noProof/>
          <w:sz w:val="24"/>
          <w:szCs w:val="24"/>
        </w:rPr>
        <w:t>, 89, kolovoz 2020. 102574</w:t>
      </w:r>
    </w:p>
    <w:p w14:paraId="37AD67EC" w14:textId="320EF2A1" w:rsidR="0074272F" w:rsidRPr="00BE5472" w:rsidRDefault="0074272F" w:rsidP="0074272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Kranjčević, J. (2022). Paul Kupelwieser i turistička arhitektura otočja Brijuni. U: Mader, B. i Dobrić, B. (ur.) (2022). Paul Kupelwieser na Brijunima / Paul Kupelwieser und die Brionischen Inseln. Pula: Sveučilište Jurja Dobrile u Puli, str. 57-72.</w:t>
      </w:r>
    </w:p>
    <w:p w14:paraId="48E836A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Kruesi, M. A., Hemmington, N. R. i Kim, P. B. (2018). What matters for hotel executives? An examination of major theories in non-equity entry mode research. </w:t>
      </w:r>
      <w:r w:rsidRPr="00BE5472">
        <w:rPr>
          <w:rFonts w:ascii="Times New Roman" w:hAnsi="Times New Roman" w:cs="Times New Roman"/>
          <w:i/>
          <w:noProof/>
          <w:sz w:val="24"/>
          <w:szCs w:val="24"/>
        </w:rPr>
        <w:t>International Journal of Hospitality Management</w:t>
      </w:r>
      <w:r w:rsidRPr="00BE5472">
        <w:rPr>
          <w:rFonts w:ascii="Times New Roman" w:hAnsi="Times New Roman" w:cs="Times New Roman"/>
          <w:noProof/>
          <w:sz w:val="24"/>
          <w:szCs w:val="24"/>
        </w:rPr>
        <w:t xml:space="preserve">, 70, 25-36. </w:t>
      </w:r>
    </w:p>
    <w:p w14:paraId="7BFE5124" w14:textId="76B4860A" w:rsidR="00853BCF" w:rsidRPr="00BE5472" w:rsidRDefault="00853BCF" w:rsidP="00853BC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Krzak, R. (2023). The Evolution of Hospitality: From Ancient Traditions to Modern Day Experiences and the Many Innovations Along the Way. Dostupno na: </w:t>
      </w:r>
      <w:hyperlink r:id="rId103" w:history="1">
        <w:r w:rsidRPr="00BE5472">
          <w:rPr>
            <w:rFonts w:ascii="Times New Roman" w:hAnsi="Times New Roman" w:cs="Times New Roman"/>
            <w:color w:val="0563C1" w:themeColor="hyperlink"/>
            <w:sz w:val="24"/>
            <w:szCs w:val="24"/>
            <w:u w:val="single"/>
          </w:rPr>
          <w:t>https://www.geckohospitality.com/2023/01/13/the-evolution-of-hospitality-from-ancient-traditions-to-modern-day-experiences-and-the-many-innovations-along-the-way/</w:t>
        </w:r>
      </w:hyperlink>
      <w:r w:rsidRPr="00BE5472">
        <w:rPr>
          <w:rFonts w:ascii="Times New Roman" w:hAnsi="Times New Roman" w:cs="Times New Roman"/>
          <w:sz w:val="24"/>
          <w:szCs w:val="24"/>
        </w:rPr>
        <w:t xml:space="preserve"> Pristupljeno: 18. srpnja 2024. </w:t>
      </w:r>
    </w:p>
    <w:p w14:paraId="0F85163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Kummer, C. i Steger, U. (2008). Why merger and acquisitions (M&amp;As) waves reoccur: The vicious cycle from pressure to failure. </w:t>
      </w:r>
      <w:r w:rsidRPr="00BE5472">
        <w:rPr>
          <w:rFonts w:ascii="Times New Roman" w:hAnsi="Times New Roman" w:cs="Times New Roman"/>
          <w:bCs/>
          <w:i/>
          <w:noProof/>
          <w:sz w:val="24"/>
          <w:szCs w:val="24"/>
        </w:rPr>
        <w:t>Strategic Management Review</w:t>
      </w:r>
      <w:r w:rsidRPr="00BE5472">
        <w:rPr>
          <w:rFonts w:ascii="Times New Roman" w:hAnsi="Times New Roman" w:cs="Times New Roman"/>
          <w:bCs/>
          <w:noProof/>
          <w:sz w:val="24"/>
          <w:szCs w:val="24"/>
        </w:rPr>
        <w:t>, 2(1):44-63</w:t>
      </w:r>
    </w:p>
    <w:p w14:paraId="02709B73" w14:textId="6A7D00F8" w:rsidR="00635444" w:rsidRPr="00BE5472" w:rsidRDefault="00635444" w:rsidP="00120B4F">
      <w:pPr>
        <w:pStyle w:val="ListParagraph"/>
        <w:numPr>
          <w:ilvl w:val="0"/>
          <w:numId w:val="64"/>
        </w:numPr>
        <w:spacing w:line="360" w:lineRule="auto"/>
        <w:rPr>
          <w:rFonts w:ascii="Times New Roman" w:hAnsi="Times New Roman" w:cs="Times New Roman"/>
        </w:rPr>
      </w:pPr>
      <w:r w:rsidRPr="00BE5472">
        <w:rPr>
          <w:rFonts w:ascii="Times New Roman" w:hAnsi="Times New Roman" w:cs="Times New Roman"/>
          <w:bCs/>
          <w:noProof/>
          <w:sz w:val="24"/>
          <w:szCs w:val="24"/>
        </w:rPr>
        <w:t>Kuznetsova, A., Brockhoff, P. B., &amp; Christensen, R. H. B. (2017). lmerTest package: tests in linear mixed effects models.</w:t>
      </w:r>
      <w:r w:rsidRPr="00BE5472">
        <w:rPr>
          <w:rFonts w:ascii="Times New Roman" w:hAnsi="Times New Roman" w:cs="Times New Roman"/>
        </w:rPr>
        <w:t xml:space="preserve"> </w:t>
      </w:r>
      <w:r w:rsidRPr="00BE5472">
        <w:rPr>
          <w:rFonts w:ascii="Times New Roman" w:hAnsi="Times New Roman" w:cs="Times New Roman"/>
          <w:bCs/>
          <w:i/>
          <w:noProof/>
          <w:sz w:val="24"/>
          <w:szCs w:val="24"/>
        </w:rPr>
        <w:t>Journal of statistical software,</w:t>
      </w:r>
      <w:r w:rsidRPr="00BE5472">
        <w:rPr>
          <w:rFonts w:ascii="Times New Roman" w:hAnsi="Times New Roman" w:cs="Times New Roman"/>
          <w:i/>
          <w:iCs/>
        </w:rPr>
        <w:t xml:space="preserve"> </w:t>
      </w:r>
      <w:r w:rsidRPr="00BE5472">
        <w:rPr>
          <w:rFonts w:ascii="Times New Roman" w:hAnsi="Times New Roman" w:cs="Times New Roman"/>
          <w:bCs/>
          <w:noProof/>
          <w:sz w:val="24"/>
          <w:szCs w:val="24"/>
        </w:rPr>
        <w:t>82(13).</w:t>
      </w:r>
    </w:p>
    <w:p w14:paraId="7FB1C6E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Kwansa, F. A. (1994). Acquisitions, shareholder wealth and the lodging sector: 1980- 1990. </w:t>
      </w:r>
      <w:r w:rsidRPr="00BE5472">
        <w:rPr>
          <w:rFonts w:ascii="Times New Roman" w:hAnsi="Times New Roman" w:cs="Times New Roman"/>
          <w:bCs/>
          <w:i/>
          <w:noProof/>
          <w:sz w:val="24"/>
          <w:szCs w:val="24"/>
        </w:rPr>
        <w:t>International Journal of contemporary Hospitality Management</w:t>
      </w:r>
      <w:r w:rsidRPr="00BE5472">
        <w:rPr>
          <w:rFonts w:ascii="Times New Roman" w:hAnsi="Times New Roman" w:cs="Times New Roman"/>
          <w:bCs/>
          <w:noProof/>
          <w:sz w:val="24"/>
          <w:szCs w:val="24"/>
        </w:rPr>
        <w:t>, 6(6), 16-20.</w:t>
      </w:r>
    </w:p>
    <w:p w14:paraId="6229132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Larsson, R. (1990). </w:t>
      </w:r>
      <w:r w:rsidRPr="00BE5472">
        <w:rPr>
          <w:rFonts w:ascii="Times New Roman" w:hAnsi="Times New Roman" w:cs="Times New Roman"/>
          <w:bCs/>
          <w:i/>
          <w:noProof/>
          <w:sz w:val="24"/>
          <w:szCs w:val="24"/>
        </w:rPr>
        <w:t>Coordination of Action in Mergers and Acquisitions: Interpretive and Systems Approaches Towards Synergy</w:t>
      </w:r>
      <w:r w:rsidRPr="00BE5472">
        <w:rPr>
          <w:rFonts w:ascii="Times New Roman" w:hAnsi="Times New Roman" w:cs="Times New Roman"/>
          <w:bCs/>
          <w:noProof/>
          <w:sz w:val="24"/>
          <w:szCs w:val="24"/>
        </w:rPr>
        <w:t>. Lund: Lund University Press.</w:t>
      </w:r>
    </w:p>
    <w:p w14:paraId="5CD029F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Larsson, R. i Finkelstein, S. (1999). Integrating strategic, organizational, and human resource perspectives on mergers and acquisitions: a case survey of synergy realization. </w:t>
      </w:r>
      <w:r w:rsidRPr="00BE5472">
        <w:rPr>
          <w:rFonts w:ascii="Times New Roman" w:hAnsi="Times New Roman" w:cs="Times New Roman"/>
          <w:bCs/>
          <w:i/>
          <w:noProof/>
          <w:sz w:val="24"/>
          <w:szCs w:val="24"/>
        </w:rPr>
        <w:t>Organization Science</w:t>
      </w:r>
      <w:r w:rsidRPr="00BE5472">
        <w:rPr>
          <w:rFonts w:ascii="Times New Roman" w:hAnsi="Times New Roman" w:cs="Times New Roman"/>
          <w:bCs/>
          <w:noProof/>
          <w:sz w:val="24"/>
          <w:szCs w:val="24"/>
        </w:rPr>
        <w:t>, 10, 1–26.</w:t>
      </w:r>
    </w:p>
    <w:p w14:paraId="5C950F54" w14:textId="703547F3" w:rsidR="00853BCF" w:rsidRPr="00BE5472" w:rsidRDefault="00853BCF" w:rsidP="00853BC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Les Roches (bez dat.). Hotel Management. Dostupno na: </w:t>
      </w:r>
      <w:hyperlink r:id="rId104" w:history="1">
        <w:r w:rsidRPr="00BE5472">
          <w:rPr>
            <w:rFonts w:ascii="Times New Roman" w:hAnsi="Times New Roman" w:cs="Times New Roman"/>
            <w:color w:val="0563C1" w:themeColor="hyperlink"/>
            <w:sz w:val="24"/>
            <w:szCs w:val="24"/>
            <w:u w:val="single"/>
          </w:rPr>
          <w:t>https://lesroches.edu/hospitality-management/hotel-management/</w:t>
        </w:r>
      </w:hyperlink>
      <w:r w:rsidRPr="00BE5472">
        <w:rPr>
          <w:rFonts w:ascii="Times New Roman" w:hAnsi="Times New Roman" w:cs="Times New Roman"/>
          <w:sz w:val="24"/>
          <w:szCs w:val="24"/>
        </w:rPr>
        <w:t xml:space="preserve"> Pristupljeno: 25. srpnja 2024. </w:t>
      </w:r>
    </w:p>
    <w:p w14:paraId="5BD9826C" w14:textId="4D1F8EFF" w:rsidR="00EB37F9" w:rsidRPr="00BE5472" w:rsidRDefault="00EB37F9" w:rsidP="00EB37F9">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Levy-Bonvin, J. (2003). Hotels | A Brief History. Dostupno na: </w:t>
      </w:r>
      <w:hyperlink r:id="rId105" w:history="1">
        <w:r w:rsidRPr="00BE5472">
          <w:rPr>
            <w:rFonts w:ascii="Times New Roman" w:hAnsi="Times New Roman" w:cs="Times New Roman"/>
            <w:color w:val="0563C1" w:themeColor="hyperlink"/>
            <w:sz w:val="24"/>
            <w:szCs w:val="24"/>
            <w:u w:val="single"/>
          </w:rPr>
          <w:t>https://www.hospitalitynet.org/opinion/4017990.html</w:t>
        </w:r>
      </w:hyperlink>
      <w:r w:rsidRPr="00BE5472">
        <w:rPr>
          <w:rFonts w:ascii="Times New Roman" w:hAnsi="Times New Roman" w:cs="Times New Roman"/>
          <w:sz w:val="24"/>
          <w:szCs w:val="24"/>
        </w:rPr>
        <w:t xml:space="preserve"> Pristupljeno: 19. srpnja 2023. </w:t>
      </w:r>
    </w:p>
    <w:p w14:paraId="3FD5BBA2" w14:textId="1E443907" w:rsidR="00853BCF" w:rsidRPr="00BE5472" w:rsidRDefault="00853BCF" w:rsidP="00853BCF">
      <w:pPr>
        <w:pStyle w:val="ListParagraph"/>
        <w:numPr>
          <w:ilvl w:val="0"/>
          <w:numId w:val="64"/>
        </w:numPr>
        <w:spacing w:after="120" w:line="360" w:lineRule="auto"/>
        <w:jc w:val="both"/>
        <w:rPr>
          <w:rFonts w:ascii="Times New Roman" w:hAnsi="Times New Roman" w:cs="Times New Roman"/>
          <w:bCs/>
        </w:rPr>
      </w:pPr>
      <w:r w:rsidRPr="00BE5472">
        <w:rPr>
          <w:rFonts w:ascii="Times New Roman" w:hAnsi="Times New Roman" w:cs="Times New Roman"/>
          <w:sz w:val="24"/>
          <w:szCs w:val="24"/>
        </w:rPr>
        <w:t xml:space="preserve">Lexpera (2023). </w:t>
      </w:r>
      <w:r w:rsidRPr="00BE5472">
        <w:rPr>
          <w:rFonts w:ascii="Times New Roman" w:hAnsi="Times New Roman" w:cs="Times New Roman"/>
          <w:bCs/>
        </w:rPr>
        <w:t xml:space="preserve">Specifičnosti poslovanja i analiza hotelske industrije u RH. Dostupno na: </w:t>
      </w:r>
      <w:hyperlink r:id="rId106" w:history="1">
        <w:r w:rsidRPr="00BE5472">
          <w:rPr>
            <w:rFonts w:ascii="Times New Roman" w:hAnsi="Times New Roman" w:cs="Times New Roman"/>
            <w:bCs/>
            <w:color w:val="0563C1" w:themeColor="hyperlink"/>
            <w:u w:val="single"/>
          </w:rPr>
          <w:t>https://www.insolve.hr/literatura/2/55273</w:t>
        </w:r>
      </w:hyperlink>
      <w:r w:rsidRPr="00BE5472">
        <w:rPr>
          <w:rFonts w:ascii="Times New Roman" w:hAnsi="Times New Roman" w:cs="Times New Roman"/>
          <w:bCs/>
        </w:rPr>
        <w:t xml:space="preserve"> Pristupljeno: 22. Srpnja 2024. </w:t>
      </w:r>
    </w:p>
    <w:p w14:paraId="38E6B30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Li, Y. i Singal, M. (2019). Capital structure in the hospitality industry: The role of the asset-light and fee-oriented strategy. </w:t>
      </w:r>
      <w:r w:rsidRPr="00BE5472">
        <w:rPr>
          <w:rFonts w:ascii="Times New Roman" w:hAnsi="Times New Roman" w:cs="Times New Roman"/>
          <w:bCs/>
          <w:i/>
          <w:noProof/>
          <w:sz w:val="24"/>
          <w:szCs w:val="24"/>
        </w:rPr>
        <w:t>Tourism Management</w:t>
      </w:r>
      <w:r w:rsidRPr="00BE5472">
        <w:rPr>
          <w:rFonts w:ascii="Times New Roman" w:hAnsi="Times New Roman" w:cs="Times New Roman"/>
          <w:bCs/>
          <w:noProof/>
          <w:sz w:val="24"/>
          <w:szCs w:val="24"/>
        </w:rPr>
        <w:t xml:space="preserve">, 70: 124 – 133. </w:t>
      </w:r>
    </w:p>
    <w:p w14:paraId="0570277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Li, Y. i Singal, M. (2021). Deal characteristics and M&amp;A performance: How do hospitality firms fare? </w:t>
      </w:r>
      <w:r w:rsidRPr="00BE5472">
        <w:rPr>
          <w:rFonts w:ascii="Times New Roman" w:hAnsi="Times New Roman" w:cs="Times New Roman"/>
          <w:bCs/>
          <w:i/>
          <w:noProof/>
          <w:sz w:val="24"/>
          <w:szCs w:val="24"/>
        </w:rPr>
        <w:t xml:space="preserve">International Journal of Hospitality Management, </w:t>
      </w:r>
      <w:r w:rsidRPr="00BE5472">
        <w:rPr>
          <w:rFonts w:ascii="Times New Roman" w:hAnsi="Times New Roman" w:cs="Times New Roman"/>
          <w:bCs/>
          <w:noProof/>
          <w:sz w:val="24"/>
          <w:szCs w:val="24"/>
        </w:rPr>
        <w:t xml:space="preserve">96, 102947: 1 – 10. </w:t>
      </w:r>
    </w:p>
    <w:p w14:paraId="3AA77C2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Loderer, C. i Martin, K. (1992). Postacquisition performance of acquiring firms. </w:t>
      </w:r>
      <w:r w:rsidRPr="00BE5472">
        <w:rPr>
          <w:rFonts w:ascii="Times New Roman" w:hAnsi="Times New Roman" w:cs="Times New Roman"/>
          <w:bCs/>
          <w:i/>
          <w:noProof/>
          <w:sz w:val="24"/>
          <w:szCs w:val="24"/>
        </w:rPr>
        <w:t>Financial Management</w:t>
      </w:r>
      <w:r w:rsidRPr="00BE5472">
        <w:rPr>
          <w:rFonts w:ascii="Times New Roman" w:hAnsi="Times New Roman" w:cs="Times New Roman"/>
          <w:bCs/>
          <w:noProof/>
          <w:sz w:val="24"/>
          <w:szCs w:val="24"/>
        </w:rPr>
        <w:t>, 21(3), 69-79.</w:t>
      </w:r>
    </w:p>
    <w:p w14:paraId="46523E7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Lončar, J. (2004). Financijska obilježja hrvatskog hotelijerstva tijekom privatizacije. </w:t>
      </w:r>
      <w:r w:rsidRPr="00BE5472">
        <w:rPr>
          <w:rFonts w:ascii="Times New Roman" w:hAnsi="Times New Roman" w:cs="Times New Roman"/>
          <w:bCs/>
          <w:i/>
          <w:noProof/>
          <w:sz w:val="24"/>
          <w:szCs w:val="24"/>
        </w:rPr>
        <w:t>Zbornik radova Sveučilišta u Rijeci</w:t>
      </w:r>
      <w:r w:rsidRPr="00BE5472">
        <w:rPr>
          <w:rFonts w:ascii="Times New Roman" w:hAnsi="Times New Roman" w:cs="Times New Roman"/>
          <w:bCs/>
          <w:noProof/>
          <w:sz w:val="24"/>
          <w:szCs w:val="24"/>
        </w:rPr>
        <w:t xml:space="preserve">, 22(1), 87 – 103. </w:t>
      </w:r>
    </w:p>
    <w:p w14:paraId="58F378AF" w14:textId="17792FD8" w:rsidR="00EB37F9" w:rsidRPr="00BE5472" w:rsidRDefault="00EB37F9" w:rsidP="00EB37F9">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Lynch, P., Morrison, A. i Lashley, C. (2006). </w:t>
      </w:r>
      <w:r w:rsidRPr="00BE5472">
        <w:rPr>
          <w:rFonts w:ascii="Times New Roman" w:hAnsi="Times New Roman" w:cs="Times New Roman"/>
          <w:i/>
          <w:sz w:val="24"/>
          <w:szCs w:val="24"/>
        </w:rPr>
        <w:t>Hospitality: A Social Lens.</w:t>
      </w:r>
      <w:r w:rsidRPr="00BE5472">
        <w:rPr>
          <w:rFonts w:ascii="Times New Roman" w:hAnsi="Times New Roman" w:cs="Times New Roman"/>
          <w:sz w:val="24"/>
          <w:szCs w:val="24"/>
        </w:rPr>
        <w:t xml:space="preserve"> London: Routledge</w:t>
      </w:r>
    </w:p>
    <w:p w14:paraId="5C33C08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 Q., Zhang, W. i Chowdhury, N. (2011). Stock performance of firms acquiring listed and unlisted lodging assets. </w:t>
      </w:r>
      <w:r w:rsidRPr="00BE5472">
        <w:rPr>
          <w:rFonts w:ascii="Times New Roman" w:hAnsi="Times New Roman" w:cs="Times New Roman"/>
          <w:bCs/>
          <w:i/>
          <w:noProof/>
          <w:sz w:val="24"/>
          <w:szCs w:val="24"/>
        </w:rPr>
        <w:t>Cornell Hospitality Quarterly</w:t>
      </w:r>
      <w:r w:rsidRPr="00BE5472">
        <w:rPr>
          <w:rFonts w:ascii="Times New Roman" w:hAnsi="Times New Roman" w:cs="Times New Roman"/>
          <w:bCs/>
          <w:noProof/>
          <w:sz w:val="24"/>
          <w:szCs w:val="24"/>
        </w:rPr>
        <w:t>, 52(3): 291 – 301.</w:t>
      </w:r>
    </w:p>
    <w:p w14:paraId="486D348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Mace, M. i Montgomery, G. (1962). </w:t>
      </w:r>
      <w:r w:rsidRPr="00BE5472">
        <w:rPr>
          <w:rFonts w:ascii="Times New Roman" w:hAnsi="Times New Roman" w:cs="Times New Roman"/>
          <w:bCs/>
          <w:i/>
          <w:noProof/>
          <w:sz w:val="24"/>
          <w:szCs w:val="24"/>
        </w:rPr>
        <w:t xml:space="preserve">Management problems of corporate acquisitions. </w:t>
      </w:r>
      <w:r w:rsidRPr="00BE5472">
        <w:rPr>
          <w:rFonts w:ascii="Times New Roman" w:hAnsi="Times New Roman" w:cs="Times New Roman"/>
          <w:bCs/>
          <w:noProof/>
          <w:sz w:val="24"/>
          <w:szCs w:val="24"/>
        </w:rPr>
        <w:t>Cambridge, MA:Harvard University Press</w:t>
      </w:r>
    </w:p>
    <w:p w14:paraId="0EA89030" w14:textId="28E8DF76" w:rsidR="0013012C" w:rsidRPr="00BE5472" w:rsidRDefault="00846820" w:rsidP="00846820">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Mair, P. i Wilock, R. (n/d). Robust Statistical Methods Using WRS2. Dostupno na: </w:t>
      </w:r>
      <w:hyperlink r:id="rId107" w:history="1">
        <w:r w:rsidRPr="00BE5472">
          <w:rPr>
            <w:rStyle w:val="Hyperlink"/>
            <w:rFonts w:ascii="Times New Roman" w:hAnsi="Times New Roman" w:cs="Times New Roman"/>
            <w:sz w:val="24"/>
            <w:szCs w:val="24"/>
          </w:rPr>
          <w:t>https://cran.r-project.org/web/packages/WRS2/vignettes/WRS2.pdf</w:t>
        </w:r>
      </w:hyperlink>
      <w:r w:rsidRPr="00BE5472">
        <w:rPr>
          <w:rFonts w:ascii="Times New Roman" w:hAnsi="Times New Roman" w:cs="Times New Roman"/>
          <w:sz w:val="24"/>
          <w:szCs w:val="24"/>
        </w:rPr>
        <w:t xml:space="preserve"> Pristupljeno: 17. travnja 2024.</w:t>
      </w:r>
    </w:p>
    <w:p w14:paraId="0DF1E446" w14:textId="3E8D3DE8" w:rsidR="0035785C" w:rsidRPr="00BE5472" w:rsidRDefault="0035785C" w:rsidP="0035785C">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Maistra (bez dat.). Portfelj Maistra Hospitality Group. Dostupno na: </w:t>
      </w:r>
      <w:hyperlink r:id="rId108" w:anchor="/" w:history="1">
        <w:r w:rsidRPr="00BE5472">
          <w:rPr>
            <w:rFonts w:ascii="Times New Roman" w:hAnsi="Times New Roman" w:cs="Times New Roman"/>
            <w:color w:val="0563C1" w:themeColor="hyperlink"/>
            <w:sz w:val="24"/>
            <w:szCs w:val="24"/>
            <w:u w:val="single"/>
          </w:rPr>
          <w:t>https://www.maistra.com/hr/brendovi/#/</w:t>
        </w:r>
      </w:hyperlink>
      <w:r w:rsidRPr="00BE5472">
        <w:rPr>
          <w:rFonts w:ascii="Times New Roman" w:hAnsi="Times New Roman" w:cs="Times New Roman"/>
          <w:sz w:val="24"/>
          <w:szCs w:val="24"/>
        </w:rPr>
        <w:t xml:space="preserve"> Pristupljeno: 4. kolovoza 2024. </w:t>
      </w:r>
    </w:p>
    <w:p w14:paraId="2085488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Malik, M. F. et al. (2014). Mergers and Acquisitions: A Conceptional Review. </w:t>
      </w:r>
      <w:r w:rsidRPr="00BE5472">
        <w:rPr>
          <w:rFonts w:ascii="Times New Roman" w:hAnsi="Times New Roman" w:cs="Times New Roman"/>
          <w:bCs/>
          <w:i/>
          <w:noProof/>
          <w:sz w:val="24"/>
          <w:szCs w:val="24"/>
        </w:rPr>
        <w:t>International Journal of Accounting and Financial Reporting</w:t>
      </w:r>
      <w:r w:rsidRPr="00BE5472">
        <w:rPr>
          <w:rFonts w:ascii="Times New Roman" w:hAnsi="Times New Roman" w:cs="Times New Roman"/>
          <w:bCs/>
          <w:noProof/>
          <w:sz w:val="24"/>
          <w:szCs w:val="24"/>
        </w:rPr>
        <w:t>, 4(2), 520 – 533.</w:t>
      </w:r>
    </w:p>
    <w:p w14:paraId="343C5E4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Mandarin Oriental (2023). Annual report 2022. Dostupno na: </w:t>
      </w:r>
      <w:hyperlink r:id="rId109" w:history="1">
        <w:r w:rsidRPr="00BE5472">
          <w:rPr>
            <w:rFonts w:ascii="Times New Roman" w:hAnsi="Times New Roman" w:cs="Times New Roman"/>
            <w:noProof/>
            <w:color w:val="0563C1" w:themeColor="hyperlink"/>
            <w:sz w:val="24"/>
            <w:szCs w:val="24"/>
            <w:u w:val="single"/>
          </w:rPr>
          <w:t>https://photos.mandarinoriental.com/is/content/MandarinOriental/_Corporate/PDFs/Investors/Analyst%20Presentations/corporate-22arMOIL.pdf?_gl=1*xrjprv*_ga*NTA0NzE3MjE3LjE3MTA0OTQ1NzQ.*_ga_FSQWZL</w:t>
        </w:r>
        <w:r w:rsidRPr="00BE5472">
          <w:rPr>
            <w:rFonts w:ascii="Times New Roman" w:hAnsi="Times New Roman" w:cs="Times New Roman"/>
            <w:noProof/>
            <w:color w:val="0563C1" w:themeColor="hyperlink"/>
            <w:sz w:val="24"/>
            <w:szCs w:val="24"/>
            <w:u w:val="single"/>
          </w:rPr>
          <w:lastRenderedPageBreak/>
          <w:t>83JH*MTcxMDQ5NDU3My4xLjEuMTcxMDQ5NTQ0MC4wLjAuMA</w:t>
        </w:r>
      </w:hyperlink>
      <w:r w:rsidRPr="00BE5472">
        <w:rPr>
          <w:rFonts w:ascii="Times New Roman" w:hAnsi="Times New Roman" w:cs="Times New Roman"/>
          <w:noProof/>
          <w:sz w:val="24"/>
          <w:szCs w:val="24"/>
        </w:rPr>
        <w:t xml:space="preserve">  Pristupljeno: 15. ožujka 2024. </w:t>
      </w:r>
    </w:p>
    <w:p w14:paraId="0AFA821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Marks, L. M. i Mirwis, P. H. (2011). Framework for the Human Resources Role in Managing Culture in Mergers and Acquisitions. </w:t>
      </w:r>
      <w:r w:rsidRPr="00BE5472">
        <w:rPr>
          <w:rFonts w:ascii="Times New Roman" w:hAnsi="Times New Roman" w:cs="Times New Roman"/>
          <w:bCs/>
          <w:i/>
          <w:noProof/>
          <w:sz w:val="24"/>
          <w:szCs w:val="24"/>
        </w:rPr>
        <w:t>Human Resource Management</w:t>
      </w:r>
      <w:r w:rsidRPr="00BE5472">
        <w:rPr>
          <w:rFonts w:ascii="Times New Roman" w:hAnsi="Times New Roman" w:cs="Times New Roman"/>
          <w:bCs/>
          <w:noProof/>
          <w:sz w:val="24"/>
          <w:szCs w:val="24"/>
        </w:rPr>
        <w:t xml:space="preserve">, 50(6), 859 – 877. DOI:10.1002/hrm.20445 </w:t>
      </w:r>
    </w:p>
    <w:p w14:paraId="65982ECE" w14:textId="2F165548" w:rsidR="00C53194" w:rsidRPr="00BE5472" w:rsidRDefault="00C53194" w:rsidP="00C53194">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Martin, L. (2024). Hotel giants’ ever-growing brands – why so many, and how are they managed? Dostupno na: </w:t>
      </w:r>
      <w:hyperlink r:id="rId110" w:history="1">
        <w:r w:rsidRPr="00BE5472">
          <w:rPr>
            <w:rFonts w:ascii="Times New Roman" w:hAnsi="Times New Roman" w:cs="Times New Roman"/>
            <w:color w:val="0563C1" w:themeColor="hyperlink"/>
            <w:sz w:val="24"/>
            <w:szCs w:val="24"/>
            <w:u w:val="single"/>
          </w:rPr>
          <w:t>https://www.hotelmanagement-network.com/features/hotel-giants-brands/?cf-view</w:t>
        </w:r>
      </w:hyperlink>
      <w:r w:rsidRPr="00BE5472">
        <w:rPr>
          <w:rFonts w:ascii="Times New Roman" w:hAnsi="Times New Roman" w:cs="Times New Roman"/>
          <w:sz w:val="24"/>
          <w:szCs w:val="24"/>
        </w:rPr>
        <w:t xml:space="preserve"> Pristupljeno: 21. srpnja 2024. </w:t>
      </w:r>
    </w:p>
    <w:p w14:paraId="475DAF8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Martorell-Cunill, O. et al. (2014). The growth strategies in the hospitality industry from the perspective of the forgotten effects. </w:t>
      </w:r>
      <w:r w:rsidRPr="00BE5472">
        <w:rPr>
          <w:rFonts w:ascii="Times New Roman" w:hAnsi="Times New Roman" w:cs="Times New Roman"/>
          <w:i/>
          <w:noProof/>
          <w:sz w:val="24"/>
          <w:szCs w:val="24"/>
        </w:rPr>
        <w:t>Comput Math Organ Theory</w:t>
      </w:r>
      <w:r w:rsidRPr="00BE5472">
        <w:rPr>
          <w:rFonts w:ascii="Times New Roman" w:hAnsi="Times New Roman" w:cs="Times New Roman"/>
          <w:noProof/>
          <w:sz w:val="24"/>
          <w:szCs w:val="24"/>
        </w:rPr>
        <w:t xml:space="preserve">, 20, 195 – 210. </w:t>
      </w:r>
    </w:p>
    <w:p w14:paraId="7024B672"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Martynova, M. V. i Renneboog, L. (2008). A century of corporate takeovers: What have we learned and where do we stand? </w:t>
      </w:r>
      <w:r w:rsidRPr="00BE5472">
        <w:rPr>
          <w:rFonts w:ascii="Times New Roman" w:hAnsi="Times New Roman" w:cs="Times New Roman"/>
          <w:bCs/>
          <w:i/>
          <w:noProof/>
          <w:sz w:val="24"/>
          <w:szCs w:val="24"/>
        </w:rPr>
        <w:t>Journal of Banking &amp; Finance</w:t>
      </w:r>
      <w:r w:rsidRPr="00BE5472">
        <w:rPr>
          <w:rFonts w:ascii="Times New Roman" w:hAnsi="Times New Roman" w:cs="Times New Roman"/>
          <w:bCs/>
          <w:noProof/>
          <w:sz w:val="24"/>
          <w:szCs w:val="24"/>
        </w:rPr>
        <w:t>, 32, 2148- 2177.</w:t>
      </w:r>
    </w:p>
    <w:p w14:paraId="7E3A8A18" w14:textId="5BDC73B9" w:rsidR="00C53194" w:rsidRPr="00BE5472" w:rsidRDefault="00C53194" w:rsidP="0038775D">
      <w:pPr>
        <w:pStyle w:val="ListParagraph"/>
        <w:numPr>
          <w:ilvl w:val="0"/>
          <w:numId w:val="64"/>
        </w:numPr>
        <w:spacing w:after="120" w:line="360" w:lineRule="auto"/>
        <w:rPr>
          <w:rFonts w:ascii="Times New Roman" w:hAnsi="Times New Roman" w:cs="Times New Roman"/>
          <w:sz w:val="24"/>
          <w:szCs w:val="24"/>
        </w:rPr>
      </w:pPr>
      <w:r w:rsidRPr="00BE5472">
        <w:rPr>
          <w:rFonts w:ascii="Times New Roman" w:hAnsi="Times New Roman" w:cs="Times New Roman"/>
          <w:bCs/>
          <w:noProof/>
          <w:sz w:val="24"/>
          <w:szCs w:val="24"/>
        </w:rPr>
        <w:t>McKinsey</w:t>
      </w:r>
      <w:r w:rsidR="0038775D" w:rsidRPr="00BE5472">
        <w:rPr>
          <w:rFonts w:ascii="Times New Roman" w:hAnsi="Times New Roman" w:cs="Times New Roman"/>
          <w:bCs/>
          <w:noProof/>
          <w:sz w:val="24"/>
          <w:szCs w:val="24"/>
        </w:rPr>
        <w:t xml:space="preserve"> &amp; Company</w:t>
      </w:r>
      <w:r w:rsidRPr="00BE5472">
        <w:rPr>
          <w:rFonts w:ascii="Times New Roman" w:hAnsi="Times New Roman" w:cs="Times New Roman"/>
          <w:sz w:val="24"/>
          <w:szCs w:val="24"/>
        </w:rPr>
        <w:t xml:space="preserve"> (</w:t>
      </w:r>
      <w:r w:rsidR="00B87309" w:rsidRPr="00BE5472">
        <w:rPr>
          <w:rFonts w:ascii="Times New Roman" w:hAnsi="Times New Roman" w:cs="Times New Roman"/>
          <w:sz w:val="24"/>
          <w:szCs w:val="24"/>
        </w:rPr>
        <w:t>202</w:t>
      </w:r>
      <w:r w:rsidR="00A539CE" w:rsidRPr="00BE5472">
        <w:rPr>
          <w:rFonts w:ascii="Times New Roman" w:hAnsi="Times New Roman" w:cs="Times New Roman"/>
          <w:sz w:val="24"/>
          <w:szCs w:val="24"/>
        </w:rPr>
        <w:t>3</w:t>
      </w:r>
      <w:r w:rsidRPr="00BE5472">
        <w:rPr>
          <w:rFonts w:ascii="Times New Roman" w:hAnsi="Times New Roman" w:cs="Times New Roman"/>
          <w:sz w:val="24"/>
          <w:szCs w:val="24"/>
        </w:rPr>
        <w:t>).</w:t>
      </w:r>
      <w:r w:rsidR="00FD560D" w:rsidRPr="00BE5472">
        <w:rPr>
          <w:rFonts w:ascii="Times New Roman" w:hAnsi="Times New Roman" w:cs="Times New Roman"/>
          <w:sz w:val="24"/>
          <w:szCs w:val="24"/>
        </w:rPr>
        <w:t xml:space="preserve"> </w:t>
      </w:r>
      <w:r w:rsidR="00854049" w:rsidRPr="00BE5472">
        <w:rPr>
          <w:rFonts w:ascii="Times New Roman" w:hAnsi="Times New Roman" w:cs="Times New Roman"/>
          <w:sz w:val="24"/>
          <w:szCs w:val="24"/>
        </w:rPr>
        <w:t>T</w:t>
      </w:r>
      <w:r w:rsidRPr="00BE5472">
        <w:rPr>
          <w:rFonts w:ascii="Times New Roman" w:hAnsi="Times New Roman" w:cs="Times New Roman"/>
          <w:sz w:val="24"/>
          <w:szCs w:val="24"/>
        </w:rPr>
        <w:t>he</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future</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of</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hotels:</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Customized</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experiences,</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sustainable</w:t>
      </w:r>
      <w:r w:rsidR="003D7476" w:rsidRPr="00BE5472">
        <w:rPr>
          <w:rFonts w:ascii="Times New Roman" w:hAnsi="Times New Roman" w:cs="Times New Roman"/>
          <w:sz w:val="24"/>
          <w:szCs w:val="24"/>
        </w:rPr>
        <w:t xml:space="preserve"> </w:t>
      </w:r>
      <w:r w:rsidRPr="00BE5472">
        <w:rPr>
          <w:rFonts w:ascii="Times New Roman" w:hAnsi="Times New Roman" w:cs="Times New Roman"/>
          <w:sz w:val="24"/>
          <w:szCs w:val="24"/>
        </w:rPr>
        <w:t xml:space="preserve">practices. Dostupno na: </w:t>
      </w:r>
      <w:hyperlink r:id="rId111" w:history="1">
        <w:r w:rsidRPr="00BE5472">
          <w:rPr>
            <w:rFonts w:ascii="Times New Roman" w:hAnsi="Times New Roman" w:cs="Times New Roman"/>
            <w:color w:val="0563C1" w:themeColor="hyperlink"/>
            <w:sz w:val="24"/>
            <w:szCs w:val="24"/>
            <w:u w:val="single"/>
          </w:rPr>
          <w:t>https://www.mckinsey.com/featured-insights/the-next-normal/hotels</w:t>
        </w:r>
      </w:hyperlink>
      <w:r w:rsidRPr="00BE5472">
        <w:rPr>
          <w:rFonts w:ascii="Times New Roman" w:hAnsi="Times New Roman" w:cs="Times New Roman"/>
          <w:sz w:val="24"/>
          <w:szCs w:val="24"/>
        </w:rPr>
        <w:t xml:space="preserve"> Pristupljeno: 24. srpnja 2024.</w:t>
      </w:r>
    </w:p>
    <w:p w14:paraId="4B7827C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Miczka, S. i Gr¨oßler, A. (2010). Merger dynamics: using system dynamics for the conceptual integration of a fragmented knowledge base. </w:t>
      </w:r>
      <w:r w:rsidRPr="00BE5472">
        <w:rPr>
          <w:rFonts w:ascii="Times New Roman" w:hAnsi="Times New Roman" w:cs="Times New Roman"/>
          <w:bCs/>
          <w:i/>
          <w:noProof/>
          <w:sz w:val="24"/>
          <w:szCs w:val="24"/>
        </w:rPr>
        <w:t>Kybernetes</w:t>
      </w:r>
      <w:r w:rsidRPr="00BE5472">
        <w:rPr>
          <w:rFonts w:ascii="Times New Roman" w:hAnsi="Times New Roman" w:cs="Times New Roman"/>
          <w:bCs/>
          <w:noProof/>
          <w:sz w:val="24"/>
          <w:szCs w:val="24"/>
        </w:rPr>
        <w:t>, 39, 1491–1512.</w:t>
      </w:r>
    </w:p>
    <w:p w14:paraId="3A4BE7B1" w14:textId="679FEDD2" w:rsidR="00C53194" w:rsidRPr="00BE5472" w:rsidRDefault="00C53194" w:rsidP="00C53194">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Ministarstvo turizma i sporta Republike Hrvatske (2024). Popis kategoriziranih turističkih objekata u Republici Hrvatskoj (14.06.2024.)</w:t>
      </w:r>
    </w:p>
    <w:p w14:paraId="5B9ADA9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Mintzberg, H. i Waters, J. A. (1985). Of Strategies, Deliberate and Emergent. </w:t>
      </w:r>
      <w:r w:rsidRPr="00BE5472">
        <w:rPr>
          <w:rFonts w:ascii="Times New Roman" w:hAnsi="Times New Roman" w:cs="Times New Roman"/>
          <w:i/>
          <w:noProof/>
          <w:sz w:val="24"/>
          <w:szCs w:val="24"/>
        </w:rPr>
        <w:t>Strategic Management Journal,</w:t>
      </w:r>
      <w:r w:rsidRPr="00BE5472">
        <w:rPr>
          <w:rFonts w:ascii="Times New Roman" w:hAnsi="Times New Roman" w:cs="Times New Roman"/>
          <w:noProof/>
          <w:sz w:val="24"/>
          <w:szCs w:val="24"/>
        </w:rPr>
        <w:t xml:space="preserve"> 6(3), 257 – 272.</w:t>
      </w:r>
    </w:p>
    <w:p w14:paraId="5EC03F13"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Mintzberg, H. (1987). The Strategy Concept I: Five Ps For Strategy. </w:t>
      </w:r>
      <w:r w:rsidRPr="00BE5472">
        <w:rPr>
          <w:rFonts w:ascii="Times New Roman" w:hAnsi="Times New Roman" w:cs="Times New Roman"/>
          <w:i/>
          <w:noProof/>
          <w:sz w:val="24"/>
          <w:szCs w:val="24"/>
        </w:rPr>
        <w:t>California Management Review</w:t>
      </w:r>
      <w:r w:rsidRPr="00BE5472">
        <w:rPr>
          <w:rFonts w:ascii="Times New Roman" w:hAnsi="Times New Roman" w:cs="Times New Roman"/>
          <w:noProof/>
          <w:sz w:val="24"/>
          <w:szCs w:val="24"/>
        </w:rPr>
        <w:t xml:space="preserve">, 30(1), 11 – 24. </w:t>
      </w:r>
    </w:p>
    <w:p w14:paraId="1040978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Mirvis, P. H. i Marks, M. L. (2003). Culture in corporate combinations. U: C. Cooper i R. Burke (ur.). </w:t>
      </w:r>
      <w:r w:rsidRPr="00BE5472">
        <w:rPr>
          <w:rFonts w:ascii="Times New Roman" w:hAnsi="Times New Roman" w:cs="Times New Roman"/>
          <w:bCs/>
          <w:i/>
          <w:noProof/>
          <w:sz w:val="24"/>
          <w:szCs w:val="24"/>
        </w:rPr>
        <w:t>Leading in turbulent times</w:t>
      </w:r>
      <w:r w:rsidRPr="00BE5472">
        <w:rPr>
          <w:rFonts w:ascii="Times New Roman" w:hAnsi="Times New Roman" w:cs="Times New Roman"/>
          <w:bCs/>
          <w:noProof/>
          <w:sz w:val="24"/>
          <w:szCs w:val="24"/>
        </w:rPr>
        <w:t>. London, UK: Blackwell, str. 284 – 301.</w:t>
      </w:r>
    </w:p>
    <w:p w14:paraId="1902689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Mishina Y., Pollock T.G., Porac J. F., (2004). Are more resources always better for growth? Resource stickiness in market and product expansion. </w:t>
      </w:r>
      <w:r w:rsidRPr="00BE5472">
        <w:rPr>
          <w:rFonts w:ascii="Times New Roman" w:hAnsi="Times New Roman" w:cs="Times New Roman"/>
          <w:i/>
          <w:noProof/>
          <w:sz w:val="24"/>
          <w:szCs w:val="24"/>
        </w:rPr>
        <w:t>Strategic Management Journal,</w:t>
      </w:r>
      <w:r w:rsidRPr="00BE5472">
        <w:rPr>
          <w:rFonts w:ascii="Times New Roman" w:hAnsi="Times New Roman" w:cs="Times New Roman"/>
          <w:noProof/>
          <w:sz w:val="24"/>
          <w:szCs w:val="24"/>
        </w:rPr>
        <w:t xml:space="preserve"> 25, 1179–1197.</w:t>
      </w:r>
    </w:p>
    <w:p w14:paraId="0C73526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Monin, P., Noorderhaven, N. G., Vaara, E. and Kroon, D. P. (2013). ‘Giving sense to and making sense of justice in post-merger integration’. </w:t>
      </w:r>
      <w:r w:rsidRPr="00BE5472">
        <w:rPr>
          <w:rFonts w:ascii="Times New Roman" w:hAnsi="Times New Roman" w:cs="Times New Roman"/>
          <w:bCs/>
          <w:i/>
          <w:noProof/>
          <w:sz w:val="24"/>
          <w:szCs w:val="24"/>
        </w:rPr>
        <w:t>Academy of Management Journal</w:t>
      </w:r>
      <w:r w:rsidRPr="00BE5472">
        <w:rPr>
          <w:rFonts w:ascii="Times New Roman" w:hAnsi="Times New Roman" w:cs="Times New Roman"/>
          <w:bCs/>
          <w:noProof/>
          <w:sz w:val="24"/>
          <w:szCs w:val="24"/>
        </w:rPr>
        <w:t>, 56, 256–84.</w:t>
      </w:r>
    </w:p>
    <w:p w14:paraId="3F2E1D2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 Morden, A.R. (1991). </w:t>
      </w:r>
      <w:r w:rsidRPr="00BE5472">
        <w:rPr>
          <w:rFonts w:ascii="Times New Roman" w:hAnsi="Times New Roman" w:cs="Times New Roman"/>
          <w:bCs/>
          <w:i/>
          <w:noProof/>
          <w:sz w:val="24"/>
          <w:szCs w:val="24"/>
        </w:rPr>
        <w:t>Elements of Marketing.</w:t>
      </w:r>
      <w:r w:rsidRPr="00BE5472">
        <w:rPr>
          <w:rFonts w:ascii="Times New Roman" w:hAnsi="Times New Roman" w:cs="Times New Roman"/>
          <w:bCs/>
          <w:noProof/>
          <w:sz w:val="24"/>
          <w:szCs w:val="24"/>
        </w:rPr>
        <w:t xml:space="preserve"> Drugo izdanje. London: DP Publications Ltd.</w:t>
      </w:r>
    </w:p>
    <w:p w14:paraId="672231A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Moeller, S. i Brady, C. (2011.). </w:t>
      </w:r>
      <w:r w:rsidRPr="00BE5472">
        <w:rPr>
          <w:rFonts w:ascii="Times New Roman" w:hAnsi="Times New Roman" w:cs="Times New Roman"/>
          <w:i/>
          <w:noProof/>
          <w:sz w:val="24"/>
          <w:szCs w:val="24"/>
        </w:rPr>
        <w:t>Intelligent M&amp;A Navigating the Mergers and Acquisitions Minefield</w:t>
      </w:r>
      <w:r w:rsidRPr="00BE5472">
        <w:rPr>
          <w:rFonts w:ascii="Times New Roman" w:hAnsi="Times New Roman" w:cs="Times New Roman"/>
          <w:noProof/>
          <w:sz w:val="24"/>
          <w:szCs w:val="24"/>
        </w:rPr>
        <w:t>. New Jersey: Willey.</w:t>
      </w:r>
    </w:p>
    <w:p w14:paraId="25D863A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Mu, P. (2015). </w:t>
      </w:r>
      <w:r w:rsidRPr="00BE5472">
        <w:rPr>
          <w:rFonts w:ascii="Times New Roman" w:hAnsi="Times New Roman" w:cs="Times New Roman"/>
          <w:bCs/>
          <w:i/>
          <w:noProof/>
          <w:sz w:val="24"/>
          <w:szCs w:val="24"/>
        </w:rPr>
        <w:t>Research on the Formation Mechanism of Synergy Effects in Corporate Mergers and Acquisitions.</w:t>
      </w:r>
      <w:r w:rsidRPr="00BE5472">
        <w:rPr>
          <w:rFonts w:ascii="Times New Roman" w:hAnsi="Times New Roman" w:cs="Times New Roman"/>
          <w:bCs/>
          <w:noProof/>
          <w:sz w:val="24"/>
          <w:szCs w:val="24"/>
        </w:rPr>
        <w:t xml:space="preserve"> North China University of Technology.</w:t>
      </w:r>
    </w:p>
    <w:p w14:paraId="0421E412" w14:textId="2D6F3A20" w:rsidR="00AB2D48" w:rsidRPr="00BE5472" w:rsidRDefault="00AB2D48" w:rsidP="00AB2D4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Muhlmann, W.E. (1932). Hospitality. U: O'Gorman, K. D. (2005). Modern Hospitality: Lessons From the Past. Journal of Hospitality and Tourism Management, 12(2), 141 – 151. </w:t>
      </w:r>
    </w:p>
    <w:p w14:paraId="79740B8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Mulehrin, J. H., Netter, J. M. i Poulsen, A. B. (2017). The evidence on mergers and acquisitions: a historical and modern report. U: B. E. Hermalin i M. S. Weisbach (ur.) </w:t>
      </w:r>
      <w:r w:rsidRPr="00BE5472">
        <w:rPr>
          <w:rFonts w:ascii="Times New Roman" w:hAnsi="Times New Roman" w:cs="Times New Roman"/>
          <w:bCs/>
          <w:i/>
          <w:noProof/>
          <w:sz w:val="24"/>
          <w:szCs w:val="24"/>
        </w:rPr>
        <w:t xml:space="preserve">The Handbook of the Economics of Corporate Governance. </w:t>
      </w:r>
      <w:r w:rsidRPr="00BE5472">
        <w:rPr>
          <w:rFonts w:ascii="Times New Roman" w:hAnsi="Times New Roman" w:cs="Times New Roman"/>
          <w:bCs/>
          <w:noProof/>
          <w:sz w:val="24"/>
          <w:szCs w:val="24"/>
        </w:rPr>
        <w:t xml:space="preserve">North Holland, str. 235 – 289. </w:t>
      </w:r>
    </w:p>
    <w:p w14:paraId="73EA4E2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Nahavandi, A., Malekzadeh, A. (1988). Acculturation in acquisitions and acquisitions. </w:t>
      </w:r>
      <w:r w:rsidRPr="00BE5472">
        <w:rPr>
          <w:rFonts w:ascii="Times New Roman" w:hAnsi="Times New Roman" w:cs="Times New Roman"/>
          <w:bCs/>
          <w:i/>
          <w:noProof/>
          <w:sz w:val="24"/>
          <w:szCs w:val="24"/>
        </w:rPr>
        <w:t>Academy of Management Review</w:t>
      </w:r>
      <w:r w:rsidRPr="00BE5472">
        <w:rPr>
          <w:rFonts w:ascii="Times New Roman" w:hAnsi="Times New Roman" w:cs="Times New Roman"/>
          <w:bCs/>
          <w:noProof/>
          <w:sz w:val="24"/>
          <w:szCs w:val="24"/>
        </w:rPr>
        <w:t xml:space="preserve"> 13, 79e90.</w:t>
      </w:r>
    </w:p>
    <w:p w14:paraId="7EC4CC1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Napier, N. K. (1989). Mergers and acquisitions, human resource issues and outcomes: A review and suggested typology. </w:t>
      </w:r>
      <w:r w:rsidRPr="00BE5472">
        <w:rPr>
          <w:rFonts w:ascii="Times New Roman" w:hAnsi="Times New Roman" w:cs="Times New Roman"/>
          <w:bCs/>
          <w:i/>
          <w:noProof/>
          <w:sz w:val="24"/>
          <w:szCs w:val="24"/>
        </w:rPr>
        <w:t>Journal of Management Studies</w:t>
      </w:r>
      <w:r w:rsidRPr="00BE5472">
        <w:rPr>
          <w:rFonts w:ascii="Times New Roman" w:hAnsi="Times New Roman" w:cs="Times New Roman"/>
          <w:bCs/>
          <w:noProof/>
          <w:sz w:val="24"/>
          <w:szCs w:val="24"/>
        </w:rPr>
        <w:t>, 26(3), 271-290.</w:t>
      </w:r>
    </w:p>
    <w:p w14:paraId="0C5030C2" w14:textId="33160B64" w:rsidR="00413C15" w:rsidRPr="00BE5472" w:rsidRDefault="00413C15" w:rsidP="00413C15">
      <w:pPr>
        <w:pStyle w:val="ListParagraph"/>
        <w:numPr>
          <w:ilvl w:val="0"/>
          <w:numId w:val="64"/>
        </w:numPr>
        <w:spacing w:after="120" w:line="360" w:lineRule="auto"/>
        <w:jc w:val="both"/>
        <w:rPr>
          <w:rFonts w:ascii="Times New Roman" w:hAnsi="Times New Roman" w:cs="Times New Roman"/>
          <w:b/>
          <w:bCs/>
          <w:sz w:val="24"/>
          <w:szCs w:val="24"/>
        </w:rPr>
      </w:pPr>
      <w:r w:rsidRPr="00BE5472">
        <w:rPr>
          <w:rFonts w:ascii="Times New Roman" w:hAnsi="Times New Roman" w:cs="Times New Roman"/>
          <w:sz w:val="24"/>
          <w:szCs w:val="24"/>
        </w:rPr>
        <w:t xml:space="preserve">Narodne novine (2016). </w:t>
      </w:r>
      <w:r w:rsidRPr="00BE5472">
        <w:rPr>
          <w:rFonts w:ascii="Times New Roman" w:hAnsi="Times New Roman" w:cs="Times New Roman"/>
          <w:bCs/>
          <w:sz w:val="24"/>
          <w:szCs w:val="24"/>
        </w:rPr>
        <w:t>Pravilnik o razvrstavanju, kategorizaciji i posebnim standardima ugostiteljskih objekata iz skupine Hoteli. Broj 56/2016</w:t>
      </w:r>
    </w:p>
    <w:p w14:paraId="182CE619" w14:textId="2BFF0522" w:rsidR="00413C15" w:rsidRPr="00BE5472" w:rsidRDefault="00413C15" w:rsidP="00413C15">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Negi, J. (2014). </w:t>
      </w:r>
      <w:r w:rsidRPr="00BE5472">
        <w:rPr>
          <w:rFonts w:ascii="Times New Roman" w:hAnsi="Times New Roman" w:cs="Times New Roman"/>
          <w:i/>
          <w:sz w:val="24"/>
          <w:szCs w:val="24"/>
        </w:rPr>
        <w:t>Professional Hotel Management</w:t>
      </w:r>
      <w:r w:rsidRPr="00BE5472">
        <w:rPr>
          <w:rFonts w:ascii="Times New Roman" w:hAnsi="Times New Roman" w:cs="Times New Roman"/>
          <w:sz w:val="24"/>
          <w:szCs w:val="24"/>
        </w:rPr>
        <w:t xml:space="preserve">. SNew Delhi: Chand &amp; Company PVT. Ltd. </w:t>
      </w:r>
    </w:p>
    <w:p w14:paraId="5ED56DE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Novak, B. (2000). Spajanja i preuzimanja trgovačkih društava. </w:t>
      </w:r>
      <w:r w:rsidRPr="00BE5472">
        <w:rPr>
          <w:rFonts w:ascii="Times New Roman" w:hAnsi="Times New Roman" w:cs="Times New Roman"/>
          <w:bCs/>
          <w:i/>
          <w:noProof/>
          <w:sz w:val="24"/>
          <w:szCs w:val="24"/>
        </w:rPr>
        <w:t xml:space="preserve">Ekonomski vjesnik, </w:t>
      </w:r>
      <w:r w:rsidRPr="00BE5472">
        <w:rPr>
          <w:rFonts w:ascii="Times New Roman" w:hAnsi="Times New Roman" w:cs="Times New Roman"/>
          <w:bCs/>
          <w:noProof/>
          <w:sz w:val="24"/>
          <w:szCs w:val="24"/>
        </w:rPr>
        <w:t xml:space="preserve">1-2(13): 47 – 55. </w:t>
      </w:r>
    </w:p>
    <w:p w14:paraId="3CE747D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Öberg, C. (2008). The importance of customers in mergers and acquisitions. Doktorska disertacija broj 1193. Dostupno na: </w:t>
      </w:r>
    </w:p>
    <w:p w14:paraId="0FBC9B3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Ocasio, W. (1997) Towards an attention-based view of the firm’. </w:t>
      </w:r>
      <w:r w:rsidRPr="00BE5472">
        <w:rPr>
          <w:rFonts w:ascii="Times New Roman" w:hAnsi="Times New Roman" w:cs="Times New Roman"/>
          <w:bCs/>
          <w:i/>
          <w:noProof/>
          <w:sz w:val="24"/>
          <w:szCs w:val="24"/>
        </w:rPr>
        <w:t>Strategic Management Journal,</w:t>
      </w:r>
      <w:r w:rsidRPr="00BE5472">
        <w:rPr>
          <w:rFonts w:ascii="Times New Roman" w:hAnsi="Times New Roman" w:cs="Times New Roman"/>
          <w:bCs/>
          <w:noProof/>
          <w:sz w:val="24"/>
          <w:szCs w:val="24"/>
        </w:rPr>
        <w:t xml:space="preserve"> 18/posebno ljetno izdanje: 187–206</w:t>
      </w:r>
    </w:p>
    <w:p w14:paraId="763E8A8F" w14:textId="3A3C454C" w:rsidR="00413C15" w:rsidRPr="00BE5472" w:rsidRDefault="00413C15" w:rsidP="00BC203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O'Gorman, K. D. (2006). Modern Hospitality: Lessons From the Past. </w:t>
      </w:r>
      <w:r w:rsidRPr="00BE5472">
        <w:rPr>
          <w:rFonts w:ascii="Times New Roman" w:hAnsi="Times New Roman" w:cs="Times New Roman"/>
          <w:i/>
          <w:sz w:val="24"/>
          <w:szCs w:val="24"/>
        </w:rPr>
        <w:t>Journal of Hospitality and Tourism Management</w:t>
      </w:r>
      <w:r w:rsidRPr="00BE5472">
        <w:rPr>
          <w:rFonts w:ascii="Times New Roman" w:hAnsi="Times New Roman" w:cs="Times New Roman"/>
          <w:sz w:val="24"/>
          <w:szCs w:val="24"/>
        </w:rPr>
        <w:t xml:space="preserve">, 12(2), 141 – 151. </w:t>
      </w:r>
    </w:p>
    <w:p w14:paraId="376D49E5" w14:textId="73A53A43" w:rsidR="00BC203F" w:rsidRPr="00BE5472" w:rsidRDefault="00BC203F" w:rsidP="00BC203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lastRenderedPageBreak/>
        <w:t xml:space="preserve">Oleksiivna,O. B. i Anatoliiovych, O. I. (2022). Development of Hospitality in Historical Retrospective: European and Ukrainian Context. </w:t>
      </w:r>
      <w:r w:rsidRPr="00BE5472">
        <w:rPr>
          <w:rFonts w:ascii="Times New Roman" w:hAnsi="Times New Roman" w:cs="Times New Roman"/>
          <w:i/>
          <w:sz w:val="24"/>
          <w:szCs w:val="24"/>
        </w:rPr>
        <w:t xml:space="preserve">Geography and Tourism, </w:t>
      </w:r>
      <w:r w:rsidRPr="00BE5472">
        <w:rPr>
          <w:rFonts w:ascii="Times New Roman" w:hAnsi="Times New Roman" w:cs="Times New Roman"/>
          <w:sz w:val="24"/>
          <w:szCs w:val="24"/>
        </w:rPr>
        <w:t xml:space="preserve">9 – 15. </w:t>
      </w:r>
    </w:p>
    <w:p w14:paraId="519A593A"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Olie, R. I  Verwaal, E. (2004). The effects of cultural distance and host country experience on the performance of cross-border acquisitions. Rad prezentiran na: Academy of Management Conference, New Orleans, LA.</w:t>
      </w:r>
    </w:p>
    <w:p w14:paraId="295DE94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Owen, S. i Yawson, A. (2010).  Corporate life cycle and M&amp;A activity.</w:t>
      </w:r>
      <w:r w:rsidRPr="00BE5472">
        <w:rPr>
          <w:rFonts w:ascii="Times New Roman" w:hAnsi="Times New Roman" w:cs="Times New Roman"/>
          <w:i/>
          <w:noProof/>
          <w:sz w:val="24"/>
          <w:szCs w:val="24"/>
        </w:rPr>
        <w:t xml:space="preserve"> Journal of Banking &amp; Finance</w:t>
      </w:r>
      <w:r w:rsidRPr="00BE5472">
        <w:rPr>
          <w:rFonts w:ascii="Times New Roman" w:hAnsi="Times New Roman" w:cs="Times New Roman"/>
          <w:noProof/>
          <w:sz w:val="24"/>
          <w:szCs w:val="24"/>
        </w:rPr>
        <w:t>, 34 ste. 427–440.</w:t>
      </w:r>
    </w:p>
    <w:p w14:paraId="12CB0F2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Pablo, A. L. (1994). Determinants of acquisition integration level: A decisionmaking perspective’. </w:t>
      </w:r>
      <w:r w:rsidRPr="00BE5472">
        <w:rPr>
          <w:rFonts w:ascii="Times New Roman" w:hAnsi="Times New Roman" w:cs="Times New Roman"/>
          <w:bCs/>
          <w:i/>
          <w:noProof/>
          <w:sz w:val="24"/>
          <w:szCs w:val="24"/>
        </w:rPr>
        <w:t>Academy of Management Journal</w:t>
      </w:r>
      <w:r w:rsidRPr="00BE5472">
        <w:rPr>
          <w:rFonts w:ascii="Times New Roman" w:hAnsi="Times New Roman" w:cs="Times New Roman"/>
          <w:bCs/>
          <w:noProof/>
          <w:sz w:val="24"/>
          <w:szCs w:val="24"/>
        </w:rPr>
        <w:t>, 37(4), 803–836.</w:t>
      </w:r>
    </w:p>
    <w:p w14:paraId="1311142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Pablo, A. L. (1994). Determinants of acquisition integration level: A decision-making perspective. </w:t>
      </w:r>
      <w:r w:rsidRPr="00BE5472">
        <w:rPr>
          <w:rFonts w:ascii="Times New Roman" w:hAnsi="Times New Roman" w:cs="Times New Roman"/>
          <w:bCs/>
          <w:i/>
          <w:noProof/>
          <w:sz w:val="24"/>
          <w:szCs w:val="24"/>
        </w:rPr>
        <w:t>Academy of Management Journal,</w:t>
      </w:r>
      <w:r w:rsidRPr="00BE5472">
        <w:rPr>
          <w:rFonts w:ascii="Times New Roman" w:hAnsi="Times New Roman" w:cs="Times New Roman"/>
          <w:bCs/>
          <w:noProof/>
          <w:sz w:val="24"/>
          <w:szCs w:val="24"/>
        </w:rPr>
        <w:t xml:space="preserve"> 37 (4): 803-36.</w:t>
      </w:r>
    </w:p>
    <w:p w14:paraId="113ECC8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Parkhe, A. (1993). Strategic Alliance Structuring: A Game Theoretic and Transaction Cost Examination of Interfirm Cooperation. </w:t>
      </w:r>
      <w:r w:rsidRPr="00BE5472">
        <w:rPr>
          <w:rFonts w:ascii="Times New Roman" w:hAnsi="Times New Roman" w:cs="Times New Roman"/>
          <w:i/>
          <w:noProof/>
          <w:sz w:val="24"/>
          <w:szCs w:val="24"/>
        </w:rPr>
        <w:t>Academy of Management Journal</w:t>
      </w:r>
      <w:r w:rsidRPr="00BE5472">
        <w:rPr>
          <w:rFonts w:ascii="Times New Roman" w:hAnsi="Times New Roman" w:cs="Times New Roman"/>
          <w:noProof/>
          <w:sz w:val="24"/>
          <w:szCs w:val="24"/>
        </w:rPr>
        <w:t xml:space="preserve">, 35(4), 794 – 829. </w:t>
      </w:r>
    </w:p>
    <w:p w14:paraId="3138040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Patel, K. (bez dat.). The M&amp;A Process. Dostupno na: </w:t>
      </w:r>
      <w:hyperlink r:id="rId112" w:history="1">
        <w:r w:rsidRPr="00BE5472">
          <w:rPr>
            <w:rFonts w:ascii="Times New Roman" w:hAnsi="Times New Roman" w:cs="Times New Roman"/>
            <w:bCs/>
            <w:noProof/>
            <w:color w:val="0563C1" w:themeColor="hyperlink"/>
            <w:sz w:val="24"/>
            <w:szCs w:val="24"/>
            <w:u w:val="single"/>
          </w:rPr>
          <w:t>https://www.mascience.com/basics/the-m-a-process</w:t>
        </w:r>
      </w:hyperlink>
      <w:r w:rsidRPr="00BE5472">
        <w:rPr>
          <w:rFonts w:ascii="Times New Roman" w:hAnsi="Times New Roman" w:cs="Times New Roman"/>
          <w:bCs/>
          <w:noProof/>
          <w:sz w:val="24"/>
          <w:szCs w:val="24"/>
        </w:rPr>
        <w:t xml:space="preserve">  Pristupljeno: 1. ožujka 2023. </w:t>
      </w:r>
    </w:p>
    <w:p w14:paraId="5E79D601" w14:textId="18B87ED7" w:rsidR="00817B39" w:rsidRPr="00BE5472" w:rsidRDefault="0077630C" w:rsidP="0077630C">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bCs/>
          <w:sz w:val="24"/>
          <w:szCs w:val="24"/>
        </w:rPr>
        <w:t>Patton, M. Q. (2015).</w:t>
      </w:r>
      <w:r w:rsidRPr="00BE5472">
        <w:rPr>
          <w:rFonts w:ascii="Times New Roman" w:hAnsi="Times New Roman" w:cs="Times New Roman"/>
          <w:b/>
          <w:bCs/>
          <w:sz w:val="24"/>
          <w:szCs w:val="24"/>
        </w:rPr>
        <w:t xml:space="preserve"> </w:t>
      </w:r>
      <w:r w:rsidRPr="00BE5472">
        <w:rPr>
          <w:rFonts w:ascii="Times New Roman" w:hAnsi="Times New Roman" w:cs="Times New Roman"/>
          <w:i/>
          <w:iCs/>
          <w:sz w:val="24"/>
          <w:szCs w:val="24"/>
        </w:rPr>
        <w:t>Qualitative research &amp; evaluation methods</w:t>
      </w:r>
      <w:r w:rsidRPr="00BE5472">
        <w:rPr>
          <w:rFonts w:ascii="Times New Roman" w:hAnsi="Times New Roman" w:cs="Times New Roman"/>
          <w:sz w:val="24"/>
          <w:szCs w:val="24"/>
        </w:rPr>
        <w:t xml:space="preserve"> (4. izdanje). SAGE Publications.</w:t>
      </w:r>
    </w:p>
    <w:p w14:paraId="76AAD47E" w14:textId="56BBD49E"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Pavia, N. (1994). Hotelski menadžment kao poslovna funkcija. </w:t>
      </w:r>
      <w:r w:rsidRPr="00BE5472">
        <w:rPr>
          <w:rFonts w:ascii="Times New Roman" w:hAnsi="Times New Roman" w:cs="Times New Roman"/>
          <w:i/>
          <w:sz w:val="24"/>
          <w:szCs w:val="24"/>
        </w:rPr>
        <w:t xml:space="preserve">Tourism and Hospitality Management, </w:t>
      </w:r>
      <w:r w:rsidRPr="00BE5472">
        <w:rPr>
          <w:rFonts w:ascii="Times New Roman" w:hAnsi="Times New Roman" w:cs="Times New Roman"/>
          <w:sz w:val="24"/>
          <w:szCs w:val="24"/>
        </w:rPr>
        <w:t xml:space="preserve">10(3-4), 127 – 132. </w:t>
      </w:r>
    </w:p>
    <w:p w14:paraId="22D8D4EB" w14:textId="55F02F61" w:rsidR="00BC203F" w:rsidRPr="00BE5472" w:rsidRDefault="00BC203F" w:rsidP="00B5300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Pavia, N. (2006). Organiziranje u hotelijerstvu kao funkcija menadžmenta. </w:t>
      </w:r>
      <w:r w:rsidRPr="00BE5472">
        <w:rPr>
          <w:rFonts w:ascii="Times New Roman" w:hAnsi="Times New Roman" w:cs="Times New Roman"/>
          <w:i/>
          <w:sz w:val="24"/>
          <w:szCs w:val="24"/>
        </w:rPr>
        <w:t xml:space="preserve">Tourism and Hospitality Management, </w:t>
      </w:r>
      <w:r w:rsidRPr="00BE5472">
        <w:rPr>
          <w:rFonts w:ascii="Times New Roman" w:hAnsi="Times New Roman" w:cs="Times New Roman"/>
          <w:sz w:val="24"/>
          <w:szCs w:val="24"/>
        </w:rPr>
        <w:t xml:space="preserve">12(1), 131 – 136. </w:t>
      </w:r>
    </w:p>
    <w:p w14:paraId="4D000704" w14:textId="6E8B723F"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Penrose, E. (1959). </w:t>
      </w:r>
      <w:r w:rsidRPr="00BE5472">
        <w:rPr>
          <w:rFonts w:ascii="Times New Roman" w:hAnsi="Times New Roman" w:cs="Times New Roman"/>
          <w:i/>
          <w:noProof/>
          <w:sz w:val="24"/>
          <w:szCs w:val="24"/>
        </w:rPr>
        <w:t>The Theory of the Growth of the Firm</w:t>
      </w:r>
      <w:r w:rsidRPr="00BE5472">
        <w:rPr>
          <w:rFonts w:ascii="Times New Roman" w:hAnsi="Times New Roman" w:cs="Times New Roman"/>
          <w:noProof/>
          <w:sz w:val="24"/>
          <w:szCs w:val="24"/>
        </w:rPr>
        <w:t>. Oxford University Press</w:t>
      </w:r>
    </w:p>
    <w:p w14:paraId="7E41F352" w14:textId="2E2C3123" w:rsidR="00B53008" w:rsidRPr="00BE5472" w:rsidRDefault="00B53008" w:rsidP="00B5300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Pepeonik, Z. (1988). Osnovni prostorni pokazatelji turizma u Jugoslaviji,</w:t>
      </w:r>
      <w:r w:rsidRPr="00BE5472">
        <w:rPr>
          <w:rFonts w:ascii="Times New Roman" w:hAnsi="Times New Roman" w:cs="Times New Roman"/>
          <w:i/>
          <w:sz w:val="24"/>
          <w:szCs w:val="24"/>
        </w:rPr>
        <w:t xml:space="preserve"> Acta geographica Croatica</w:t>
      </w:r>
      <w:r w:rsidRPr="00BE5472">
        <w:rPr>
          <w:rFonts w:ascii="Times New Roman" w:hAnsi="Times New Roman" w:cs="Times New Roman"/>
          <w:sz w:val="24"/>
          <w:szCs w:val="24"/>
        </w:rPr>
        <w:t>, 23(1), 23-34.</w:t>
      </w:r>
    </w:p>
    <w:p w14:paraId="151A094F" w14:textId="77777777" w:rsidR="006E052A" w:rsidRPr="00BE5472" w:rsidRDefault="006E052A" w:rsidP="00120B4F">
      <w:pPr>
        <w:numPr>
          <w:ilvl w:val="0"/>
          <w:numId w:val="64"/>
        </w:numPr>
        <w:spacing w:after="0"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Pervan, Višić and Barnjak (2015). The Impact of M&amp;A on Company Performance: Evidence from Croatia. </w:t>
      </w:r>
      <w:r w:rsidRPr="00BE5472">
        <w:rPr>
          <w:rFonts w:ascii="Times New Roman" w:hAnsi="Times New Roman" w:cs="Times New Roman"/>
          <w:bCs/>
          <w:i/>
          <w:noProof/>
          <w:sz w:val="24"/>
          <w:szCs w:val="24"/>
        </w:rPr>
        <w:t>Procedia Economics and Finance</w:t>
      </w:r>
      <w:r w:rsidRPr="00BE5472">
        <w:rPr>
          <w:rFonts w:ascii="Times New Roman" w:hAnsi="Times New Roman" w:cs="Times New Roman"/>
          <w:bCs/>
          <w:noProof/>
          <w:sz w:val="24"/>
          <w:szCs w:val="24"/>
        </w:rPr>
        <w:t>: 23, 1451-1456.</w:t>
      </w:r>
    </w:p>
    <w:p w14:paraId="22E3E1E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Pintarić, J. (2019). Korporativne strategije poduzeća i obilježja menadžmenta ljudskih potencijala. </w:t>
      </w:r>
      <w:r w:rsidRPr="00BE5472">
        <w:rPr>
          <w:rFonts w:ascii="Times New Roman" w:hAnsi="Times New Roman" w:cs="Times New Roman"/>
          <w:i/>
          <w:noProof/>
          <w:sz w:val="24"/>
          <w:szCs w:val="24"/>
        </w:rPr>
        <w:t>Serija članaka u nastajanju</w:t>
      </w:r>
      <w:r w:rsidRPr="00BE5472">
        <w:rPr>
          <w:rFonts w:ascii="Times New Roman" w:hAnsi="Times New Roman" w:cs="Times New Roman"/>
          <w:noProof/>
          <w:sz w:val="24"/>
          <w:szCs w:val="24"/>
        </w:rPr>
        <w:t>. Članak broj 10-06. Zagreb: Ekonomski fakultet u Zagrebu. Dostupno na: https://hrcak.srce.hr/file/201915 Pristupljeno: 11.01.2024.</w:t>
      </w:r>
    </w:p>
    <w:p w14:paraId="5FE93351" w14:textId="0E795F02" w:rsidR="00B53008" w:rsidRPr="00BE5472" w:rsidRDefault="00B53008" w:rsidP="00B5300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Pirjavec, B. (1998). </w:t>
      </w:r>
      <w:r w:rsidRPr="00BE5472">
        <w:rPr>
          <w:rFonts w:ascii="Times New Roman" w:hAnsi="Times New Roman" w:cs="Times New Roman"/>
          <w:i/>
          <w:sz w:val="24"/>
          <w:szCs w:val="24"/>
        </w:rPr>
        <w:t xml:space="preserve">Ekonomska obilježja turizma. </w:t>
      </w:r>
      <w:r w:rsidRPr="00BE5472">
        <w:rPr>
          <w:rFonts w:ascii="Times New Roman" w:hAnsi="Times New Roman" w:cs="Times New Roman"/>
          <w:sz w:val="24"/>
          <w:szCs w:val="24"/>
        </w:rPr>
        <w:t xml:space="preserve">Zagreb: Golden marketing. </w:t>
      </w:r>
    </w:p>
    <w:p w14:paraId="236B7FA1" w14:textId="26054C5E" w:rsidR="00FA01BC" w:rsidRDefault="00FA01BC" w:rsidP="00120B4F">
      <w:pPr>
        <w:numPr>
          <w:ilvl w:val="0"/>
          <w:numId w:val="64"/>
        </w:numPr>
        <w:spacing w:after="0" w:line="360" w:lineRule="auto"/>
        <w:contextualSpacing/>
        <w:jc w:val="both"/>
        <w:rPr>
          <w:rFonts w:ascii="Times New Roman" w:hAnsi="Times New Roman" w:cs="Times New Roman"/>
          <w:bCs/>
          <w:noProof/>
          <w:sz w:val="24"/>
          <w:szCs w:val="24"/>
        </w:rPr>
      </w:pPr>
      <w:r w:rsidRPr="00FA01BC">
        <w:rPr>
          <w:rFonts w:ascii="Times New Roman" w:hAnsi="Times New Roman" w:cs="Times New Roman"/>
          <w:bCs/>
          <w:noProof/>
          <w:sz w:val="24"/>
          <w:szCs w:val="24"/>
        </w:rPr>
        <w:lastRenderedPageBreak/>
        <w:t xml:space="preserve">Pivčević, S. (2006). </w:t>
      </w:r>
      <w:r w:rsidRPr="00FA01BC">
        <w:rPr>
          <w:rFonts w:ascii="Times New Roman" w:hAnsi="Times New Roman" w:cs="Times New Roman"/>
          <w:bCs/>
          <w:i/>
          <w:noProof/>
          <w:sz w:val="24"/>
          <w:szCs w:val="24"/>
        </w:rPr>
        <w:t>Primjena umrežavanja u poslovanju malih hotela</w:t>
      </w:r>
      <w:r w:rsidRPr="00FA01BC">
        <w:rPr>
          <w:rFonts w:ascii="Times New Roman" w:hAnsi="Times New Roman" w:cs="Times New Roman"/>
          <w:bCs/>
          <w:noProof/>
          <w:sz w:val="24"/>
          <w:szCs w:val="24"/>
        </w:rPr>
        <w:t>. Magistarski rad, Sveučilište u Zagrebu, Ekonomski fakultet, Zagreb.</w:t>
      </w:r>
    </w:p>
    <w:p w14:paraId="1B5E62B1" w14:textId="394B93A2"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Pohlman, M. (2017). Mergers and acquisitions in hospitality expected to accelerate. </w:t>
      </w:r>
      <w:r w:rsidRPr="00BE5472">
        <w:rPr>
          <w:rFonts w:ascii="Times New Roman" w:hAnsi="Times New Roman" w:cs="Times New Roman"/>
          <w:bCs/>
          <w:i/>
          <w:noProof/>
          <w:sz w:val="24"/>
          <w:szCs w:val="24"/>
        </w:rPr>
        <w:t>Hotel Management,</w:t>
      </w:r>
      <w:r w:rsidRPr="00BE5472">
        <w:rPr>
          <w:rFonts w:ascii="Times New Roman" w:hAnsi="Times New Roman" w:cs="Times New Roman"/>
          <w:bCs/>
          <w:noProof/>
          <w:sz w:val="24"/>
          <w:szCs w:val="24"/>
        </w:rPr>
        <w:t xml:space="preserve"> 12. Listopad 2017. Dostupno na: </w:t>
      </w:r>
      <w:hyperlink r:id="rId113" w:history="1">
        <w:r w:rsidRPr="00BE5472">
          <w:rPr>
            <w:rFonts w:ascii="Times New Roman" w:hAnsi="Times New Roman" w:cs="Times New Roman"/>
            <w:bCs/>
            <w:noProof/>
            <w:color w:val="0563C1" w:themeColor="hyperlink"/>
            <w:sz w:val="24"/>
            <w:szCs w:val="24"/>
            <w:u w:val="single"/>
          </w:rPr>
          <w:t>https://www.hotelmanagement.net/transactions/mergers-and-acquisitions-hospitality-expected-to-accelerate</w:t>
        </w:r>
      </w:hyperlink>
      <w:r w:rsidRPr="00BE5472">
        <w:rPr>
          <w:rFonts w:ascii="Times New Roman" w:hAnsi="Times New Roman" w:cs="Times New Roman"/>
          <w:bCs/>
          <w:noProof/>
          <w:sz w:val="24"/>
          <w:szCs w:val="24"/>
        </w:rPr>
        <w:t xml:space="preserve">  Pristupljeno: 17. siječnja 2022.</w:t>
      </w:r>
    </w:p>
    <w:p w14:paraId="0EFCD8E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Poljancec – Borić, S. (2004). Privatizacija hrvatske hotelske industrije: reforma i anomija. </w:t>
      </w:r>
      <w:r w:rsidRPr="00BE5472">
        <w:rPr>
          <w:rFonts w:ascii="Times New Roman" w:hAnsi="Times New Roman" w:cs="Times New Roman"/>
          <w:i/>
          <w:noProof/>
          <w:sz w:val="24"/>
          <w:szCs w:val="24"/>
        </w:rPr>
        <w:t xml:space="preserve">Društvena istraživanja, </w:t>
      </w:r>
      <w:r w:rsidRPr="00BE5472">
        <w:rPr>
          <w:rFonts w:ascii="Times New Roman" w:hAnsi="Times New Roman" w:cs="Times New Roman"/>
          <w:noProof/>
          <w:sz w:val="24"/>
          <w:szCs w:val="24"/>
        </w:rPr>
        <w:t xml:space="preserve">13(1-2), 27 – 48. </w:t>
      </w:r>
    </w:p>
    <w:p w14:paraId="1518C22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Porter, M. (1985). </w:t>
      </w:r>
      <w:r w:rsidRPr="00BE5472">
        <w:rPr>
          <w:rFonts w:ascii="Times New Roman" w:hAnsi="Times New Roman" w:cs="Times New Roman"/>
          <w:i/>
          <w:noProof/>
          <w:sz w:val="24"/>
          <w:szCs w:val="24"/>
        </w:rPr>
        <w:t>Competitive Advantage. Creating and Sustaining Superior Performance</w:t>
      </w:r>
      <w:r w:rsidRPr="00BE5472">
        <w:rPr>
          <w:rFonts w:ascii="Times New Roman" w:hAnsi="Times New Roman" w:cs="Times New Roman"/>
          <w:noProof/>
          <w:sz w:val="24"/>
          <w:szCs w:val="24"/>
        </w:rPr>
        <w:t>. New York: The Free Press.</w:t>
      </w:r>
    </w:p>
    <w:p w14:paraId="0D858956" w14:textId="0BBFCF0E" w:rsidR="00667F98" w:rsidRPr="00BE5472" w:rsidRDefault="00667F98" w:rsidP="00667F9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Pupavac, J. i Kravaica, A. V. (2021). Labour Productivity in the Croatian Hotel Industry</w:t>
      </w:r>
      <w:r w:rsidRPr="00BE5472">
        <w:rPr>
          <w:rFonts w:ascii="Times New Roman" w:hAnsi="Times New Roman" w:cs="Times New Roman"/>
          <w:i/>
          <w:sz w:val="24"/>
          <w:szCs w:val="24"/>
        </w:rPr>
        <w:t>. Proceedings of the 7th International Scientific Conference Limen</w:t>
      </w:r>
      <w:r w:rsidRPr="00BE5472">
        <w:rPr>
          <w:rFonts w:ascii="Times New Roman" w:hAnsi="Times New Roman" w:cs="Times New Roman"/>
          <w:sz w:val="24"/>
          <w:szCs w:val="24"/>
        </w:rPr>
        <w:t xml:space="preserve">. Graz., 131 – 137. </w:t>
      </w:r>
    </w:p>
    <w:p w14:paraId="31C69CAB" w14:textId="2F5E9DF3" w:rsidR="00F40516" w:rsidRPr="00BE5472" w:rsidRDefault="00F40516" w:rsidP="00120B4F">
      <w:pPr>
        <w:pStyle w:val="ListParagraph"/>
        <w:numPr>
          <w:ilvl w:val="0"/>
          <w:numId w:val="64"/>
        </w:numPr>
        <w:spacing w:line="360" w:lineRule="auto"/>
        <w:rPr>
          <w:rFonts w:ascii="Times New Roman" w:hAnsi="Times New Roman" w:cs="Times New Roman"/>
        </w:rPr>
      </w:pPr>
      <w:r w:rsidRPr="00BE5472">
        <w:rPr>
          <w:rFonts w:ascii="Times New Roman" w:hAnsi="Times New Roman" w:cs="Times New Roman"/>
          <w:noProof/>
          <w:sz w:val="24"/>
          <w:szCs w:val="24"/>
        </w:rPr>
        <w:t>R Core Team (2023). R:</w:t>
      </w:r>
      <w:r w:rsidRPr="00BE5472">
        <w:rPr>
          <w:rFonts w:ascii="Times New Roman" w:hAnsi="Times New Roman" w:cs="Times New Roman"/>
          <w:i/>
          <w:iCs/>
        </w:rPr>
        <w:t xml:space="preserve"> </w:t>
      </w:r>
      <w:r w:rsidRPr="00BE5472">
        <w:rPr>
          <w:rFonts w:ascii="Times New Roman" w:hAnsi="Times New Roman" w:cs="Times New Roman"/>
          <w:i/>
          <w:noProof/>
          <w:sz w:val="24"/>
          <w:szCs w:val="24"/>
        </w:rPr>
        <w:t>A Language and Environment for Statistical Computing</w:t>
      </w:r>
      <w:r w:rsidRPr="00BE5472">
        <w:rPr>
          <w:rFonts w:ascii="Times New Roman" w:hAnsi="Times New Roman" w:cs="Times New Roman"/>
        </w:rPr>
        <w:t xml:space="preserve">. </w:t>
      </w:r>
      <w:r w:rsidRPr="00BE5472">
        <w:rPr>
          <w:rFonts w:ascii="Times New Roman" w:hAnsi="Times New Roman" w:cs="Times New Roman"/>
          <w:noProof/>
          <w:sz w:val="24"/>
          <w:szCs w:val="24"/>
        </w:rPr>
        <w:t>R</w:t>
      </w:r>
      <w:r w:rsidRPr="00BE5472">
        <w:rPr>
          <w:rFonts w:ascii="Times New Roman" w:hAnsi="Times New Roman" w:cs="Times New Roman"/>
        </w:rPr>
        <w:t xml:space="preserve"> </w:t>
      </w:r>
      <w:r w:rsidRPr="00BE5472">
        <w:rPr>
          <w:rFonts w:ascii="Times New Roman" w:hAnsi="Times New Roman" w:cs="Times New Roman"/>
          <w:noProof/>
          <w:sz w:val="24"/>
          <w:szCs w:val="24"/>
        </w:rPr>
        <w:t>Foundation for Statistical Computing, Vienna.</w:t>
      </w:r>
    </w:p>
    <w:p w14:paraId="71DDDFA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Ranft, A.L. i Lord, M.D. (2002). Acquiring new technologies and capabilities: a grounded model of acquisition implementation. </w:t>
      </w:r>
      <w:r w:rsidRPr="00BE5472">
        <w:rPr>
          <w:rFonts w:ascii="Times New Roman" w:hAnsi="Times New Roman" w:cs="Times New Roman"/>
          <w:bCs/>
          <w:i/>
          <w:noProof/>
          <w:sz w:val="24"/>
          <w:szCs w:val="24"/>
        </w:rPr>
        <w:t>Organization Science</w:t>
      </w:r>
      <w:r w:rsidRPr="00BE5472">
        <w:rPr>
          <w:rFonts w:ascii="Times New Roman" w:hAnsi="Times New Roman" w:cs="Times New Roman"/>
          <w:bCs/>
          <w:noProof/>
          <w:sz w:val="24"/>
          <w:szCs w:val="24"/>
        </w:rPr>
        <w:t>, 13, 420–441.</w:t>
      </w:r>
    </w:p>
    <w:p w14:paraId="67DB244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Rakušić Cvrtak,K., Borovac Zekan, S., Pivčević Vranješ, K. (2022).Franchising as a strategy of entering foreign markets in the hotel industry. </w:t>
      </w:r>
      <w:r w:rsidRPr="00BE5472">
        <w:rPr>
          <w:rFonts w:ascii="Times New Roman" w:hAnsi="Times New Roman" w:cs="Times New Roman"/>
          <w:i/>
          <w:noProof/>
          <w:sz w:val="24"/>
          <w:szCs w:val="24"/>
        </w:rPr>
        <w:t>SSDjournal</w:t>
      </w:r>
      <w:r w:rsidRPr="00BE5472">
        <w:rPr>
          <w:rFonts w:ascii="Times New Roman" w:hAnsi="Times New Roman" w:cs="Times New Roman"/>
          <w:noProof/>
          <w:sz w:val="24"/>
          <w:szCs w:val="24"/>
        </w:rPr>
        <w:t>, 7(29), 171-183.</w:t>
      </w:r>
    </w:p>
    <w:p w14:paraId="0171199F" w14:textId="326C99DA" w:rsidR="00C92588" w:rsidRPr="00BE5472" w:rsidRDefault="00526049" w:rsidP="00526049">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Raykov, T. (1997). Scale reliability, Cronbach's coefficient alpha, and violations of essential tau-equivalence with fixed congeneric components. </w:t>
      </w:r>
      <w:r w:rsidRPr="00BE5472">
        <w:rPr>
          <w:rFonts w:ascii="Times New Roman" w:hAnsi="Times New Roman" w:cs="Times New Roman"/>
          <w:i/>
          <w:sz w:val="24"/>
          <w:szCs w:val="24"/>
        </w:rPr>
        <w:t>Multivariate Behavioral Research</w:t>
      </w:r>
      <w:r w:rsidRPr="00BE5472">
        <w:rPr>
          <w:rFonts w:ascii="Times New Roman" w:hAnsi="Times New Roman" w:cs="Times New Roman"/>
          <w:sz w:val="24"/>
          <w:szCs w:val="24"/>
        </w:rPr>
        <w:t>, 32, 329-353.</w:t>
      </w:r>
    </w:p>
    <w:p w14:paraId="5D0B7A4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Republika Hrvatska, Državni ured za reviziju (2002). </w:t>
      </w:r>
      <w:r w:rsidRPr="00BE5472">
        <w:rPr>
          <w:rFonts w:ascii="Times New Roman" w:hAnsi="Times New Roman" w:cs="Times New Roman"/>
          <w:i/>
          <w:noProof/>
          <w:sz w:val="24"/>
          <w:szCs w:val="24"/>
        </w:rPr>
        <w:t>Izvješće o obavljenoj reviziji</w:t>
      </w:r>
      <w:r w:rsidRPr="00BE5472">
        <w:rPr>
          <w:rFonts w:ascii="Times New Roman" w:hAnsi="Times New Roman" w:cs="Times New Roman"/>
          <w:noProof/>
          <w:sz w:val="24"/>
          <w:szCs w:val="24"/>
        </w:rPr>
        <w:t>. Zagreb: Republika Hrvatska</w:t>
      </w:r>
    </w:p>
    <w:p w14:paraId="4244233E" w14:textId="3D648117" w:rsidR="00667F98" w:rsidRPr="00BE5472" w:rsidRDefault="00667F98" w:rsidP="00667F98">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Rispoli, M. i Tamma, M. (1996). </w:t>
      </w:r>
      <w:r w:rsidRPr="00BE5472">
        <w:rPr>
          <w:rFonts w:ascii="Times New Roman" w:hAnsi="Times New Roman" w:cs="Times New Roman"/>
          <w:i/>
          <w:sz w:val="24"/>
          <w:szCs w:val="24"/>
        </w:rPr>
        <w:t>Le imprese alberghiere nell’industria dei viaggi e del Turismo</w:t>
      </w:r>
      <w:r w:rsidRPr="00BE5472">
        <w:rPr>
          <w:rFonts w:ascii="Times New Roman" w:hAnsi="Times New Roman" w:cs="Times New Roman"/>
          <w:sz w:val="24"/>
          <w:szCs w:val="24"/>
        </w:rPr>
        <w:t>. Padova: CEDAM</w:t>
      </w:r>
    </w:p>
    <w:p w14:paraId="1C5DEDE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Ritchie, J. B. (1993). Crafting a destination vision: Putting the concept of resident responsive tourism into practice. </w:t>
      </w:r>
      <w:r w:rsidRPr="00BE5472">
        <w:rPr>
          <w:rFonts w:ascii="Times New Roman" w:hAnsi="Times New Roman" w:cs="Times New Roman"/>
          <w:i/>
          <w:noProof/>
          <w:sz w:val="24"/>
          <w:szCs w:val="24"/>
        </w:rPr>
        <w:t>Tourism Management</w:t>
      </w:r>
      <w:r w:rsidRPr="00BE5472">
        <w:rPr>
          <w:rFonts w:ascii="Times New Roman" w:hAnsi="Times New Roman" w:cs="Times New Roman"/>
          <w:noProof/>
          <w:sz w:val="24"/>
          <w:szCs w:val="24"/>
        </w:rPr>
        <w:t xml:space="preserve">, 14(5), str. 379–389. </w:t>
      </w:r>
    </w:p>
    <w:p w14:paraId="5A7B712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Rodriguez-Sanchez, J. L., Ortiz-de-Urbina-Criado, M. i Mora-Valentin, E. M. (2019). Thinking about people in mergers and acquisitions processes. </w:t>
      </w:r>
      <w:r w:rsidRPr="00BE5472">
        <w:rPr>
          <w:rFonts w:ascii="Times New Roman" w:hAnsi="Times New Roman" w:cs="Times New Roman"/>
          <w:bCs/>
          <w:i/>
          <w:noProof/>
          <w:sz w:val="24"/>
          <w:szCs w:val="24"/>
        </w:rPr>
        <w:t>International Journal of Manpower,</w:t>
      </w:r>
      <w:r w:rsidRPr="00BE5472">
        <w:rPr>
          <w:rFonts w:ascii="Times New Roman" w:hAnsi="Times New Roman" w:cs="Times New Roman"/>
          <w:bCs/>
          <w:noProof/>
          <w:sz w:val="24"/>
          <w:szCs w:val="24"/>
        </w:rPr>
        <w:t xml:space="preserve"> 40(4), 643 – 657. DOI10.1108/IJM-05-2018-0143 </w:t>
      </w:r>
    </w:p>
    <w:p w14:paraId="4CB1E48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lastRenderedPageBreak/>
        <w:t xml:space="preserve">Rouzies, A., Colman, H. L., &amp; Angwin, D. (2019). Recasting the dynamics of post-acquisition integration: An embeddedness perspective. </w:t>
      </w:r>
      <w:r w:rsidRPr="00BE5472">
        <w:rPr>
          <w:rFonts w:ascii="Times New Roman" w:hAnsi="Times New Roman" w:cs="Times New Roman"/>
          <w:i/>
          <w:noProof/>
          <w:sz w:val="24"/>
          <w:szCs w:val="24"/>
        </w:rPr>
        <w:t>Long Range Planning</w:t>
      </w:r>
      <w:r w:rsidRPr="00BE5472">
        <w:rPr>
          <w:rFonts w:ascii="Times New Roman" w:hAnsi="Times New Roman" w:cs="Times New Roman"/>
          <w:noProof/>
          <w:sz w:val="24"/>
          <w:szCs w:val="24"/>
        </w:rPr>
        <w:t>, 52(2), 271-282.</w:t>
      </w:r>
    </w:p>
    <w:p w14:paraId="5F97E6D4"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Rousseau, P. L. (2009). The Q-Theory of Mergers: International and Cross-Border Evidence. 15. Dubrovnik Economic Conference, Dubrovnik, 24. lipnja do 27. lipnja 2009. Dostupno na: https://www.hnb.hr/documents/20182/120658/paper-rousseau.pdf/50f24d3e-a519-4c95-b863-9bc826d22267 Pristupljeno: 13. ožujka 2024.</w:t>
      </w:r>
    </w:p>
    <w:p w14:paraId="1812899B" w14:textId="51989ED6" w:rsidR="00B82A10" w:rsidRPr="00BE5472" w:rsidRDefault="00B82A10" w:rsidP="00B82A10">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Sampson, A. (2022). </w:t>
      </w:r>
      <w:r w:rsidRPr="00BE5472">
        <w:rPr>
          <w:rFonts w:ascii="Times New Roman" w:hAnsi="Times New Roman" w:cs="Times New Roman"/>
          <w:i/>
          <w:sz w:val="24"/>
          <w:szCs w:val="24"/>
        </w:rPr>
        <w:t>Hospitality Management. An Introduction</w:t>
      </w:r>
      <w:r w:rsidRPr="00BE5472">
        <w:rPr>
          <w:rFonts w:ascii="Times New Roman" w:hAnsi="Times New Roman" w:cs="Times New Roman"/>
          <w:sz w:val="24"/>
          <w:szCs w:val="24"/>
        </w:rPr>
        <w:t>. UK: Ed-Tech Press</w:t>
      </w:r>
    </w:p>
    <w:p w14:paraId="617F352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Sarala, R. M., Junni, P., Cooper, C. L. i Tarba, S. Y. (2016). A sociocultural perspective on knowledge transfer in mergers and acquisitions. </w:t>
      </w:r>
      <w:r w:rsidRPr="00BE5472">
        <w:rPr>
          <w:rFonts w:ascii="Times New Roman" w:hAnsi="Times New Roman" w:cs="Times New Roman"/>
          <w:i/>
          <w:noProof/>
          <w:sz w:val="24"/>
          <w:szCs w:val="24"/>
        </w:rPr>
        <w:t>Journal of Management</w:t>
      </w:r>
      <w:r w:rsidRPr="00BE5472">
        <w:rPr>
          <w:rFonts w:ascii="Times New Roman" w:hAnsi="Times New Roman" w:cs="Times New Roman"/>
          <w:noProof/>
          <w:sz w:val="24"/>
          <w:szCs w:val="24"/>
        </w:rPr>
        <w:t>, 42(5), 1230-1249.</w:t>
      </w:r>
    </w:p>
    <w:p w14:paraId="6827B0E0" w14:textId="77777777" w:rsidR="006E052A" w:rsidRPr="00BE5472" w:rsidRDefault="006E052A" w:rsidP="00120B4F">
      <w:pPr>
        <w:numPr>
          <w:ilvl w:val="0"/>
          <w:numId w:val="64"/>
        </w:numPr>
        <w:spacing w:after="0"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Saunders, M. N., Altinay, L. i Riordan, K. (2009) The management of post-merger cultural integration: implications from the hotel industry. </w:t>
      </w:r>
      <w:r w:rsidRPr="00BE5472">
        <w:rPr>
          <w:rFonts w:ascii="Times New Roman" w:hAnsi="Times New Roman" w:cs="Times New Roman"/>
          <w:bCs/>
          <w:i/>
          <w:noProof/>
          <w:sz w:val="24"/>
          <w:szCs w:val="24"/>
        </w:rPr>
        <w:t>Journal of Hospitality Financial Management</w:t>
      </w:r>
      <w:r w:rsidRPr="00BE5472">
        <w:rPr>
          <w:rFonts w:ascii="Times New Roman" w:hAnsi="Times New Roman" w:cs="Times New Roman"/>
          <w:bCs/>
          <w:noProof/>
          <w:sz w:val="24"/>
          <w:szCs w:val="24"/>
        </w:rPr>
        <w:t>, 47: 116 – 119.</w:t>
      </w:r>
    </w:p>
    <w:p w14:paraId="55B95DB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Schweiger, D. M. i Weber, Y. (1989). Strategies for managing human resources during mergers and acquisitions: An empirical investigation. </w:t>
      </w:r>
      <w:r w:rsidRPr="00BE5472">
        <w:rPr>
          <w:rFonts w:ascii="Times New Roman" w:hAnsi="Times New Roman" w:cs="Times New Roman"/>
          <w:bCs/>
          <w:i/>
          <w:noProof/>
          <w:sz w:val="24"/>
          <w:szCs w:val="24"/>
        </w:rPr>
        <w:t>Human Resource Planning</w:t>
      </w:r>
      <w:r w:rsidRPr="00BE5472">
        <w:rPr>
          <w:rFonts w:ascii="Times New Roman" w:hAnsi="Times New Roman" w:cs="Times New Roman"/>
          <w:bCs/>
          <w:noProof/>
          <w:sz w:val="24"/>
          <w:szCs w:val="24"/>
        </w:rPr>
        <w:t>, 12(2), 69–87.</w:t>
      </w:r>
    </w:p>
    <w:p w14:paraId="434BFA62" w14:textId="77777777" w:rsidR="006E052A" w:rsidRPr="00BE5472" w:rsidRDefault="006E052A" w:rsidP="00120B4F">
      <w:pPr>
        <w:numPr>
          <w:ilvl w:val="0"/>
          <w:numId w:val="64"/>
        </w:numPr>
        <w:spacing w:after="0"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Sheel, A. i Negpal, A. (2013). The Post-Merger Equity Value Performance of Acquiring Firms in the Hospitality Industry. </w:t>
      </w:r>
      <w:r w:rsidRPr="00BE5472">
        <w:rPr>
          <w:rFonts w:ascii="Times New Roman" w:hAnsi="Times New Roman" w:cs="Times New Roman"/>
          <w:bCs/>
          <w:i/>
          <w:noProof/>
          <w:sz w:val="24"/>
          <w:szCs w:val="24"/>
        </w:rPr>
        <w:t xml:space="preserve">The Journal of Hospitality Financial Management, </w:t>
      </w:r>
      <w:r w:rsidRPr="00BE5472">
        <w:rPr>
          <w:rFonts w:ascii="Times New Roman" w:hAnsi="Times New Roman" w:cs="Times New Roman"/>
          <w:bCs/>
          <w:noProof/>
          <w:sz w:val="24"/>
          <w:szCs w:val="24"/>
        </w:rPr>
        <w:t xml:space="preserve">8(1): 37 – 45. </w:t>
      </w:r>
    </w:p>
    <w:p w14:paraId="54D16C73"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Sherman, A. (2010). </w:t>
      </w:r>
      <w:r w:rsidRPr="00BE5472">
        <w:rPr>
          <w:rFonts w:ascii="Times New Roman" w:hAnsi="Times New Roman" w:cs="Times New Roman"/>
          <w:i/>
          <w:noProof/>
          <w:sz w:val="24"/>
          <w:szCs w:val="24"/>
        </w:rPr>
        <w:t>Mergers and Acquisitions from A to Z</w:t>
      </w:r>
      <w:r w:rsidRPr="00BE5472">
        <w:rPr>
          <w:rFonts w:ascii="Times New Roman" w:hAnsi="Times New Roman" w:cs="Times New Roman"/>
          <w:noProof/>
          <w:sz w:val="24"/>
          <w:szCs w:val="24"/>
        </w:rPr>
        <w:t>. AMACOM</w:t>
      </w:r>
    </w:p>
    <w:p w14:paraId="013A525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Sikavica, P., Bahtijarević-Šiber, F., Pološki Vokić, N. (2008.). Temelji menadžmenta. Zagreb, Školska knjiga.</w:t>
      </w:r>
    </w:p>
    <w:p w14:paraId="4E93FCAF" w14:textId="77777777" w:rsidR="004F1A62" w:rsidRPr="00BE5472" w:rsidRDefault="004F1A62" w:rsidP="004F1A62">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SiteMinder (2024a). Hotel Management: Meaning, Types, and Operations. Dostupno na: </w:t>
      </w:r>
      <w:hyperlink r:id="rId114" w:anchor="what-is-hotel-management-" w:history="1">
        <w:r w:rsidRPr="00BE5472">
          <w:rPr>
            <w:rFonts w:ascii="Times New Roman" w:hAnsi="Times New Roman" w:cs="Times New Roman"/>
            <w:color w:val="0563C1" w:themeColor="hyperlink"/>
            <w:sz w:val="24"/>
            <w:szCs w:val="24"/>
            <w:u w:val="single"/>
          </w:rPr>
          <w:t>https://www.siteminder.com/r/hotel-management-strategies/#what-is-hotel-management-</w:t>
        </w:r>
      </w:hyperlink>
      <w:r w:rsidRPr="00BE5472">
        <w:rPr>
          <w:rFonts w:ascii="Times New Roman" w:hAnsi="Times New Roman" w:cs="Times New Roman"/>
          <w:sz w:val="24"/>
          <w:szCs w:val="24"/>
        </w:rPr>
        <w:t xml:space="preserve"> Pristupljeno: 25. srpnja 2024. </w:t>
      </w:r>
    </w:p>
    <w:p w14:paraId="2F14DDF6" w14:textId="3DD1140A" w:rsidR="004F1A62" w:rsidRPr="00BE5472" w:rsidRDefault="004F1A62" w:rsidP="004F1A62">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SiteMinder (2024b). Hotel industry trends to watch out for this year. Dostupno na: </w:t>
      </w:r>
      <w:hyperlink r:id="rId115" w:anchor="hospitality-trends-prominence-of-wellness-travel" w:history="1">
        <w:r w:rsidRPr="00BE5472">
          <w:rPr>
            <w:rFonts w:ascii="Times New Roman" w:hAnsi="Times New Roman" w:cs="Times New Roman"/>
            <w:color w:val="0563C1" w:themeColor="hyperlink"/>
            <w:sz w:val="24"/>
            <w:szCs w:val="24"/>
            <w:u w:val="single"/>
          </w:rPr>
          <w:t>https://www.siteminder.com/r/hotel-trends-hotel-hospitality-industry/#hospitality-trends-prominence-of-wellness-travel</w:t>
        </w:r>
      </w:hyperlink>
      <w:r w:rsidRPr="00BE5472">
        <w:rPr>
          <w:rFonts w:ascii="Times New Roman" w:hAnsi="Times New Roman" w:cs="Times New Roman"/>
          <w:sz w:val="24"/>
          <w:szCs w:val="24"/>
        </w:rPr>
        <w:t xml:space="preserve"> Pristupljeno: 24. srpnja 2024. </w:t>
      </w:r>
    </w:p>
    <w:p w14:paraId="57209C65" w14:textId="1711E76C" w:rsidR="00922CDD" w:rsidRPr="00BE5472" w:rsidRDefault="00922CDD" w:rsidP="000803F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Sledge, S., Miles, A.K. i Coppage, S. (2008). What role does culture play? A look at motivation and job satisfaction among hotel workers in Brazil. </w:t>
      </w:r>
      <w:r w:rsidRPr="00BE5472">
        <w:rPr>
          <w:rFonts w:ascii="Times New Roman" w:hAnsi="Times New Roman" w:cs="Times New Roman"/>
          <w:i/>
          <w:sz w:val="24"/>
          <w:szCs w:val="24"/>
        </w:rPr>
        <w:t>The International Journal of Human Resource Management,</w:t>
      </w:r>
      <w:r w:rsidRPr="00BE5472">
        <w:rPr>
          <w:rFonts w:ascii="Times New Roman" w:hAnsi="Times New Roman" w:cs="Times New Roman"/>
          <w:sz w:val="24"/>
          <w:szCs w:val="24"/>
        </w:rPr>
        <w:t xml:space="preserve"> 19 (9), 1667–1682.</w:t>
      </w:r>
    </w:p>
    <w:p w14:paraId="3576AAC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Stahl, G. i Voigt, A. (2003). </w:t>
      </w:r>
      <w:r w:rsidRPr="00BE5472">
        <w:rPr>
          <w:rFonts w:ascii="Times New Roman" w:hAnsi="Times New Roman" w:cs="Times New Roman"/>
          <w:bCs/>
          <w:i/>
          <w:noProof/>
          <w:sz w:val="24"/>
          <w:szCs w:val="24"/>
        </w:rPr>
        <w:t>Meta-Analyses of the Performance Implications of Cultural Differences in Mergers and Acquisitions: Integrationg Strategic, Financial and Organizational Performance.</w:t>
      </w:r>
      <w:r w:rsidRPr="00BE5472">
        <w:rPr>
          <w:rFonts w:ascii="Times New Roman" w:hAnsi="Times New Roman" w:cs="Times New Roman"/>
          <w:bCs/>
          <w:noProof/>
          <w:sz w:val="24"/>
          <w:szCs w:val="24"/>
        </w:rPr>
        <w:t xml:space="preserve"> Insead Working Paper Series. 2003/99/ABA. Dostupno na: </w:t>
      </w:r>
      <w:hyperlink r:id="rId116" w:history="1">
        <w:r w:rsidRPr="00BE5472">
          <w:rPr>
            <w:rFonts w:ascii="Times New Roman" w:hAnsi="Times New Roman" w:cs="Times New Roman"/>
            <w:bCs/>
            <w:noProof/>
            <w:color w:val="0563C1" w:themeColor="hyperlink"/>
            <w:sz w:val="24"/>
            <w:szCs w:val="24"/>
            <w:u w:val="single"/>
          </w:rPr>
          <w:t>https://flora.insead.edu/fichiersti_wp/inseadwp2003/2003-99.pdf</w:t>
        </w:r>
      </w:hyperlink>
      <w:r w:rsidRPr="00BE5472">
        <w:rPr>
          <w:rFonts w:ascii="Times New Roman" w:hAnsi="Times New Roman" w:cs="Times New Roman"/>
          <w:bCs/>
          <w:noProof/>
          <w:sz w:val="24"/>
          <w:szCs w:val="24"/>
        </w:rPr>
        <w:t xml:space="preserve"> </w:t>
      </w:r>
    </w:p>
    <w:p w14:paraId="24826AD7"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Stengel D. (2012). </w:t>
      </w:r>
      <w:r w:rsidRPr="00BE5472">
        <w:rPr>
          <w:rFonts w:ascii="Times New Roman" w:hAnsi="Times New Roman" w:cs="Times New Roman"/>
          <w:i/>
          <w:noProof/>
          <w:sz w:val="24"/>
          <w:szCs w:val="24"/>
        </w:rPr>
        <w:t>Managerial economics – principles</w:t>
      </w:r>
      <w:r w:rsidRPr="00BE5472">
        <w:rPr>
          <w:rFonts w:ascii="Times New Roman" w:hAnsi="Times New Roman" w:cs="Times New Roman"/>
          <w:noProof/>
          <w:sz w:val="24"/>
          <w:szCs w:val="24"/>
        </w:rPr>
        <w:t xml:space="preserve">. Dostupno na: </w:t>
      </w:r>
      <w:hyperlink r:id="rId117" w:history="1">
        <w:r w:rsidRPr="00BE5472">
          <w:rPr>
            <w:rFonts w:ascii="Times New Roman" w:hAnsi="Times New Roman" w:cs="Times New Roman"/>
            <w:noProof/>
            <w:color w:val="0563C1" w:themeColor="hyperlink"/>
            <w:sz w:val="24"/>
            <w:szCs w:val="24"/>
            <w:u w:val="single"/>
          </w:rPr>
          <w:t>http://2012books.lardbucket.org/pdfs/managerial-economics-principles.pdf</w:t>
        </w:r>
      </w:hyperlink>
      <w:r w:rsidRPr="00BE5472">
        <w:rPr>
          <w:rFonts w:ascii="Times New Roman" w:hAnsi="Times New Roman" w:cs="Times New Roman"/>
          <w:noProof/>
          <w:sz w:val="24"/>
          <w:szCs w:val="24"/>
        </w:rPr>
        <w:t xml:space="preserve">  Pristupljeno: 3.3..2024.</w:t>
      </w:r>
    </w:p>
    <w:p w14:paraId="57F4C8AD" w14:textId="0116BFB9" w:rsidR="001229D8" w:rsidRPr="00BE5472" w:rsidRDefault="0068005D" w:rsidP="0068005D">
      <w:pPr>
        <w:pStyle w:val="ListParagraph"/>
        <w:numPr>
          <w:ilvl w:val="0"/>
          <w:numId w:val="64"/>
        </w:numPr>
        <w:spacing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Stewart D. i Shamdasani P. (1980). </w:t>
      </w:r>
      <w:r w:rsidRPr="00BE5472">
        <w:rPr>
          <w:rFonts w:ascii="Times New Roman" w:hAnsi="Times New Roman" w:cs="Times New Roman"/>
          <w:i/>
          <w:iCs/>
          <w:sz w:val="24"/>
          <w:szCs w:val="24"/>
        </w:rPr>
        <w:t>Focus groups: Theory &amp; practice, Vol. 20: Applied social research methods series</w:t>
      </w:r>
      <w:r w:rsidRPr="00BE5472">
        <w:rPr>
          <w:rFonts w:ascii="Times New Roman" w:hAnsi="Times New Roman" w:cs="Times New Roman"/>
          <w:sz w:val="24"/>
          <w:szCs w:val="24"/>
        </w:rPr>
        <w:t>. Newbury Park, CA: Sage.</w:t>
      </w:r>
    </w:p>
    <w:p w14:paraId="3A49712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Thompson, A.A., Strickland III, A.J., Gamble J. E., (2008). </w:t>
      </w:r>
      <w:r w:rsidRPr="00BE5472">
        <w:rPr>
          <w:rFonts w:ascii="Times New Roman" w:hAnsi="Times New Roman" w:cs="Times New Roman"/>
          <w:i/>
          <w:noProof/>
          <w:sz w:val="24"/>
          <w:szCs w:val="24"/>
        </w:rPr>
        <w:t>Strateški menadžment u potrazi za konkurentskom prednošću. Teorija i slučajevi iz prakse.</w:t>
      </w:r>
      <w:r w:rsidRPr="00BE5472">
        <w:rPr>
          <w:rFonts w:ascii="Times New Roman" w:hAnsi="Times New Roman" w:cs="Times New Roman"/>
          <w:noProof/>
          <w:sz w:val="24"/>
          <w:szCs w:val="24"/>
        </w:rPr>
        <w:t xml:space="preserve"> Zagreb: MATE.</w:t>
      </w:r>
    </w:p>
    <w:p w14:paraId="2E87B898"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Thompson, A., Peteraf, M., Gamble, J. i Strickland. A. J. (2012). </w:t>
      </w:r>
      <w:r w:rsidRPr="00BE5472">
        <w:rPr>
          <w:rFonts w:ascii="Times New Roman" w:hAnsi="Times New Roman" w:cs="Times New Roman"/>
          <w:i/>
          <w:noProof/>
          <w:sz w:val="24"/>
          <w:szCs w:val="24"/>
        </w:rPr>
        <w:t>Crafting and executing strategy, concepts and cases</w:t>
      </w:r>
      <w:r w:rsidRPr="00BE5472">
        <w:rPr>
          <w:rFonts w:ascii="Times New Roman" w:hAnsi="Times New Roman" w:cs="Times New Roman"/>
          <w:noProof/>
          <w:sz w:val="24"/>
          <w:szCs w:val="24"/>
        </w:rPr>
        <w:t>. (Global ed.). McGraw-Hill.</w:t>
      </w:r>
    </w:p>
    <w:p w14:paraId="27C1729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Tipurić, D. (2014). Strateške opcije – razvojne strategije. Predavanje. Dostupno na: </w:t>
      </w:r>
      <w:hyperlink r:id="rId118" w:history="1">
        <w:r w:rsidRPr="00BE5472">
          <w:rPr>
            <w:rFonts w:ascii="Times New Roman" w:hAnsi="Times New Roman" w:cs="Times New Roman"/>
            <w:noProof/>
            <w:color w:val="0563C1" w:themeColor="hyperlink"/>
            <w:sz w:val="24"/>
            <w:szCs w:val="24"/>
            <w:u w:val="single"/>
          </w:rPr>
          <w:t>https://www.efzg.unizg.hr/UserDocsImages/OIM/dhruska/2014-8-%20Strate%C5%A1ke%20opcije%20-%20razvojne%20strategije.pdf</w:t>
        </w:r>
      </w:hyperlink>
      <w:r w:rsidRPr="00BE5472">
        <w:rPr>
          <w:rFonts w:ascii="Times New Roman" w:hAnsi="Times New Roman" w:cs="Times New Roman"/>
          <w:noProof/>
          <w:sz w:val="24"/>
          <w:szCs w:val="24"/>
        </w:rPr>
        <w:t xml:space="preserve">  Pristupljeno: 11.2.2024.</w:t>
      </w:r>
    </w:p>
    <w:p w14:paraId="4356D13E"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Tipurić, D., Markulin, G., (2002). </w:t>
      </w:r>
      <w:r w:rsidRPr="00BE5472">
        <w:rPr>
          <w:rFonts w:ascii="Times New Roman" w:hAnsi="Times New Roman" w:cs="Times New Roman"/>
          <w:i/>
          <w:noProof/>
          <w:sz w:val="24"/>
          <w:szCs w:val="24"/>
        </w:rPr>
        <w:t>Strateški savezi Suradnjom poduzeća do konkurentske prednosti.</w:t>
      </w:r>
      <w:r w:rsidRPr="00BE5472">
        <w:rPr>
          <w:rFonts w:ascii="Times New Roman" w:hAnsi="Times New Roman" w:cs="Times New Roman"/>
          <w:noProof/>
          <w:sz w:val="24"/>
          <w:szCs w:val="24"/>
        </w:rPr>
        <w:t xml:space="preserve"> Zagreb: Sinergija.</w:t>
      </w:r>
    </w:p>
    <w:p w14:paraId="74A61A0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Tipurić, D. (2005).  Alternativne strategije. U: Buble, M. (ur.). </w:t>
      </w:r>
      <w:r w:rsidRPr="00BE5472">
        <w:rPr>
          <w:rFonts w:ascii="Times New Roman" w:hAnsi="Times New Roman" w:cs="Times New Roman"/>
          <w:i/>
          <w:noProof/>
          <w:sz w:val="24"/>
          <w:szCs w:val="24"/>
        </w:rPr>
        <w:t>Strateški menadžment</w:t>
      </w:r>
      <w:r w:rsidRPr="00BE5472">
        <w:rPr>
          <w:rFonts w:ascii="Times New Roman" w:hAnsi="Times New Roman" w:cs="Times New Roman"/>
          <w:noProof/>
          <w:sz w:val="24"/>
          <w:szCs w:val="24"/>
        </w:rPr>
        <w:t>. Zagreb: Sinergija, Zagreb, str. 109-151.</w:t>
      </w:r>
    </w:p>
    <w:p w14:paraId="23425F75" w14:textId="77777777" w:rsidR="006E052A" w:rsidRPr="00BE5472" w:rsidRDefault="006E052A" w:rsidP="00120B4F">
      <w:pPr>
        <w:numPr>
          <w:ilvl w:val="0"/>
          <w:numId w:val="64"/>
        </w:numPr>
        <w:spacing w:after="0"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Tse, E. C. i Crawford-Welch, S. (1989). An Analysis of Merger and Acquisition Activity in the Hospitality Industry for the Period 1970-1988. </w:t>
      </w:r>
      <w:r w:rsidRPr="00BE5472">
        <w:rPr>
          <w:rFonts w:ascii="Times New Roman" w:hAnsi="Times New Roman" w:cs="Times New Roman"/>
          <w:bCs/>
          <w:i/>
          <w:noProof/>
          <w:sz w:val="24"/>
          <w:szCs w:val="24"/>
        </w:rPr>
        <w:t xml:space="preserve">Journal of Hospitality and Tourism Research, </w:t>
      </w:r>
      <w:r w:rsidRPr="00BE5472">
        <w:rPr>
          <w:rFonts w:ascii="Times New Roman" w:hAnsi="Times New Roman" w:cs="Times New Roman"/>
          <w:bCs/>
          <w:noProof/>
          <w:sz w:val="24"/>
          <w:szCs w:val="24"/>
        </w:rPr>
        <w:t>13(3): 1 – 13.</w:t>
      </w:r>
    </w:p>
    <w:p w14:paraId="4454D35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Sarala, R.M., Vaara, E. i Junni, P. (2017).  Beyond merger syndrome and cultural differences: new avenues for research on the ‘human side’ of global mergers and acquisitions (M&amp;As). </w:t>
      </w:r>
      <w:r w:rsidRPr="00BE5472">
        <w:rPr>
          <w:rFonts w:ascii="Times New Roman" w:hAnsi="Times New Roman" w:cs="Times New Roman"/>
          <w:bCs/>
          <w:i/>
          <w:noProof/>
          <w:sz w:val="24"/>
          <w:szCs w:val="24"/>
        </w:rPr>
        <w:t>Journal of World Business</w:t>
      </w:r>
      <w:r w:rsidRPr="00BE5472">
        <w:rPr>
          <w:rFonts w:ascii="Times New Roman" w:hAnsi="Times New Roman" w:cs="Times New Roman"/>
          <w:bCs/>
          <w:noProof/>
          <w:sz w:val="24"/>
          <w:szCs w:val="24"/>
        </w:rPr>
        <w:t>, 54(4), 307-321.</w:t>
      </w:r>
    </w:p>
    <w:p w14:paraId="053D51A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Saunders, M. N. K., Altinay, L. i Riordan, K. (2009). The management of post-merger cultural integration: implications from the hotel industry. </w:t>
      </w:r>
      <w:r w:rsidRPr="00BE5472">
        <w:rPr>
          <w:rFonts w:ascii="Times New Roman" w:hAnsi="Times New Roman" w:cs="Times New Roman"/>
          <w:bCs/>
          <w:i/>
          <w:noProof/>
          <w:sz w:val="24"/>
          <w:szCs w:val="24"/>
        </w:rPr>
        <w:t>The Service Industries Journal</w:t>
      </w:r>
      <w:r w:rsidRPr="00BE5472">
        <w:rPr>
          <w:rFonts w:ascii="Times New Roman" w:hAnsi="Times New Roman" w:cs="Times New Roman"/>
          <w:bCs/>
          <w:noProof/>
          <w:sz w:val="24"/>
          <w:szCs w:val="24"/>
        </w:rPr>
        <w:t xml:space="preserve">, 29(10), 1359 – 1375. </w:t>
      </w:r>
    </w:p>
    <w:p w14:paraId="1C73513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Schweiger, D.M.,Walsh, J.P. (1990). Mergers and acquisitions: an interdisciplinary view. </w:t>
      </w:r>
      <w:r w:rsidRPr="00BE5472">
        <w:rPr>
          <w:rFonts w:ascii="Times New Roman" w:hAnsi="Times New Roman" w:cs="Times New Roman"/>
          <w:bCs/>
          <w:i/>
          <w:noProof/>
          <w:sz w:val="24"/>
          <w:szCs w:val="24"/>
        </w:rPr>
        <w:t>Research in Personnel and Human Resources Management</w:t>
      </w:r>
      <w:r w:rsidRPr="00BE5472">
        <w:rPr>
          <w:rFonts w:ascii="Times New Roman" w:hAnsi="Times New Roman" w:cs="Times New Roman"/>
          <w:bCs/>
          <w:noProof/>
          <w:sz w:val="24"/>
          <w:szCs w:val="24"/>
        </w:rPr>
        <w:t xml:space="preserve"> 8, 41-107.</w:t>
      </w:r>
    </w:p>
    <w:p w14:paraId="0EFF45A9"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Schreyögg, G. (2005). The role of corporate cultural diversity in integrating mergers and acquisitions. U: G. K. Stahl i M. E. Mendenhall (ur.), </w:t>
      </w:r>
      <w:r w:rsidRPr="00BE5472">
        <w:rPr>
          <w:rFonts w:ascii="Times New Roman" w:hAnsi="Times New Roman" w:cs="Times New Roman"/>
          <w:bCs/>
          <w:i/>
          <w:noProof/>
          <w:sz w:val="24"/>
          <w:szCs w:val="24"/>
        </w:rPr>
        <w:t>Mergers and acquisitions</w:t>
      </w:r>
      <w:r w:rsidRPr="00BE5472">
        <w:rPr>
          <w:rFonts w:ascii="Times New Roman" w:hAnsi="Times New Roman" w:cs="Times New Roman"/>
          <w:bCs/>
          <w:noProof/>
          <w:sz w:val="24"/>
          <w:szCs w:val="24"/>
        </w:rPr>
        <w:t>. Palo Alto, CA: Stanford University Press, str.  108–125.</w:t>
      </w:r>
    </w:p>
    <w:p w14:paraId="72200AFB"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Shield, R., Thorpe, R. i Nelson, A. (2002). Hospital mergers and psychological contracts. </w:t>
      </w:r>
      <w:r w:rsidRPr="00BE5472">
        <w:rPr>
          <w:rFonts w:ascii="Times New Roman" w:hAnsi="Times New Roman" w:cs="Times New Roman"/>
          <w:bCs/>
          <w:i/>
          <w:noProof/>
          <w:sz w:val="24"/>
          <w:szCs w:val="24"/>
        </w:rPr>
        <w:t>Strategic Change</w:t>
      </w:r>
      <w:r w:rsidRPr="00BE5472">
        <w:rPr>
          <w:rFonts w:ascii="Times New Roman" w:hAnsi="Times New Roman" w:cs="Times New Roman"/>
          <w:bCs/>
          <w:noProof/>
          <w:sz w:val="24"/>
          <w:szCs w:val="24"/>
        </w:rPr>
        <w:t>, 11(7), 357–367.</w:t>
      </w:r>
    </w:p>
    <w:p w14:paraId="52522DED"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Siehl, C., Smith, D., 1990. Avoiding the loss of a gain: retaining managing executives in an acqu</w:t>
      </w:r>
      <w:r w:rsidRPr="00BE5472">
        <w:rPr>
          <w:rFonts w:ascii="Times New Roman" w:hAnsi="Times New Roman" w:cs="Times New Roman"/>
          <w:kern w:val="2"/>
          <w14:ligatures w14:val="standardContextual"/>
        </w:rPr>
        <w:t xml:space="preserve"> </w:t>
      </w:r>
      <w:r w:rsidRPr="00BE5472">
        <w:rPr>
          <w:rFonts w:ascii="Times New Roman" w:hAnsi="Times New Roman" w:cs="Times New Roman"/>
          <w:bCs/>
          <w:noProof/>
          <w:sz w:val="24"/>
          <w:szCs w:val="24"/>
        </w:rPr>
        <w:t xml:space="preserve">Sikavica, P., Bahtijarević-Šiber, F., Pološki Vokić, N. (2008.). Temelji menadžmenta. Zagreb, Školska knjiga.isition. </w:t>
      </w:r>
      <w:r w:rsidRPr="00BE5472">
        <w:rPr>
          <w:rFonts w:ascii="Times New Roman" w:hAnsi="Times New Roman" w:cs="Times New Roman"/>
          <w:bCs/>
          <w:i/>
          <w:noProof/>
          <w:sz w:val="24"/>
          <w:szCs w:val="24"/>
        </w:rPr>
        <w:t>Human Capabilities Management,</w:t>
      </w:r>
      <w:r w:rsidRPr="00BE5472">
        <w:rPr>
          <w:rFonts w:ascii="Times New Roman" w:hAnsi="Times New Roman" w:cs="Times New Roman"/>
          <w:bCs/>
          <w:noProof/>
          <w:sz w:val="24"/>
          <w:szCs w:val="24"/>
        </w:rPr>
        <w:t xml:space="preserve"> 29 (2), 167e185.</w:t>
      </w:r>
    </w:p>
    <w:p w14:paraId="35B8C8E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Sikavica, P., Bahtijarević-Šiber, F. i Pološki Vokić, N. (2008.). </w:t>
      </w:r>
      <w:r w:rsidRPr="00BE5472">
        <w:rPr>
          <w:rFonts w:ascii="Times New Roman" w:hAnsi="Times New Roman" w:cs="Times New Roman"/>
          <w:bCs/>
          <w:i/>
          <w:noProof/>
          <w:sz w:val="24"/>
          <w:szCs w:val="24"/>
        </w:rPr>
        <w:t>Temelji menadžmenta</w:t>
      </w:r>
      <w:r w:rsidRPr="00BE5472">
        <w:rPr>
          <w:rFonts w:ascii="Times New Roman" w:hAnsi="Times New Roman" w:cs="Times New Roman"/>
          <w:bCs/>
          <w:noProof/>
          <w:sz w:val="24"/>
          <w:szCs w:val="24"/>
        </w:rPr>
        <w:t>. Zagreb: Školska knjiga.</w:t>
      </w:r>
    </w:p>
    <w:p w14:paraId="6E9DCA85" w14:textId="5D4A0DA5" w:rsidR="004F1A62" w:rsidRPr="00BE5472" w:rsidRDefault="004F1A62" w:rsidP="004F1A62">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Skift (bez dat.). Skift Megatrends. Defining Travel in 2023. Dostupno na: </w:t>
      </w:r>
      <w:hyperlink r:id="rId119" w:history="1">
        <w:r w:rsidRPr="00BE5472">
          <w:rPr>
            <w:rFonts w:ascii="Times New Roman" w:hAnsi="Times New Roman" w:cs="Times New Roman"/>
            <w:color w:val="0563C1" w:themeColor="hyperlink"/>
            <w:sz w:val="24"/>
            <w:szCs w:val="24"/>
            <w:u w:val="single"/>
          </w:rPr>
          <w:t>https://skift.com/megatrends-2023/</w:t>
        </w:r>
      </w:hyperlink>
      <w:r w:rsidRPr="00BE5472">
        <w:rPr>
          <w:rFonts w:ascii="Times New Roman" w:hAnsi="Times New Roman" w:cs="Times New Roman"/>
          <w:sz w:val="24"/>
          <w:szCs w:val="24"/>
        </w:rPr>
        <w:t xml:space="preserve"> Pristupljeno: 24. ožujka 2024. </w:t>
      </w:r>
    </w:p>
    <w:p w14:paraId="5915C152" w14:textId="0127AA4F" w:rsidR="00E90FC4" w:rsidRPr="00BE5472" w:rsidRDefault="00E90FC4" w:rsidP="00E90FC4">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Smith, V. (ur.). (1978). </w:t>
      </w:r>
      <w:r w:rsidRPr="00BE5472">
        <w:rPr>
          <w:rFonts w:ascii="Times New Roman" w:hAnsi="Times New Roman" w:cs="Times New Roman"/>
          <w:i/>
          <w:sz w:val="24"/>
          <w:szCs w:val="24"/>
        </w:rPr>
        <w:t>Hosts and Guests: The Anthropology of Tourism</w:t>
      </w:r>
      <w:r w:rsidRPr="00BE5472">
        <w:rPr>
          <w:rFonts w:ascii="Times New Roman" w:hAnsi="Times New Roman" w:cs="Times New Roman"/>
          <w:sz w:val="24"/>
          <w:szCs w:val="24"/>
        </w:rPr>
        <w:t xml:space="preserve">. Oxford: Blackwell ugostiteljstvo. </w:t>
      </w:r>
    </w:p>
    <w:p w14:paraId="0D00C7D3"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Snow, B. (2011). </w:t>
      </w:r>
      <w:r w:rsidRPr="00BE5472">
        <w:rPr>
          <w:rFonts w:ascii="Times New Roman" w:hAnsi="Times New Roman" w:cs="Times New Roman"/>
          <w:i/>
          <w:noProof/>
          <w:sz w:val="24"/>
          <w:szCs w:val="24"/>
        </w:rPr>
        <w:t>Merger and Acquisition for Dummies</w:t>
      </w:r>
      <w:r w:rsidRPr="00BE5472">
        <w:rPr>
          <w:rFonts w:ascii="Times New Roman" w:hAnsi="Times New Roman" w:cs="Times New Roman"/>
          <w:noProof/>
          <w:sz w:val="24"/>
          <w:szCs w:val="24"/>
        </w:rPr>
        <w:t>. Canada: Wiley Publishing Inc.</w:t>
      </w:r>
    </w:p>
    <w:p w14:paraId="71FEA511"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Stahl, G. K. i Voigt, A. (2008). Do cultural differences matter in mergers and acquisitions? A tentative model and examination. </w:t>
      </w:r>
      <w:r w:rsidRPr="00BE5472">
        <w:rPr>
          <w:rFonts w:ascii="Times New Roman" w:hAnsi="Times New Roman" w:cs="Times New Roman"/>
          <w:bCs/>
          <w:i/>
          <w:noProof/>
          <w:sz w:val="24"/>
          <w:szCs w:val="24"/>
        </w:rPr>
        <w:t>Organization Science</w:t>
      </w:r>
      <w:r w:rsidRPr="00BE5472">
        <w:rPr>
          <w:rFonts w:ascii="Times New Roman" w:hAnsi="Times New Roman" w:cs="Times New Roman"/>
          <w:bCs/>
          <w:noProof/>
          <w:sz w:val="24"/>
          <w:szCs w:val="24"/>
        </w:rPr>
        <w:t>, 19, 160–176.</w:t>
      </w:r>
    </w:p>
    <w:p w14:paraId="0D9B2B95"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bCs/>
          <w:sz w:val="24"/>
          <w:szCs w:val="24"/>
        </w:rPr>
      </w:pPr>
      <w:r w:rsidRPr="00BE5472">
        <w:rPr>
          <w:rFonts w:ascii="Times New Roman" w:hAnsi="Times New Roman" w:cs="Times New Roman"/>
          <w:sz w:val="24"/>
          <w:szCs w:val="24"/>
        </w:rPr>
        <w:t xml:space="preserve">Statista (2024a). </w:t>
      </w:r>
      <w:r w:rsidRPr="00BE5472">
        <w:rPr>
          <w:rFonts w:ascii="Times New Roman" w:hAnsi="Times New Roman" w:cs="Times New Roman"/>
          <w:bCs/>
          <w:sz w:val="24"/>
          <w:szCs w:val="24"/>
        </w:rPr>
        <w:t xml:space="preserve">Market size of the hotel and resort industry worldwide in 2022 and 2023. Dostupno na: </w:t>
      </w:r>
      <w:hyperlink r:id="rId120" w:history="1">
        <w:r w:rsidRPr="00BE5472">
          <w:rPr>
            <w:rFonts w:ascii="Times New Roman" w:hAnsi="Times New Roman" w:cs="Times New Roman"/>
            <w:bCs/>
            <w:color w:val="0563C1" w:themeColor="hyperlink"/>
            <w:sz w:val="24"/>
            <w:szCs w:val="24"/>
            <w:u w:val="single"/>
          </w:rPr>
          <w:t>https://www.statista.com/statistics/1186201/hotel-and-resort-industry-market-size-global/</w:t>
        </w:r>
      </w:hyperlink>
      <w:r w:rsidRPr="00BE5472">
        <w:rPr>
          <w:rFonts w:ascii="Times New Roman" w:hAnsi="Times New Roman" w:cs="Times New Roman"/>
          <w:bCs/>
          <w:sz w:val="24"/>
          <w:szCs w:val="24"/>
        </w:rPr>
        <w:t xml:space="preserve"> Pristupljeno: 21. srpnja 2024.</w:t>
      </w:r>
    </w:p>
    <w:p w14:paraId="14E3BBE3"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bCs/>
          <w:sz w:val="24"/>
          <w:szCs w:val="24"/>
        </w:rPr>
      </w:pPr>
      <w:r w:rsidRPr="00BE5472">
        <w:rPr>
          <w:rFonts w:ascii="Times New Roman" w:hAnsi="Times New Roman" w:cs="Times New Roman"/>
          <w:bCs/>
          <w:sz w:val="24"/>
          <w:szCs w:val="24"/>
        </w:rPr>
        <w:t xml:space="preserve">Statista (2024b). Leading hotel and resort companies worldwide in 2023, by sales(in billion U.S. dollars). Dostupno na: </w:t>
      </w:r>
      <w:hyperlink r:id="rId121" w:history="1">
        <w:r w:rsidRPr="00BE5472">
          <w:rPr>
            <w:rFonts w:ascii="Times New Roman" w:hAnsi="Times New Roman" w:cs="Times New Roman"/>
            <w:bCs/>
            <w:color w:val="0563C1" w:themeColor="hyperlink"/>
            <w:sz w:val="24"/>
            <w:szCs w:val="24"/>
            <w:u w:val="single"/>
          </w:rPr>
          <w:t>https://www.statista.com/statistics/273064/revenue-of-the-largest-hotel-groups-worldwide/</w:t>
        </w:r>
      </w:hyperlink>
      <w:r w:rsidRPr="00BE5472">
        <w:rPr>
          <w:rFonts w:ascii="Times New Roman" w:hAnsi="Times New Roman" w:cs="Times New Roman"/>
          <w:bCs/>
          <w:sz w:val="24"/>
          <w:szCs w:val="24"/>
        </w:rPr>
        <w:t xml:space="preserve"> Pristupljeno: 4. kolovoza 2024. </w:t>
      </w:r>
    </w:p>
    <w:p w14:paraId="7FABB540"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b/>
          <w:bCs/>
          <w:sz w:val="24"/>
          <w:szCs w:val="24"/>
        </w:rPr>
      </w:pPr>
      <w:r w:rsidRPr="00BE5472">
        <w:rPr>
          <w:rFonts w:ascii="Times New Roman" w:hAnsi="Times New Roman" w:cs="Times New Roman"/>
          <w:sz w:val="24"/>
          <w:szCs w:val="24"/>
        </w:rPr>
        <w:t xml:space="preserve">Statista (2024c). </w:t>
      </w:r>
      <w:r w:rsidRPr="00BE5472">
        <w:rPr>
          <w:rFonts w:ascii="Times New Roman" w:hAnsi="Times New Roman" w:cs="Times New Roman"/>
          <w:bCs/>
          <w:sz w:val="24"/>
          <w:szCs w:val="24"/>
        </w:rPr>
        <w:t xml:space="preserve">Market capitalization of leading hotel companies worldwide as of September 2023. Dostupno na: </w:t>
      </w:r>
      <w:hyperlink r:id="rId122" w:history="1">
        <w:r w:rsidRPr="00BE5472">
          <w:rPr>
            <w:rFonts w:ascii="Times New Roman" w:hAnsi="Times New Roman" w:cs="Times New Roman"/>
            <w:bCs/>
            <w:color w:val="0563C1" w:themeColor="hyperlink"/>
            <w:sz w:val="24"/>
            <w:szCs w:val="24"/>
            <w:u w:val="single"/>
          </w:rPr>
          <w:t>https://www.statista.com/statistics/1460207/market-cap-leading-hotel-companies-worldwide/</w:t>
        </w:r>
      </w:hyperlink>
      <w:r w:rsidRPr="00BE5472">
        <w:rPr>
          <w:rFonts w:ascii="Times New Roman" w:hAnsi="Times New Roman" w:cs="Times New Roman"/>
          <w:bCs/>
          <w:sz w:val="24"/>
          <w:szCs w:val="24"/>
        </w:rPr>
        <w:t xml:space="preserve"> Pristupljeno: 21. srpnja 2024.</w:t>
      </w:r>
      <w:r w:rsidRPr="00BE5472">
        <w:rPr>
          <w:rFonts w:ascii="Times New Roman" w:hAnsi="Times New Roman" w:cs="Times New Roman"/>
          <w:b/>
          <w:bCs/>
          <w:sz w:val="24"/>
          <w:szCs w:val="24"/>
        </w:rPr>
        <w:t xml:space="preserve"> </w:t>
      </w:r>
    </w:p>
    <w:p w14:paraId="184441C0" w14:textId="65B27E5F"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Statista (2024d). </w:t>
      </w:r>
      <w:r w:rsidRPr="00BE5472">
        <w:rPr>
          <w:rFonts w:ascii="Times New Roman" w:hAnsi="Times New Roman" w:cs="Times New Roman"/>
          <w:bCs/>
          <w:sz w:val="24"/>
          <w:szCs w:val="24"/>
        </w:rPr>
        <w:t xml:space="preserve">Leading hotel companies worldwide as of June 2023, by number of properties. Dostupno na: </w:t>
      </w:r>
      <w:hyperlink r:id="rId123" w:history="1">
        <w:r w:rsidRPr="00BE5472">
          <w:rPr>
            <w:rFonts w:ascii="Times New Roman" w:hAnsi="Times New Roman" w:cs="Times New Roman"/>
            <w:bCs/>
            <w:color w:val="0563C1" w:themeColor="hyperlink"/>
            <w:sz w:val="24"/>
            <w:szCs w:val="24"/>
            <w:u w:val="single"/>
          </w:rPr>
          <w:t>https://www.statista.com/statistics/197869/us-hotel-companies-by-number-of-properties-worldwide/</w:t>
        </w:r>
      </w:hyperlink>
      <w:r w:rsidRPr="00BE5472">
        <w:rPr>
          <w:rFonts w:ascii="Times New Roman" w:hAnsi="Times New Roman" w:cs="Times New Roman"/>
          <w:bCs/>
          <w:sz w:val="24"/>
          <w:szCs w:val="24"/>
        </w:rPr>
        <w:t xml:space="preserve"> Pristupljeno: 21. srpnja 2024.</w:t>
      </w:r>
    </w:p>
    <w:p w14:paraId="510F7EF3" w14:textId="542E88D5"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bCs/>
          <w:noProof/>
          <w:sz w:val="24"/>
          <w:szCs w:val="24"/>
        </w:rPr>
        <w:lastRenderedPageBreak/>
        <w:t xml:space="preserve">Steigenberger, N. (2017). The challenge of integration: A review of the M&amp;A integration literature. </w:t>
      </w:r>
      <w:r w:rsidRPr="00BE5472">
        <w:rPr>
          <w:rFonts w:ascii="Times New Roman" w:hAnsi="Times New Roman" w:cs="Times New Roman"/>
          <w:bCs/>
          <w:i/>
          <w:noProof/>
          <w:sz w:val="24"/>
          <w:szCs w:val="24"/>
        </w:rPr>
        <w:t>International Journal of Management Reviews</w:t>
      </w:r>
      <w:r w:rsidRPr="00BE5472">
        <w:rPr>
          <w:rFonts w:ascii="Times New Roman" w:hAnsi="Times New Roman" w:cs="Times New Roman"/>
          <w:bCs/>
          <w:noProof/>
          <w:sz w:val="24"/>
          <w:szCs w:val="24"/>
        </w:rPr>
        <w:t>, 19, 408–31</w:t>
      </w:r>
    </w:p>
    <w:p w14:paraId="3712D4DA" w14:textId="244DE844"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Stainton, H. (bez dat.). The fascinating history of the hotel industry. Dostupno na: </w:t>
      </w:r>
      <w:hyperlink r:id="rId124" w:history="1">
        <w:r w:rsidRPr="00BE5472">
          <w:rPr>
            <w:rFonts w:ascii="Times New Roman" w:hAnsi="Times New Roman" w:cs="Times New Roman"/>
            <w:color w:val="0563C1" w:themeColor="hyperlink"/>
            <w:sz w:val="24"/>
            <w:szCs w:val="24"/>
            <w:u w:val="single"/>
          </w:rPr>
          <w:t>https://tourismteacher.com/the-history-of-the-hotel-industry-understanding-tourism/</w:t>
        </w:r>
      </w:hyperlink>
      <w:r w:rsidRPr="00BE5472">
        <w:rPr>
          <w:rFonts w:ascii="Times New Roman" w:hAnsi="Times New Roman" w:cs="Times New Roman"/>
          <w:sz w:val="24"/>
          <w:szCs w:val="24"/>
        </w:rPr>
        <w:t xml:space="preserve"> Pristupljeno: 19. srpnja 2024. </w:t>
      </w:r>
    </w:p>
    <w:p w14:paraId="2F8865F7" w14:textId="22DDEE7C"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Šergo, Z. (2007). Povijest ugostiteljstva i gastronomske umjetnosti. Hotellink (1451-5113) 7 (2007), 9-10; 387-394. 387-394. </w:t>
      </w:r>
    </w:p>
    <w:p w14:paraId="3DF3080B" w14:textId="39595AD9"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Škuflić, L. i Mlinarić, D. (2015). Mikroekonomske determinante profitabilnost hrvatske hotelske industrije. </w:t>
      </w:r>
      <w:r w:rsidRPr="00BE5472">
        <w:rPr>
          <w:rFonts w:ascii="Times New Roman" w:hAnsi="Times New Roman" w:cs="Times New Roman"/>
          <w:i/>
          <w:sz w:val="24"/>
          <w:szCs w:val="24"/>
        </w:rPr>
        <w:t>Ekonomski pregled</w:t>
      </w:r>
      <w:r w:rsidRPr="00BE5472">
        <w:rPr>
          <w:rFonts w:ascii="Times New Roman" w:hAnsi="Times New Roman" w:cs="Times New Roman"/>
          <w:sz w:val="24"/>
          <w:szCs w:val="24"/>
        </w:rPr>
        <w:t xml:space="preserve">, 66(5), 477 – 494. </w:t>
      </w:r>
    </w:p>
    <w:p w14:paraId="5A862131" w14:textId="1DA42A2F"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Thakur, M. i Bansal, A., (2015). A framework of HR enablers for successful M&amp;A integration. U: A. Risberg, D. King I M. Meglio (ur.), </w:t>
      </w:r>
      <w:r w:rsidRPr="00BE5472">
        <w:rPr>
          <w:rFonts w:ascii="Times New Roman" w:hAnsi="Times New Roman" w:cs="Times New Roman"/>
          <w:bCs/>
          <w:i/>
          <w:noProof/>
          <w:sz w:val="24"/>
          <w:szCs w:val="24"/>
        </w:rPr>
        <w:t>Routledge companion to mergers and acquisitions</w:t>
      </w:r>
      <w:r w:rsidRPr="00BE5472">
        <w:rPr>
          <w:rFonts w:ascii="Times New Roman" w:hAnsi="Times New Roman" w:cs="Times New Roman"/>
          <w:bCs/>
          <w:noProof/>
          <w:sz w:val="24"/>
          <w:szCs w:val="24"/>
        </w:rPr>
        <w:t>. Routledge Publications, Taylor, str. 40 – 56.</w:t>
      </w:r>
    </w:p>
    <w:p w14:paraId="66B44ABC"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Teerikangas, S., Joseph, R.J. and Faulkner, D. (2012). Mergers and acquisitions: a synthesis. U: D. Faulkner, S. Teerikangas, S. i R. J. Joseph (ur.), </w:t>
      </w:r>
      <w:r w:rsidRPr="00BE5472">
        <w:rPr>
          <w:rFonts w:ascii="Times New Roman" w:hAnsi="Times New Roman" w:cs="Times New Roman"/>
          <w:bCs/>
          <w:i/>
          <w:noProof/>
          <w:sz w:val="24"/>
          <w:szCs w:val="24"/>
        </w:rPr>
        <w:t>The Handbook of Mergers and Acquisitions</w:t>
      </w:r>
      <w:r w:rsidRPr="00BE5472">
        <w:rPr>
          <w:rFonts w:ascii="Times New Roman" w:hAnsi="Times New Roman" w:cs="Times New Roman"/>
          <w:bCs/>
          <w:noProof/>
          <w:sz w:val="24"/>
          <w:szCs w:val="24"/>
        </w:rPr>
        <w:t>. Prvo izdanje. Oxford: Oxford University, str. 661–685.</w:t>
      </w:r>
    </w:p>
    <w:p w14:paraId="017F5437" w14:textId="12A50A3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Ting, D. (2018). Can Hotel Companies Have Too Many Brands? Dostupno na: </w:t>
      </w:r>
      <w:hyperlink r:id="rId125" w:history="1">
        <w:r w:rsidRPr="00BE5472">
          <w:rPr>
            <w:rFonts w:ascii="Times New Roman" w:hAnsi="Times New Roman" w:cs="Times New Roman"/>
            <w:color w:val="0563C1" w:themeColor="hyperlink"/>
            <w:sz w:val="24"/>
            <w:szCs w:val="24"/>
            <w:u w:val="single"/>
          </w:rPr>
          <w:t>https://skift.com/2018/05/07/can-hotel-companies-have-too-many-brands/</w:t>
        </w:r>
      </w:hyperlink>
      <w:r w:rsidRPr="00BE5472">
        <w:rPr>
          <w:rFonts w:ascii="Times New Roman" w:hAnsi="Times New Roman" w:cs="Times New Roman"/>
          <w:sz w:val="24"/>
          <w:szCs w:val="24"/>
        </w:rPr>
        <w:t xml:space="preserve"> Pristupljeno: 21. srpnja 2024. </w:t>
      </w:r>
    </w:p>
    <w:p w14:paraId="2DA40AC1" w14:textId="4D383CBF" w:rsidR="006E052A" w:rsidRPr="00BE5472" w:rsidRDefault="006E052A" w:rsidP="00120B4F">
      <w:pPr>
        <w:numPr>
          <w:ilvl w:val="0"/>
          <w:numId w:val="64"/>
        </w:numPr>
        <w:spacing w:after="0" w:line="360" w:lineRule="auto"/>
        <w:contextualSpacing/>
        <w:jc w:val="both"/>
        <w:rPr>
          <w:rFonts w:ascii="Times New Roman" w:hAnsi="Times New Roman" w:cs="Times New Roman"/>
          <w:noProof/>
          <w:sz w:val="24"/>
          <w:szCs w:val="24"/>
        </w:rPr>
      </w:pPr>
      <w:r w:rsidRPr="00BE5472">
        <w:rPr>
          <w:rFonts w:ascii="Times New Roman" w:hAnsi="Times New Roman" w:cs="Times New Roman"/>
          <w:noProof/>
          <w:sz w:val="24"/>
          <w:szCs w:val="24"/>
        </w:rPr>
        <w:t xml:space="preserve">Umihanić, B. (2019). Skripta dostupno na  </w:t>
      </w:r>
      <w:hyperlink r:id="rId126" w:history="1">
        <w:r w:rsidRPr="00BE5472">
          <w:rPr>
            <w:rFonts w:ascii="Times New Roman" w:hAnsi="Times New Roman" w:cs="Times New Roman"/>
            <w:noProof/>
            <w:color w:val="0563C1" w:themeColor="hyperlink"/>
            <w:sz w:val="24"/>
            <w:szCs w:val="24"/>
            <w:u w:val="single"/>
          </w:rPr>
          <w:t>http://ef.untz.ba/wp-content/uploads/2017/10/PM_2_Modeli-rasta-brzorastu%C4%87ih-preduze%C4%87a_2019-2020.pdf</w:t>
        </w:r>
      </w:hyperlink>
      <w:r w:rsidRPr="00BE5472">
        <w:rPr>
          <w:rFonts w:ascii="Times New Roman" w:hAnsi="Times New Roman" w:cs="Times New Roman"/>
          <w:noProof/>
          <w:sz w:val="24"/>
          <w:szCs w:val="24"/>
        </w:rPr>
        <w:t xml:space="preserve"> ).</w:t>
      </w:r>
    </w:p>
    <w:p w14:paraId="3011BAA4"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Yugopapir (2023). Kako je 1966. u Hrvatskoj otvoren prvi hotel s pet zvjezdica?. Dostupno na: </w:t>
      </w:r>
      <w:hyperlink r:id="rId127" w:history="1">
        <w:r w:rsidRPr="00BE5472">
          <w:rPr>
            <w:rFonts w:ascii="Times New Roman" w:hAnsi="Times New Roman" w:cs="Times New Roman"/>
            <w:color w:val="0563C1" w:themeColor="hyperlink"/>
            <w:sz w:val="24"/>
            <w:szCs w:val="24"/>
            <w:u w:val="single"/>
          </w:rPr>
          <w:t>https://www.index.hr/magazin/clanak/kako-je-1966-u-hrvatskoj-otvoren-prvi-hotel-s-pet-zvjezdica/2483907.aspx</w:t>
        </w:r>
      </w:hyperlink>
      <w:r w:rsidRPr="00BE5472">
        <w:rPr>
          <w:rFonts w:ascii="Times New Roman" w:hAnsi="Times New Roman" w:cs="Times New Roman"/>
          <w:sz w:val="24"/>
          <w:szCs w:val="24"/>
        </w:rPr>
        <w:t xml:space="preserve"> Pristupljeno: 20. srpnja 2024. </w:t>
      </w:r>
    </w:p>
    <w:p w14:paraId="3331E245"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Valamar Riviera (2023). Godišnje izvješće. Dostupno na: </w:t>
      </w:r>
      <w:hyperlink r:id="rId128" w:history="1">
        <w:r w:rsidRPr="00BE5472">
          <w:rPr>
            <w:rFonts w:ascii="Times New Roman" w:hAnsi="Times New Roman" w:cs="Times New Roman"/>
            <w:color w:val="0563C1" w:themeColor="hyperlink"/>
            <w:sz w:val="24"/>
            <w:szCs w:val="24"/>
            <w:u w:val="single"/>
          </w:rPr>
          <w:t>https://valamar-riviera.com/pdfjs/viewer.html?file=/media/482243/godis-nji-izvjes-taj-za-2023-nekonsolidirani-pdf.pdf</w:t>
        </w:r>
      </w:hyperlink>
      <w:r w:rsidRPr="00BE5472">
        <w:rPr>
          <w:rFonts w:ascii="Times New Roman" w:hAnsi="Times New Roman" w:cs="Times New Roman"/>
          <w:sz w:val="24"/>
          <w:szCs w:val="24"/>
        </w:rPr>
        <w:t xml:space="preserve">  Pristupljeno: 22. kolovoza 2024. </w:t>
      </w:r>
    </w:p>
    <w:p w14:paraId="690997CE" w14:textId="321CD8B9"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van der Wagen, L. i Goonetilleke, A. (2005). </w:t>
      </w:r>
      <w:r w:rsidRPr="00BE5472">
        <w:rPr>
          <w:rFonts w:ascii="Times New Roman" w:hAnsi="Times New Roman" w:cs="Times New Roman"/>
          <w:i/>
          <w:sz w:val="24"/>
          <w:szCs w:val="24"/>
        </w:rPr>
        <w:t>Hospitality Management. Strategy and Operations.</w:t>
      </w:r>
      <w:r w:rsidRPr="00BE5472">
        <w:rPr>
          <w:rFonts w:ascii="Times New Roman" w:hAnsi="Times New Roman" w:cs="Times New Roman"/>
          <w:sz w:val="24"/>
          <w:szCs w:val="24"/>
        </w:rPr>
        <w:t xml:space="preserve"> Australia: Pearson. </w:t>
      </w:r>
    </w:p>
    <w:p w14:paraId="093D5CA4" w14:textId="7DB021B2"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Valamar Riviera (2024b). </w:t>
      </w:r>
      <w:r w:rsidRPr="00BE5472">
        <w:rPr>
          <w:rFonts w:ascii="Times New Roman" w:hAnsi="Times New Roman" w:cs="Times New Roman"/>
          <w:bCs/>
          <w:i/>
          <w:noProof/>
          <w:sz w:val="24"/>
          <w:szCs w:val="24"/>
        </w:rPr>
        <w:t>Godišnje izvješće 2023</w:t>
      </w:r>
      <w:r w:rsidRPr="00BE5472">
        <w:rPr>
          <w:rFonts w:ascii="Times New Roman" w:hAnsi="Times New Roman" w:cs="Times New Roman"/>
          <w:bCs/>
          <w:noProof/>
          <w:sz w:val="24"/>
          <w:szCs w:val="24"/>
        </w:rPr>
        <w:t>. Poreč: Valamar.</w:t>
      </w:r>
    </w:p>
    <w:p w14:paraId="1217C0D8" w14:textId="2BF70C64"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Vijgen, D. (2007). </w:t>
      </w:r>
      <w:r w:rsidRPr="00BE5472">
        <w:rPr>
          <w:rFonts w:ascii="Times New Roman" w:hAnsi="Times New Roman" w:cs="Times New Roman"/>
          <w:bCs/>
          <w:i/>
          <w:noProof/>
          <w:sz w:val="24"/>
          <w:szCs w:val="24"/>
        </w:rPr>
        <w:t>Shareholders wealth effects on mergers and acquisition in the Western part of Continental Europe</w:t>
      </w:r>
      <w:r w:rsidRPr="00BE5472">
        <w:rPr>
          <w:rFonts w:ascii="Times New Roman" w:hAnsi="Times New Roman" w:cs="Times New Roman"/>
          <w:bCs/>
          <w:noProof/>
          <w:sz w:val="24"/>
          <w:szCs w:val="24"/>
        </w:rPr>
        <w:t>. University of Maastricht.</w:t>
      </w:r>
    </w:p>
    <w:p w14:paraId="35F32AA3" w14:textId="77777777" w:rsidR="00A006D9" w:rsidRPr="00BE5472" w:rsidRDefault="00A006D9" w:rsidP="00120B4F">
      <w:pPr>
        <w:pStyle w:val="ListParagraph"/>
        <w:numPr>
          <w:ilvl w:val="0"/>
          <w:numId w:val="64"/>
        </w:numPr>
        <w:spacing w:after="120" w:line="360" w:lineRule="auto"/>
        <w:jc w:val="both"/>
        <w:rPr>
          <w:rFonts w:ascii="Times New Roman" w:hAnsi="Times New Roman" w:cs="Times New Roman"/>
          <w:sz w:val="24"/>
          <w:szCs w:val="24"/>
        </w:rPr>
      </w:pPr>
      <w:r w:rsidRPr="00BE5472">
        <w:rPr>
          <w:rFonts w:ascii="Times New Roman" w:hAnsi="Times New Roman" w:cs="Times New Roman"/>
          <w:sz w:val="24"/>
          <w:szCs w:val="24"/>
        </w:rPr>
        <w:t xml:space="preserve">Vlada Republike Hrvatske (2013). Strategija razvoja turizma Republike Hrvatske do 2020. godine. Dostupno na: </w:t>
      </w:r>
      <w:hyperlink r:id="rId129" w:history="1">
        <w:r w:rsidRPr="00BE5472">
          <w:rPr>
            <w:rFonts w:ascii="Times New Roman" w:hAnsi="Times New Roman" w:cs="Times New Roman"/>
            <w:color w:val="0563C1" w:themeColor="hyperlink"/>
            <w:sz w:val="24"/>
            <w:szCs w:val="24"/>
            <w:u w:val="single"/>
          </w:rPr>
          <w:t>https://mint.gov.hr/UserDocsImages/arhiva/130426-Strategija-turizam-2020.pdf</w:t>
        </w:r>
      </w:hyperlink>
      <w:r w:rsidRPr="00BE5472">
        <w:rPr>
          <w:rFonts w:ascii="Times New Roman" w:hAnsi="Times New Roman" w:cs="Times New Roman"/>
          <w:sz w:val="24"/>
          <w:szCs w:val="24"/>
        </w:rPr>
        <w:t xml:space="preserve"> Pristupljeno: 25. srpnja 2024. </w:t>
      </w:r>
    </w:p>
    <w:p w14:paraId="3FA331F1" w14:textId="4D3A6EEB" w:rsidR="00A006D9" w:rsidRPr="00BE5472" w:rsidRDefault="00A006D9"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Vrtiprah, V. i Pavlić, I. (2005). Menadžerska ekonomija u hotelijerstvu. Dubrovnik: Sveučilište u Dubrovniku.</w:t>
      </w:r>
    </w:p>
    <w:p w14:paraId="344DD9F6"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Visagie, R. G., Poggenpoel, M. P. i Myburgh, C. P. H. (2016). An Appreciative Merger and Acquisition Team Coaching Strategy for the South African Hotel Industry. </w:t>
      </w:r>
      <w:r w:rsidRPr="00BE5472">
        <w:rPr>
          <w:rFonts w:ascii="Times New Roman" w:hAnsi="Times New Roman" w:cs="Times New Roman"/>
          <w:bCs/>
          <w:i/>
          <w:noProof/>
          <w:sz w:val="24"/>
          <w:szCs w:val="24"/>
        </w:rPr>
        <w:t>African Journal of Hospitality, Tourism and Leisure</w:t>
      </w:r>
      <w:r w:rsidRPr="00BE5472">
        <w:rPr>
          <w:rFonts w:ascii="Times New Roman" w:hAnsi="Times New Roman" w:cs="Times New Roman"/>
          <w:bCs/>
          <w:noProof/>
          <w:sz w:val="24"/>
          <w:szCs w:val="24"/>
        </w:rPr>
        <w:t>, 5(1), 1 – 20.</w:t>
      </w:r>
    </w:p>
    <w:p w14:paraId="29AF94C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Zhang, F., Xiao, Q, Law, R. i Lee, S. (2020). Mergers and acquisitions in the hotel industry: A comprehensive review. </w:t>
      </w:r>
      <w:r w:rsidRPr="00BE5472">
        <w:rPr>
          <w:rFonts w:ascii="Times New Roman" w:hAnsi="Times New Roman" w:cs="Times New Roman"/>
          <w:bCs/>
          <w:i/>
          <w:noProof/>
          <w:sz w:val="24"/>
          <w:szCs w:val="24"/>
        </w:rPr>
        <w:t>International Journal of Hospitality Management</w:t>
      </w:r>
      <w:r w:rsidRPr="00BE5472">
        <w:rPr>
          <w:rFonts w:ascii="Times New Roman" w:hAnsi="Times New Roman" w:cs="Times New Roman"/>
          <w:bCs/>
          <w:noProof/>
          <w:sz w:val="24"/>
          <w:szCs w:val="24"/>
        </w:rPr>
        <w:t xml:space="preserve">, 91, 102418, </w:t>
      </w:r>
      <w:hyperlink r:id="rId130" w:history="1">
        <w:r w:rsidRPr="00BE5472">
          <w:rPr>
            <w:rFonts w:ascii="Times New Roman" w:hAnsi="Times New Roman" w:cs="Times New Roman"/>
            <w:bCs/>
            <w:noProof/>
            <w:color w:val="0563C1" w:themeColor="hyperlink"/>
            <w:sz w:val="24"/>
            <w:szCs w:val="24"/>
            <w:u w:val="single"/>
          </w:rPr>
          <w:t>https://doi.org/10.1016/j.ijhm.2019.102418</w:t>
        </w:r>
      </w:hyperlink>
      <w:r w:rsidRPr="00BE5472">
        <w:rPr>
          <w:rFonts w:ascii="Times New Roman" w:hAnsi="Times New Roman" w:cs="Times New Roman"/>
          <w:bCs/>
          <w:noProof/>
          <w:sz w:val="24"/>
          <w:szCs w:val="24"/>
        </w:rPr>
        <w:t>.</w:t>
      </w:r>
    </w:p>
    <w:p w14:paraId="4FEA502F"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Yaghoubi, R., Yaghoubi, M., Locke, S. I Gibb, J. (2016). Mergers and acquisitions: A review. Part 1. </w:t>
      </w:r>
      <w:r w:rsidRPr="00BE5472">
        <w:rPr>
          <w:rFonts w:ascii="Times New Roman" w:hAnsi="Times New Roman" w:cs="Times New Roman"/>
          <w:bCs/>
          <w:i/>
          <w:noProof/>
          <w:sz w:val="24"/>
          <w:szCs w:val="24"/>
        </w:rPr>
        <w:t>Studies in Economics and Finance</w:t>
      </w:r>
      <w:r w:rsidRPr="00BE5472">
        <w:rPr>
          <w:rFonts w:ascii="Times New Roman" w:hAnsi="Times New Roman" w:cs="Times New Roman"/>
          <w:bCs/>
          <w:noProof/>
          <w:sz w:val="24"/>
          <w:szCs w:val="24"/>
        </w:rPr>
        <w:t>, 33(1), 147-188.</w:t>
      </w:r>
    </w:p>
    <w:p w14:paraId="6B12EB05"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Yu, J., Engleman, R. M. i Van de Ven, A. H. (2015). The Integration Journey: An Attention-Based View of the Merger and Acquisition Integration Process. </w:t>
      </w:r>
      <w:r w:rsidRPr="00BE5472">
        <w:rPr>
          <w:rFonts w:ascii="Times New Roman" w:hAnsi="Times New Roman" w:cs="Times New Roman"/>
          <w:bCs/>
          <w:i/>
          <w:noProof/>
          <w:sz w:val="24"/>
          <w:szCs w:val="24"/>
        </w:rPr>
        <w:t>Organization Studies</w:t>
      </w:r>
      <w:r w:rsidRPr="00BE5472">
        <w:rPr>
          <w:rFonts w:ascii="Times New Roman" w:hAnsi="Times New Roman" w:cs="Times New Roman"/>
          <w:bCs/>
          <w:noProof/>
          <w:sz w:val="24"/>
          <w:szCs w:val="24"/>
        </w:rPr>
        <w:t xml:space="preserve">, 26(10), 1501 – 1528. </w:t>
      </w:r>
    </w:p>
    <w:p w14:paraId="4FCF17C0" w14:textId="7777777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Yunita, Maulana H., Fatriasari, F., Sirait A., Sanjaya R, Indrayani, Khaddafi M. (2023.) Analysis of factors of success and failure of merger acquisition  </w:t>
      </w:r>
      <w:r w:rsidRPr="00BE5472">
        <w:rPr>
          <w:rFonts w:ascii="Times New Roman" w:hAnsi="Times New Roman" w:cs="Times New Roman"/>
          <w:bCs/>
          <w:i/>
          <w:noProof/>
          <w:sz w:val="24"/>
          <w:szCs w:val="24"/>
        </w:rPr>
        <w:t>Jaruda Journal of Accounting Research, Utility Finance and Digital Assets</w:t>
      </w:r>
      <w:r w:rsidRPr="00BE5472">
        <w:rPr>
          <w:rFonts w:ascii="Times New Roman" w:hAnsi="Times New Roman" w:cs="Times New Roman"/>
          <w:bCs/>
          <w:noProof/>
          <w:sz w:val="24"/>
          <w:szCs w:val="24"/>
        </w:rPr>
        <w:t>, 1(5), 427-434.</w:t>
      </w:r>
    </w:p>
    <w:p w14:paraId="56CF012F" w14:textId="5DEF5C17" w:rsidR="006E052A" w:rsidRPr="00BE5472" w:rsidRDefault="006E052A" w:rsidP="00120B4F">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Weber, R.A. i Camerer, C.F. (2003). Cultural conflict and merger failure: an experimental approach. </w:t>
      </w:r>
      <w:r w:rsidRPr="00BE5472">
        <w:rPr>
          <w:rFonts w:ascii="Times New Roman" w:hAnsi="Times New Roman" w:cs="Times New Roman"/>
          <w:bCs/>
          <w:i/>
          <w:noProof/>
          <w:sz w:val="24"/>
          <w:szCs w:val="24"/>
        </w:rPr>
        <w:t>Management Science</w:t>
      </w:r>
      <w:r w:rsidRPr="00BE5472">
        <w:rPr>
          <w:rFonts w:ascii="Times New Roman" w:hAnsi="Times New Roman" w:cs="Times New Roman"/>
          <w:bCs/>
          <w:noProof/>
          <w:sz w:val="24"/>
          <w:szCs w:val="24"/>
        </w:rPr>
        <w:t>, 49, 400–415.</w:t>
      </w:r>
    </w:p>
    <w:p w14:paraId="078676E2" w14:textId="17A05DDD" w:rsidR="008818A4" w:rsidRPr="00BE5472" w:rsidRDefault="008818A4" w:rsidP="00120B4F">
      <w:pPr>
        <w:pStyle w:val="ListParagraph"/>
        <w:numPr>
          <w:ilvl w:val="0"/>
          <w:numId w:val="64"/>
        </w:numPr>
        <w:spacing w:line="360" w:lineRule="auto"/>
        <w:rPr>
          <w:rFonts w:ascii="Times New Roman" w:hAnsi="Times New Roman" w:cs="Times New Roman"/>
        </w:rPr>
      </w:pPr>
      <w:r w:rsidRPr="00BE5472">
        <w:rPr>
          <w:rFonts w:ascii="Times New Roman" w:hAnsi="Times New Roman" w:cs="Times New Roman"/>
          <w:bCs/>
          <w:noProof/>
          <w:sz w:val="24"/>
          <w:szCs w:val="24"/>
        </w:rPr>
        <w:t>Wickham, H. (2016).</w:t>
      </w:r>
      <w:r w:rsidRPr="00BE5472">
        <w:rPr>
          <w:rFonts w:ascii="Times New Roman" w:hAnsi="Times New Roman" w:cs="Times New Roman"/>
        </w:rPr>
        <w:t xml:space="preserve"> </w:t>
      </w:r>
      <w:r w:rsidRPr="00BE5472">
        <w:rPr>
          <w:rFonts w:ascii="Times New Roman" w:hAnsi="Times New Roman" w:cs="Times New Roman"/>
          <w:bCs/>
          <w:i/>
          <w:noProof/>
          <w:sz w:val="24"/>
          <w:szCs w:val="24"/>
        </w:rPr>
        <w:t>ggplot2: Elegant Graphics for Data Analysis</w:t>
      </w:r>
      <w:r w:rsidRPr="00BE5472">
        <w:rPr>
          <w:rFonts w:ascii="Times New Roman" w:hAnsi="Times New Roman" w:cs="Times New Roman"/>
        </w:rPr>
        <w:t xml:space="preserve">. </w:t>
      </w:r>
      <w:r w:rsidRPr="00BE5472">
        <w:rPr>
          <w:rFonts w:ascii="Times New Roman" w:hAnsi="Times New Roman" w:cs="Times New Roman"/>
          <w:bCs/>
          <w:noProof/>
          <w:sz w:val="24"/>
          <w:szCs w:val="24"/>
        </w:rPr>
        <w:t>Springer Nature.</w:t>
      </w:r>
      <w:r w:rsidRPr="00BE5472">
        <w:rPr>
          <w:rFonts w:ascii="Times New Roman" w:hAnsi="Times New Roman" w:cs="Times New Roman"/>
        </w:rPr>
        <w:t xml:space="preserve"> </w:t>
      </w:r>
    </w:p>
    <w:p w14:paraId="2506FD6D" w14:textId="35526AA0" w:rsidR="00997EA7" w:rsidRPr="00BE5472" w:rsidRDefault="00A006D9" w:rsidP="0026628C">
      <w:pPr>
        <w:numPr>
          <w:ilvl w:val="0"/>
          <w:numId w:val="64"/>
        </w:numPr>
        <w:spacing w:after="0"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Wood, R. C. (2015). </w:t>
      </w:r>
      <w:r w:rsidRPr="00BE5472">
        <w:rPr>
          <w:rFonts w:ascii="Times New Roman" w:hAnsi="Times New Roman" w:cs="Times New Roman"/>
          <w:bCs/>
          <w:i/>
          <w:noProof/>
          <w:sz w:val="24"/>
          <w:szCs w:val="24"/>
        </w:rPr>
        <w:t>Hospitality Management. A Brief Introduction</w:t>
      </w:r>
      <w:r w:rsidRPr="00BE5472">
        <w:rPr>
          <w:rFonts w:ascii="Times New Roman" w:hAnsi="Times New Roman" w:cs="Times New Roman"/>
          <w:bCs/>
          <w:noProof/>
          <w:sz w:val="24"/>
          <w:szCs w:val="24"/>
        </w:rPr>
        <w:t>. London: Sage</w:t>
      </w:r>
      <w:r w:rsidR="00997EA7" w:rsidRPr="00BE5472">
        <w:rPr>
          <w:rFonts w:ascii="Times New Roman" w:hAnsi="Times New Roman" w:cs="Times New Roman"/>
          <w:sz w:val="24"/>
          <w:szCs w:val="24"/>
        </w:rPr>
        <w:t xml:space="preserve"> </w:t>
      </w:r>
    </w:p>
    <w:p w14:paraId="66799A39" w14:textId="77777777" w:rsidR="00997EA7" w:rsidRPr="00BE5472" w:rsidRDefault="00997EA7" w:rsidP="00FE2591">
      <w:pPr>
        <w:spacing w:after="0" w:line="360" w:lineRule="auto"/>
        <w:contextualSpacing/>
        <w:jc w:val="both"/>
        <w:rPr>
          <w:rFonts w:ascii="Times New Roman" w:hAnsi="Times New Roman" w:cs="Times New Roman"/>
          <w:bCs/>
          <w:noProof/>
          <w:sz w:val="24"/>
          <w:szCs w:val="24"/>
        </w:rPr>
      </w:pPr>
    </w:p>
    <w:p w14:paraId="700A9A76" w14:textId="77777777" w:rsidR="00E2667C" w:rsidRDefault="00E2667C" w:rsidP="006E052A">
      <w:pPr>
        <w:spacing w:after="0" w:line="360" w:lineRule="auto"/>
        <w:contextualSpacing/>
        <w:jc w:val="both"/>
        <w:rPr>
          <w:rFonts w:ascii="Times New Roman" w:hAnsi="Times New Roman" w:cs="Times New Roman"/>
          <w:b/>
          <w:bCs/>
          <w:noProof/>
          <w:sz w:val="24"/>
          <w:szCs w:val="24"/>
        </w:rPr>
        <w:sectPr w:rsidR="00E2667C" w:rsidSect="006571B5">
          <w:pgSz w:w="12240" w:h="15840"/>
          <w:pgMar w:top="1440" w:right="1440" w:bottom="1440" w:left="1440" w:header="708" w:footer="708" w:gutter="0"/>
          <w:cols w:space="708"/>
          <w:docGrid w:linePitch="360"/>
        </w:sectPr>
      </w:pPr>
    </w:p>
    <w:p w14:paraId="7CAEAA64" w14:textId="77777777" w:rsidR="006E052A" w:rsidRPr="00BE5472" w:rsidRDefault="006E052A" w:rsidP="006E052A">
      <w:pPr>
        <w:spacing w:after="0" w:line="360" w:lineRule="auto"/>
        <w:contextualSpacing/>
        <w:jc w:val="both"/>
        <w:rPr>
          <w:rFonts w:ascii="Times New Roman" w:hAnsi="Times New Roman" w:cs="Times New Roman"/>
          <w:b/>
          <w:bCs/>
          <w:noProof/>
          <w:sz w:val="24"/>
          <w:szCs w:val="24"/>
        </w:rPr>
      </w:pPr>
      <w:r w:rsidRPr="00BE5472">
        <w:rPr>
          <w:rFonts w:ascii="Times New Roman" w:hAnsi="Times New Roman" w:cs="Times New Roman"/>
          <w:b/>
          <w:bCs/>
          <w:noProof/>
          <w:sz w:val="24"/>
          <w:szCs w:val="24"/>
        </w:rPr>
        <w:lastRenderedPageBreak/>
        <w:t xml:space="preserve">INTERNETSKI IZVORI </w:t>
      </w:r>
    </w:p>
    <w:p w14:paraId="53CBAD72" w14:textId="77777777" w:rsidR="006E052A" w:rsidRPr="00BE5472" w:rsidRDefault="006E052A" w:rsidP="006E052A">
      <w:pPr>
        <w:spacing w:after="0" w:line="360" w:lineRule="auto"/>
        <w:contextualSpacing/>
        <w:jc w:val="both"/>
        <w:rPr>
          <w:rFonts w:ascii="Times New Roman" w:hAnsi="Times New Roman" w:cs="Times New Roman"/>
          <w:bCs/>
          <w:noProof/>
          <w:sz w:val="24"/>
          <w:szCs w:val="24"/>
        </w:rPr>
      </w:pPr>
    </w:p>
    <w:p w14:paraId="71BEE63F" w14:textId="0EE3394F" w:rsidR="00EC6307" w:rsidRPr="00EC6307" w:rsidRDefault="00EC6307" w:rsidP="00EC6307">
      <w:pPr>
        <w:numPr>
          <w:ilvl w:val="0"/>
          <w:numId w:val="65"/>
        </w:numPr>
        <w:spacing w:after="0" w:line="360" w:lineRule="auto"/>
        <w:contextualSpacing/>
        <w:jc w:val="both"/>
        <w:rPr>
          <w:rFonts w:ascii="Times New Roman" w:hAnsi="Times New Roman" w:cs="Times New Roman"/>
          <w:bCs/>
          <w:noProof/>
          <w:sz w:val="24"/>
          <w:szCs w:val="24"/>
        </w:rPr>
      </w:pPr>
      <w:r w:rsidRPr="003119EA">
        <w:rPr>
          <w:rFonts w:ascii="Times New Roman" w:hAnsi="Times New Roman" w:cs="Times New Roman"/>
          <w:bCs/>
          <w:noProof/>
          <w:sz w:val="24"/>
          <w:szCs w:val="24"/>
        </w:rPr>
        <w:t xml:space="preserve">Adris grupa (2018). </w:t>
      </w:r>
      <w:r w:rsidRPr="003119EA">
        <w:rPr>
          <w:rFonts w:ascii="Times New Roman" w:hAnsi="Times New Roman" w:cs="Times New Roman"/>
          <w:bCs/>
          <w:i/>
          <w:iCs/>
          <w:noProof/>
          <w:sz w:val="24"/>
          <w:szCs w:val="24"/>
        </w:rPr>
        <w:t>Adris grupa i HUP Zagreb potpisali ugovor o strateškom partnerstvu</w:t>
      </w:r>
      <w:r w:rsidRPr="003119EA">
        <w:rPr>
          <w:rFonts w:ascii="Times New Roman" w:hAnsi="Times New Roman" w:cs="Times New Roman"/>
          <w:bCs/>
          <w:noProof/>
          <w:sz w:val="24"/>
          <w:szCs w:val="24"/>
        </w:rPr>
        <w:t xml:space="preserve">. Dostupno na: </w:t>
      </w:r>
      <w:hyperlink r:id="rId131" w:tgtFrame="_blank" w:history="1">
        <w:r w:rsidRPr="003119EA">
          <w:rPr>
            <w:rStyle w:val="Hyperlink"/>
            <w:rFonts w:ascii="Times New Roman" w:hAnsi="Times New Roman" w:cs="Times New Roman"/>
            <w:bCs/>
            <w:noProof/>
            <w:sz w:val="24"/>
            <w:szCs w:val="24"/>
          </w:rPr>
          <w:t>https://www.adris.hr/odnosi-s-javnoscu/vijesti/adris-grupa-i-hup-zagreb-potpisali-ugovor-o-strateskom-partnerstvu/</w:t>
        </w:r>
      </w:hyperlink>
      <w:r w:rsidRPr="003119EA">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6</w:t>
      </w:r>
      <w:r w:rsidRPr="003119EA">
        <w:rPr>
          <w:rFonts w:ascii="Times New Roman" w:hAnsi="Times New Roman" w:cs="Times New Roman"/>
          <w:bCs/>
          <w:noProof/>
          <w:sz w:val="24"/>
          <w:szCs w:val="24"/>
        </w:rPr>
        <w:t xml:space="preserve">. </w:t>
      </w:r>
      <w:r>
        <w:rPr>
          <w:rFonts w:ascii="Times New Roman" w:hAnsi="Times New Roman" w:cs="Times New Roman"/>
          <w:bCs/>
          <w:noProof/>
          <w:sz w:val="24"/>
          <w:szCs w:val="24"/>
        </w:rPr>
        <w:t>svibnja</w:t>
      </w:r>
      <w:r w:rsidRPr="003119EA">
        <w:rPr>
          <w:rFonts w:ascii="Times New Roman" w:hAnsi="Times New Roman" w:cs="Times New Roman"/>
          <w:bCs/>
          <w:noProof/>
          <w:sz w:val="24"/>
          <w:szCs w:val="24"/>
        </w:rPr>
        <w:t xml:space="preserve"> 202</w:t>
      </w:r>
      <w:r w:rsidR="00B12445">
        <w:rPr>
          <w:rFonts w:ascii="Times New Roman" w:hAnsi="Times New Roman" w:cs="Times New Roman"/>
          <w:bCs/>
          <w:noProof/>
          <w:sz w:val="24"/>
          <w:szCs w:val="24"/>
        </w:rPr>
        <w:t>4</w:t>
      </w:r>
      <w:r w:rsidRPr="003119EA">
        <w:rPr>
          <w:rFonts w:ascii="Times New Roman" w:hAnsi="Times New Roman" w:cs="Times New Roman"/>
          <w:bCs/>
          <w:noProof/>
          <w:sz w:val="24"/>
          <w:szCs w:val="24"/>
        </w:rPr>
        <w:t>.</w:t>
      </w:r>
    </w:p>
    <w:p w14:paraId="216EE81B" w14:textId="3346211D" w:rsidR="002013F4" w:rsidRPr="002013F4" w:rsidRDefault="002013F4" w:rsidP="002013F4">
      <w:pPr>
        <w:numPr>
          <w:ilvl w:val="0"/>
          <w:numId w:val="65"/>
        </w:numPr>
        <w:spacing w:after="0" w:line="360" w:lineRule="auto"/>
        <w:contextualSpacing/>
        <w:jc w:val="both"/>
        <w:rPr>
          <w:rFonts w:ascii="Times New Roman" w:hAnsi="Times New Roman" w:cs="Times New Roman"/>
          <w:bCs/>
          <w:noProof/>
          <w:sz w:val="24"/>
          <w:szCs w:val="24"/>
        </w:rPr>
      </w:pPr>
      <w:r w:rsidRPr="0070523B">
        <w:rPr>
          <w:rFonts w:ascii="Times New Roman" w:hAnsi="Times New Roman" w:cs="Times New Roman"/>
          <w:bCs/>
          <w:noProof/>
          <w:sz w:val="24"/>
          <w:szCs w:val="24"/>
        </w:rPr>
        <w:t xml:space="preserve">Apollo Global Management (2022). </w:t>
      </w:r>
      <w:r w:rsidRPr="0070523B">
        <w:rPr>
          <w:rFonts w:ascii="Times New Roman" w:hAnsi="Times New Roman" w:cs="Times New Roman"/>
          <w:bCs/>
          <w:i/>
          <w:iCs/>
          <w:noProof/>
          <w:sz w:val="24"/>
          <w:szCs w:val="24"/>
        </w:rPr>
        <w:t>Apollo Funds Complete the Acquisition of The Venetian Resort Las Vegas and Venetian Expo Operating Companies</w:t>
      </w:r>
      <w:r w:rsidRPr="0070523B">
        <w:rPr>
          <w:rFonts w:ascii="Times New Roman" w:hAnsi="Times New Roman" w:cs="Times New Roman"/>
          <w:bCs/>
          <w:noProof/>
          <w:sz w:val="24"/>
          <w:szCs w:val="24"/>
        </w:rPr>
        <w:t xml:space="preserve">. Dostupno na: </w:t>
      </w:r>
      <w:hyperlink r:id="rId132" w:tgtFrame="_blank" w:history="1">
        <w:r w:rsidRPr="0070523B">
          <w:rPr>
            <w:rStyle w:val="Hyperlink"/>
            <w:rFonts w:ascii="Times New Roman" w:hAnsi="Times New Roman" w:cs="Times New Roman"/>
            <w:bCs/>
            <w:noProof/>
            <w:sz w:val="24"/>
            <w:szCs w:val="24"/>
          </w:rPr>
          <w:t>https://www.apollo.com/insights-news/pressreleases/2022/02/apollo-funds-complete-the-acquisition-of-the-venetian-resort-las-vegas-and-venetian-expo-operating-companies-211644121</w:t>
        </w:r>
      </w:hyperlink>
      <w:r w:rsidRPr="0070523B">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3</w:t>
      </w:r>
      <w:r w:rsidRPr="0070523B">
        <w:rPr>
          <w:rFonts w:ascii="Times New Roman" w:hAnsi="Times New Roman" w:cs="Times New Roman"/>
          <w:bCs/>
          <w:noProof/>
          <w:sz w:val="24"/>
          <w:szCs w:val="24"/>
        </w:rPr>
        <w:t xml:space="preserve">. </w:t>
      </w:r>
      <w:r>
        <w:rPr>
          <w:rFonts w:ascii="Times New Roman" w:hAnsi="Times New Roman" w:cs="Times New Roman"/>
          <w:bCs/>
          <w:noProof/>
          <w:sz w:val="24"/>
          <w:szCs w:val="24"/>
        </w:rPr>
        <w:t>srpnja</w:t>
      </w:r>
      <w:r w:rsidRPr="0070523B">
        <w:rPr>
          <w:rFonts w:ascii="Times New Roman" w:hAnsi="Times New Roman" w:cs="Times New Roman"/>
          <w:bCs/>
          <w:noProof/>
          <w:sz w:val="24"/>
          <w:szCs w:val="24"/>
        </w:rPr>
        <w:t xml:space="preserve"> 202</w:t>
      </w:r>
      <w:r w:rsidR="00262C95">
        <w:rPr>
          <w:rFonts w:ascii="Times New Roman" w:hAnsi="Times New Roman" w:cs="Times New Roman"/>
          <w:bCs/>
          <w:noProof/>
          <w:sz w:val="24"/>
          <w:szCs w:val="24"/>
        </w:rPr>
        <w:t>4</w:t>
      </w:r>
      <w:r w:rsidRPr="0070523B">
        <w:rPr>
          <w:rFonts w:ascii="Times New Roman" w:hAnsi="Times New Roman" w:cs="Times New Roman"/>
          <w:bCs/>
          <w:noProof/>
          <w:sz w:val="24"/>
          <w:szCs w:val="24"/>
        </w:rPr>
        <w:t>.</w:t>
      </w:r>
    </w:p>
    <w:p w14:paraId="7A32F1CD" w14:textId="5C8F968F" w:rsidR="009E59CB" w:rsidRDefault="009E59CB" w:rsidP="009E59CB">
      <w:pPr>
        <w:numPr>
          <w:ilvl w:val="0"/>
          <w:numId w:val="65"/>
        </w:numPr>
        <w:spacing w:after="0" w:line="360" w:lineRule="auto"/>
        <w:contextualSpacing/>
        <w:jc w:val="both"/>
        <w:rPr>
          <w:rFonts w:ascii="Times New Roman" w:hAnsi="Times New Roman" w:cs="Times New Roman"/>
          <w:bCs/>
          <w:noProof/>
          <w:sz w:val="24"/>
          <w:szCs w:val="24"/>
        </w:rPr>
      </w:pPr>
      <w:r w:rsidRPr="0070523B">
        <w:rPr>
          <w:rFonts w:ascii="Times New Roman" w:hAnsi="Times New Roman" w:cs="Times New Roman"/>
          <w:bCs/>
          <w:noProof/>
          <w:sz w:val="24"/>
          <w:szCs w:val="24"/>
        </w:rPr>
        <w:t xml:space="preserve">Apple Leisure Group (2021). </w:t>
      </w:r>
      <w:r w:rsidRPr="0070523B">
        <w:rPr>
          <w:rFonts w:ascii="Times New Roman" w:hAnsi="Times New Roman" w:cs="Times New Roman"/>
          <w:bCs/>
          <w:i/>
          <w:iCs/>
          <w:noProof/>
          <w:sz w:val="24"/>
          <w:szCs w:val="24"/>
        </w:rPr>
        <w:t>Hyatt completes acquisition of Apple Leisure Group</w:t>
      </w:r>
      <w:r w:rsidRPr="0070523B">
        <w:rPr>
          <w:rFonts w:ascii="Times New Roman" w:hAnsi="Times New Roman" w:cs="Times New Roman"/>
          <w:bCs/>
          <w:noProof/>
          <w:sz w:val="24"/>
          <w:szCs w:val="24"/>
        </w:rPr>
        <w:t xml:space="preserve">. Dostupno na: </w:t>
      </w:r>
      <w:hyperlink r:id="rId133" w:tgtFrame="_blank" w:history="1">
        <w:r w:rsidRPr="0070523B">
          <w:rPr>
            <w:rStyle w:val="Hyperlink"/>
            <w:rFonts w:ascii="Times New Roman" w:hAnsi="Times New Roman" w:cs="Times New Roman"/>
            <w:bCs/>
            <w:noProof/>
            <w:sz w:val="24"/>
            <w:szCs w:val="24"/>
          </w:rPr>
          <w:t>https://www.appleleisuregroup.com/news-articles/hyatt-completes-acquisition-of-apple-leisure-group/</w:t>
        </w:r>
      </w:hyperlink>
      <w:r w:rsidRPr="0070523B">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8</w:t>
      </w:r>
      <w:r w:rsidRPr="0070523B">
        <w:rPr>
          <w:rFonts w:ascii="Times New Roman" w:hAnsi="Times New Roman" w:cs="Times New Roman"/>
          <w:bCs/>
          <w:noProof/>
          <w:sz w:val="24"/>
          <w:szCs w:val="24"/>
        </w:rPr>
        <w:t>. rujna 202</w:t>
      </w:r>
      <w:r w:rsidR="00527EEF">
        <w:rPr>
          <w:rFonts w:ascii="Times New Roman" w:hAnsi="Times New Roman" w:cs="Times New Roman"/>
          <w:bCs/>
          <w:noProof/>
          <w:sz w:val="24"/>
          <w:szCs w:val="24"/>
        </w:rPr>
        <w:t>4</w:t>
      </w:r>
      <w:r w:rsidRPr="0070523B">
        <w:rPr>
          <w:rFonts w:ascii="Times New Roman" w:hAnsi="Times New Roman" w:cs="Times New Roman"/>
          <w:bCs/>
          <w:noProof/>
          <w:sz w:val="24"/>
          <w:szCs w:val="24"/>
        </w:rPr>
        <w:t>.</w:t>
      </w:r>
    </w:p>
    <w:p w14:paraId="0CE5F492" w14:textId="071CB759" w:rsidR="001C4B12" w:rsidRPr="001C4B12" w:rsidRDefault="001C4B12" w:rsidP="001C4B12">
      <w:pPr>
        <w:numPr>
          <w:ilvl w:val="0"/>
          <w:numId w:val="65"/>
        </w:numPr>
        <w:spacing w:after="0" w:line="360" w:lineRule="auto"/>
        <w:contextualSpacing/>
        <w:jc w:val="both"/>
        <w:rPr>
          <w:rFonts w:ascii="Times New Roman" w:hAnsi="Times New Roman" w:cs="Times New Roman"/>
          <w:bCs/>
          <w:noProof/>
          <w:sz w:val="24"/>
          <w:szCs w:val="24"/>
        </w:rPr>
      </w:pPr>
      <w:r w:rsidRPr="000603EF">
        <w:rPr>
          <w:rFonts w:ascii="Times New Roman" w:hAnsi="Times New Roman" w:cs="Times New Roman"/>
          <w:bCs/>
          <w:noProof/>
          <w:sz w:val="24"/>
          <w:szCs w:val="24"/>
        </w:rPr>
        <w:t xml:space="preserve">AZ fond (2018). </w:t>
      </w:r>
      <w:r w:rsidRPr="000603EF">
        <w:rPr>
          <w:rFonts w:ascii="Times New Roman" w:hAnsi="Times New Roman" w:cs="Times New Roman"/>
          <w:bCs/>
          <w:i/>
          <w:iCs/>
          <w:noProof/>
          <w:sz w:val="24"/>
          <w:szCs w:val="24"/>
        </w:rPr>
        <w:t>Valamar Riviera potpisala ugovor o prodaji i prijenosu dionica Hotela Makarska</w:t>
      </w:r>
      <w:r w:rsidRPr="000603EF">
        <w:rPr>
          <w:rFonts w:ascii="Times New Roman" w:hAnsi="Times New Roman" w:cs="Times New Roman"/>
          <w:bCs/>
          <w:noProof/>
          <w:sz w:val="24"/>
          <w:szCs w:val="24"/>
        </w:rPr>
        <w:t xml:space="preserve">. Dostupno na: </w:t>
      </w:r>
      <w:hyperlink r:id="rId134" w:tgtFrame="_blank" w:history="1">
        <w:r w:rsidRPr="000603EF">
          <w:rPr>
            <w:rStyle w:val="Hyperlink"/>
            <w:rFonts w:ascii="Times New Roman" w:hAnsi="Times New Roman" w:cs="Times New Roman"/>
            <w:bCs/>
            <w:noProof/>
            <w:sz w:val="24"/>
            <w:szCs w:val="24"/>
          </w:rPr>
          <w:t>https://www.azfond.hr/valamar-riviera-potpisala-ugovor-o-prodaji-i-prijenosu-dionica-hotela-makarska/</w:t>
        </w:r>
      </w:hyperlink>
      <w:r w:rsidRPr="000603EF">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8</w:t>
      </w:r>
      <w:r w:rsidRPr="000603EF">
        <w:rPr>
          <w:rFonts w:ascii="Times New Roman" w:hAnsi="Times New Roman" w:cs="Times New Roman"/>
          <w:bCs/>
          <w:noProof/>
          <w:sz w:val="24"/>
          <w:szCs w:val="24"/>
        </w:rPr>
        <w:t>. rujna 202</w:t>
      </w:r>
      <w:r w:rsidR="00B06B2C">
        <w:rPr>
          <w:rFonts w:ascii="Times New Roman" w:hAnsi="Times New Roman" w:cs="Times New Roman"/>
          <w:bCs/>
          <w:noProof/>
          <w:sz w:val="24"/>
          <w:szCs w:val="24"/>
        </w:rPr>
        <w:t>4</w:t>
      </w:r>
      <w:r w:rsidRPr="000603EF">
        <w:rPr>
          <w:rFonts w:ascii="Times New Roman" w:hAnsi="Times New Roman" w:cs="Times New Roman"/>
          <w:bCs/>
          <w:noProof/>
          <w:sz w:val="24"/>
          <w:szCs w:val="24"/>
        </w:rPr>
        <w:t>.</w:t>
      </w:r>
    </w:p>
    <w:p w14:paraId="253C1E75" w14:textId="2B370E79"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Bremont, M. (2019). Hospitality M&amp;A. Lodging Industry Consolidation: Trends. Dostupno na: </w:t>
      </w:r>
      <w:hyperlink r:id="rId135" w:history="1">
        <w:r w:rsidRPr="00BE5472">
          <w:rPr>
            <w:rFonts w:ascii="Times New Roman" w:hAnsi="Times New Roman" w:cs="Times New Roman"/>
            <w:bCs/>
            <w:noProof/>
            <w:color w:val="0563C1" w:themeColor="hyperlink"/>
            <w:sz w:val="24"/>
            <w:szCs w:val="24"/>
            <w:u w:val="single"/>
          </w:rPr>
          <w:t>https://hospitalitylawyer.com/hospitality-ma-lodging-industry-consolidation-trends/</w:t>
        </w:r>
      </w:hyperlink>
      <w:r w:rsidRPr="00BE5472">
        <w:rPr>
          <w:rFonts w:ascii="Times New Roman" w:hAnsi="Times New Roman" w:cs="Times New Roman"/>
          <w:bCs/>
          <w:noProof/>
          <w:sz w:val="24"/>
          <w:szCs w:val="24"/>
        </w:rPr>
        <w:t xml:space="preserve">  Pristupljeno: 18. siječnja 2022.</w:t>
      </w:r>
    </w:p>
    <w:p w14:paraId="72799E65" w14:textId="45BB2317" w:rsidR="00956CBA" w:rsidRPr="00956CBA" w:rsidRDefault="00956CBA" w:rsidP="00956CBA">
      <w:pPr>
        <w:numPr>
          <w:ilvl w:val="0"/>
          <w:numId w:val="65"/>
        </w:numPr>
        <w:spacing w:after="0" w:line="360" w:lineRule="auto"/>
        <w:contextualSpacing/>
        <w:jc w:val="both"/>
        <w:rPr>
          <w:rFonts w:ascii="Times New Roman" w:hAnsi="Times New Roman" w:cs="Times New Roman"/>
          <w:bCs/>
          <w:noProof/>
          <w:sz w:val="24"/>
          <w:szCs w:val="24"/>
        </w:rPr>
      </w:pPr>
      <w:r w:rsidRPr="00E86041">
        <w:rPr>
          <w:rFonts w:ascii="Times New Roman" w:hAnsi="Times New Roman" w:cs="Times New Roman"/>
          <w:bCs/>
          <w:noProof/>
          <w:sz w:val="24"/>
          <w:szCs w:val="24"/>
        </w:rPr>
        <w:t xml:space="preserve">Business Wire (2021). </w:t>
      </w:r>
      <w:r w:rsidRPr="00E86041">
        <w:rPr>
          <w:rFonts w:ascii="Times New Roman" w:hAnsi="Times New Roman" w:cs="Times New Roman"/>
          <w:bCs/>
          <w:i/>
          <w:iCs/>
          <w:noProof/>
          <w:sz w:val="24"/>
          <w:szCs w:val="24"/>
        </w:rPr>
        <w:t>Hilton Grand Vacations Completes Acquisition of Diamond Resorts</w:t>
      </w:r>
      <w:r w:rsidRPr="00E86041">
        <w:rPr>
          <w:rFonts w:ascii="Times New Roman" w:hAnsi="Times New Roman" w:cs="Times New Roman"/>
          <w:bCs/>
          <w:noProof/>
          <w:sz w:val="24"/>
          <w:szCs w:val="24"/>
        </w:rPr>
        <w:t xml:space="preserve">. Dostupno na: </w:t>
      </w:r>
      <w:hyperlink r:id="rId136" w:tgtFrame="_blank" w:history="1">
        <w:r w:rsidRPr="00E86041">
          <w:rPr>
            <w:rStyle w:val="Hyperlink"/>
            <w:rFonts w:ascii="Times New Roman" w:hAnsi="Times New Roman" w:cs="Times New Roman"/>
            <w:bCs/>
            <w:noProof/>
            <w:sz w:val="24"/>
            <w:szCs w:val="24"/>
          </w:rPr>
          <w:t>https://www.businesswire.com/news/home/20210802005413/en/Hilton-Grand-Vacations-Completes-Acquisition-of-Diamond-Resorts</w:t>
        </w:r>
      </w:hyperlink>
      <w:r w:rsidRPr="00E86041">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23</w:t>
      </w:r>
      <w:r w:rsidRPr="00E86041">
        <w:rPr>
          <w:rFonts w:ascii="Times New Roman" w:hAnsi="Times New Roman" w:cs="Times New Roman"/>
          <w:bCs/>
          <w:noProof/>
          <w:sz w:val="24"/>
          <w:szCs w:val="24"/>
        </w:rPr>
        <w:t xml:space="preserve">. </w:t>
      </w:r>
      <w:r>
        <w:rPr>
          <w:rFonts w:ascii="Times New Roman" w:hAnsi="Times New Roman" w:cs="Times New Roman"/>
          <w:bCs/>
          <w:noProof/>
          <w:sz w:val="24"/>
          <w:szCs w:val="24"/>
        </w:rPr>
        <w:t>studenog</w:t>
      </w:r>
      <w:r w:rsidRPr="00E86041">
        <w:rPr>
          <w:rFonts w:ascii="Times New Roman" w:hAnsi="Times New Roman" w:cs="Times New Roman"/>
          <w:bCs/>
          <w:noProof/>
          <w:sz w:val="24"/>
          <w:szCs w:val="24"/>
        </w:rPr>
        <w:t xml:space="preserve"> 202</w:t>
      </w:r>
      <w:r w:rsidR="00077320">
        <w:rPr>
          <w:rFonts w:ascii="Times New Roman" w:hAnsi="Times New Roman" w:cs="Times New Roman"/>
          <w:bCs/>
          <w:noProof/>
          <w:sz w:val="24"/>
          <w:szCs w:val="24"/>
        </w:rPr>
        <w:t>4</w:t>
      </w:r>
      <w:r w:rsidRPr="00E86041">
        <w:rPr>
          <w:rFonts w:ascii="Times New Roman" w:hAnsi="Times New Roman" w:cs="Times New Roman"/>
          <w:bCs/>
          <w:noProof/>
          <w:sz w:val="24"/>
          <w:szCs w:val="24"/>
        </w:rPr>
        <w:t>.</w:t>
      </w:r>
    </w:p>
    <w:p w14:paraId="0E692FEB"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Clark, P. (2018). Points-obsessed travelers are terrified of losing perks. Starwood fans fear Marriott mediocrity in the world's largest hospitality merger. Dostupno na: </w:t>
      </w:r>
      <w:hyperlink r:id="rId137" w:history="1">
        <w:r w:rsidRPr="00BE5472">
          <w:rPr>
            <w:rFonts w:ascii="Times New Roman" w:hAnsi="Times New Roman" w:cs="Times New Roman"/>
            <w:bCs/>
            <w:noProof/>
            <w:color w:val="0563C1" w:themeColor="hyperlink"/>
            <w:sz w:val="24"/>
            <w:szCs w:val="24"/>
            <w:u w:val="single"/>
          </w:rPr>
          <w:t>https://www.bloomberg.com/news/features/2018-08-01/the-marriott-starwood-merger-puts-a-points-program-to-the-test</w:t>
        </w:r>
      </w:hyperlink>
      <w:r w:rsidRPr="00BE5472">
        <w:rPr>
          <w:rFonts w:ascii="Times New Roman" w:hAnsi="Times New Roman" w:cs="Times New Roman"/>
          <w:bCs/>
          <w:noProof/>
          <w:sz w:val="24"/>
          <w:szCs w:val="24"/>
        </w:rPr>
        <w:t xml:space="preserve">  Pristupljeno: 17. siječnja 2022.</w:t>
      </w:r>
    </w:p>
    <w:p w14:paraId="60A3ACF7" w14:textId="5E2CF1C3" w:rsidR="001127DE" w:rsidRDefault="001127DE" w:rsidP="001127DE">
      <w:pPr>
        <w:numPr>
          <w:ilvl w:val="0"/>
          <w:numId w:val="65"/>
        </w:numPr>
        <w:spacing w:after="0" w:line="360" w:lineRule="auto"/>
        <w:contextualSpacing/>
        <w:jc w:val="both"/>
        <w:rPr>
          <w:rFonts w:ascii="Times New Roman" w:hAnsi="Times New Roman" w:cs="Times New Roman"/>
          <w:bCs/>
          <w:noProof/>
          <w:sz w:val="24"/>
          <w:szCs w:val="24"/>
        </w:rPr>
      </w:pPr>
      <w:r w:rsidRPr="000266F7">
        <w:rPr>
          <w:rFonts w:ascii="Times New Roman" w:hAnsi="Times New Roman" w:cs="Times New Roman"/>
          <w:bCs/>
          <w:noProof/>
          <w:sz w:val="24"/>
          <w:szCs w:val="24"/>
        </w:rPr>
        <w:t xml:space="preserve">CoStar (2024). </w:t>
      </w:r>
      <w:r w:rsidRPr="000266F7">
        <w:rPr>
          <w:rFonts w:ascii="Times New Roman" w:hAnsi="Times New Roman" w:cs="Times New Roman"/>
          <w:bCs/>
          <w:i/>
          <w:iCs/>
          <w:noProof/>
          <w:sz w:val="24"/>
          <w:szCs w:val="24"/>
        </w:rPr>
        <w:t>Spate of early 2024 hotel acquisitions boosts hopes of healthier European market</w:t>
      </w:r>
      <w:r w:rsidRPr="000266F7">
        <w:rPr>
          <w:rFonts w:ascii="Times New Roman" w:hAnsi="Times New Roman" w:cs="Times New Roman"/>
          <w:bCs/>
          <w:noProof/>
          <w:sz w:val="24"/>
          <w:szCs w:val="24"/>
        </w:rPr>
        <w:t xml:space="preserve">. Dostupno na: </w:t>
      </w:r>
      <w:hyperlink r:id="rId138" w:tgtFrame="_blank" w:history="1">
        <w:r w:rsidRPr="000266F7">
          <w:rPr>
            <w:rStyle w:val="Hyperlink"/>
            <w:rFonts w:ascii="Times New Roman" w:hAnsi="Times New Roman" w:cs="Times New Roman"/>
            <w:bCs/>
            <w:noProof/>
            <w:sz w:val="24"/>
            <w:szCs w:val="24"/>
          </w:rPr>
          <w:t>https://www.costar.com/article/16720500/spate-of-early-2024-hotel-acquisitions-boosts-hopes-of-healthier-european-market</w:t>
        </w:r>
      </w:hyperlink>
      <w:r w:rsidRPr="000266F7">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20</w:t>
      </w:r>
      <w:r w:rsidRPr="000266F7">
        <w:rPr>
          <w:rFonts w:ascii="Times New Roman" w:hAnsi="Times New Roman" w:cs="Times New Roman"/>
          <w:bCs/>
          <w:noProof/>
          <w:sz w:val="24"/>
          <w:szCs w:val="24"/>
        </w:rPr>
        <w:t>. rujna 202</w:t>
      </w:r>
      <w:r w:rsidR="00956CBA">
        <w:rPr>
          <w:rFonts w:ascii="Times New Roman" w:hAnsi="Times New Roman" w:cs="Times New Roman"/>
          <w:bCs/>
          <w:noProof/>
          <w:sz w:val="24"/>
          <w:szCs w:val="24"/>
        </w:rPr>
        <w:t>3</w:t>
      </w:r>
      <w:r w:rsidRPr="000266F7">
        <w:rPr>
          <w:rFonts w:ascii="Times New Roman" w:hAnsi="Times New Roman" w:cs="Times New Roman"/>
          <w:bCs/>
          <w:noProof/>
          <w:sz w:val="24"/>
          <w:szCs w:val="24"/>
        </w:rPr>
        <w:t>.</w:t>
      </w:r>
    </w:p>
    <w:p w14:paraId="689CE089" w14:textId="5B1C1544" w:rsidR="000A408E" w:rsidRPr="000A408E" w:rsidRDefault="000A408E" w:rsidP="000A408E">
      <w:pPr>
        <w:numPr>
          <w:ilvl w:val="0"/>
          <w:numId w:val="65"/>
        </w:numPr>
        <w:spacing w:after="0" w:line="360" w:lineRule="auto"/>
        <w:contextualSpacing/>
        <w:jc w:val="both"/>
        <w:rPr>
          <w:rFonts w:ascii="Times New Roman" w:hAnsi="Times New Roman" w:cs="Times New Roman"/>
          <w:bCs/>
          <w:noProof/>
          <w:sz w:val="24"/>
          <w:szCs w:val="24"/>
        </w:rPr>
      </w:pPr>
      <w:r w:rsidRPr="00E86041">
        <w:rPr>
          <w:rFonts w:ascii="Times New Roman" w:hAnsi="Times New Roman" w:cs="Times New Roman"/>
          <w:bCs/>
          <w:noProof/>
          <w:sz w:val="24"/>
          <w:szCs w:val="24"/>
        </w:rPr>
        <w:t xml:space="preserve">GlobeNewswire (2021). </w:t>
      </w:r>
      <w:r w:rsidRPr="00E86041">
        <w:rPr>
          <w:rFonts w:ascii="Times New Roman" w:hAnsi="Times New Roman" w:cs="Times New Roman"/>
          <w:bCs/>
          <w:i/>
          <w:iCs/>
          <w:noProof/>
          <w:sz w:val="24"/>
          <w:szCs w:val="24"/>
        </w:rPr>
        <w:t>Blackstone and Starwood Capital Group Complete Acquisition of Extended Stay America</w:t>
      </w:r>
      <w:r w:rsidRPr="00E86041">
        <w:rPr>
          <w:rFonts w:ascii="Times New Roman" w:hAnsi="Times New Roman" w:cs="Times New Roman"/>
          <w:bCs/>
          <w:noProof/>
          <w:sz w:val="24"/>
          <w:szCs w:val="24"/>
        </w:rPr>
        <w:t xml:space="preserve">. Dostupno na: </w:t>
      </w:r>
      <w:hyperlink r:id="rId139" w:tgtFrame="_blank" w:history="1">
        <w:r w:rsidRPr="00E86041">
          <w:rPr>
            <w:rStyle w:val="Hyperlink"/>
            <w:rFonts w:ascii="Times New Roman" w:hAnsi="Times New Roman" w:cs="Times New Roman"/>
            <w:bCs/>
            <w:noProof/>
            <w:sz w:val="24"/>
            <w:szCs w:val="24"/>
          </w:rPr>
          <w:t>https://www.globenewswire.com/news-</w:t>
        </w:r>
        <w:r w:rsidRPr="00E86041">
          <w:rPr>
            <w:rStyle w:val="Hyperlink"/>
            <w:rFonts w:ascii="Times New Roman" w:hAnsi="Times New Roman" w:cs="Times New Roman"/>
            <w:bCs/>
            <w:noProof/>
            <w:sz w:val="24"/>
            <w:szCs w:val="24"/>
          </w:rPr>
          <w:lastRenderedPageBreak/>
          <w:t>release/2021/06/16/2248347/0/en/Blackstone-and-Starwood-Capital-Group-Complete-Acquisition-of-Extended-Stay-America.html</w:t>
        </w:r>
      </w:hyperlink>
      <w:r w:rsidRPr="00E86041">
        <w:rPr>
          <w:rFonts w:ascii="Times New Roman" w:hAnsi="Times New Roman" w:cs="Times New Roman"/>
          <w:bCs/>
          <w:noProof/>
          <w:sz w:val="24"/>
          <w:szCs w:val="24"/>
        </w:rPr>
        <w:t xml:space="preserve"> Pristupljeno: 15. rujna 202.</w:t>
      </w:r>
    </w:p>
    <w:p w14:paraId="746013CC"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Hilton (bez dat.). Explore our ways to stay. Dostupno na: </w:t>
      </w:r>
      <w:hyperlink r:id="rId140" w:history="1">
        <w:r w:rsidRPr="00BE5472">
          <w:rPr>
            <w:rFonts w:ascii="Times New Roman" w:hAnsi="Times New Roman" w:cs="Times New Roman"/>
            <w:bCs/>
            <w:noProof/>
            <w:color w:val="0563C1" w:themeColor="hyperlink"/>
            <w:sz w:val="24"/>
            <w:szCs w:val="24"/>
            <w:u w:val="single"/>
          </w:rPr>
          <w:t>https://www.hilton.com/en/brands/</w:t>
        </w:r>
      </w:hyperlink>
      <w:r w:rsidRPr="00BE5472">
        <w:rPr>
          <w:rFonts w:ascii="Times New Roman" w:hAnsi="Times New Roman" w:cs="Times New Roman"/>
          <w:bCs/>
          <w:noProof/>
          <w:sz w:val="24"/>
          <w:szCs w:val="24"/>
        </w:rPr>
        <w:t xml:space="preserve"> Pristupljeno: 12. srpnja 2024. </w:t>
      </w:r>
    </w:p>
    <w:p w14:paraId="24E4799D" w14:textId="77777777" w:rsidR="006E052A" w:rsidRDefault="006E052A" w:rsidP="00932B24">
      <w:pPr>
        <w:numPr>
          <w:ilvl w:val="0"/>
          <w:numId w:val="65"/>
        </w:numPr>
        <w:spacing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Hilton (2024). Hilton Acquires Majority Controlling Interest in Sydell Group to Expand NoMad Hotels Brand Worldwide. Dostupno na: </w:t>
      </w:r>
      <w:hyperlink r:id="rId141" w:history="1">
        <w:r w:rsidRPr="00BE5472">
          <w:rPr>
            <w:rFonts w:ascii="Times New Roman" w:hAnsi="Times New Roman" w:cs="Times New Roman"/>
            <w:bCs/>
            <w:noProof/>
            <w:color w:val="0563C1" w:themeColor="hyperlink"/>
            <w:sz w:val="24"/>
            <w:szCs w:val="24"/>
            <w:u w:val="single"/>
          </w:rPr>
          <w:t>https://stories.hilton.com/releases/hilton-acquires-majority-controlling-interest-in-sydell-group-to-expand-nomad-hotels-brand-worldwide</w:t>
        </w:r>
      </w:hyperlink>
      <w:r w:rsidRPr="00BE5472">
        <w:rPr>
          <w:rFonts w:ascii="Times New Roman" w:hAnsi="Times New Roman" w:cs="Times New Roman"/>
          <w:bCs/>
          <w:noProof/>
          <w:sz w:val="24"/>
          <w:szCs w:val="24"/>
        </w:rPr>
        <w:t xml:space="preserve"> Pristupljeno: 8. srpnja 2024. </w:t>
      </w:r>
    </w:p>
    <w:p w14:paraId="723623CC" w14:textId="4A6BF925" w:rsidR="00C23153" w:rsidRPr="00C23153" w:rsidRDefault="00C23153" w:rsidP="00C23153">
      <w:pPr>
        <w:numPr>
          <w:ilvl w:val="0"/>
          <w:numId w:val="65"/>
        </w:numPr>
        <w:spacing w:after="0" w:line="360" w:lineRule="auto"/>
        <w:contextualSpacing/>
        <w:jc w:val="both"/>
        <w:rPr>
          <w:rFonts w:ascii="Times New Roman" w:hAnsi="Times New Roman" w:cs="Times New Roman"/>
          <w:bCs/>
          <w:noProof/>
          <w:sz w:val="24"/>
          <w:szCs w:val="24"/>
        </w:rPr>
      </w:pPr>
      <w:r w:rsidRPr="00C23153">
        <w:rPr>
          <w:rFonts w:ascii="Times New Roman" w:hAnsi="Times New Roman" w:cs="Times New Roman"/>
          <w:sz w:val="24"/>
          <w:szCs w:val="24"/>
        </w:rPr>
        <w:t>Hospitality On</w:t>
      </w:r>
      <w:r w:rsidRPr="001E3845">
        <w:rPr>
          <w:rFonts w:ascii="Times New Roman" w:hAnsi="Times New Roman" w:cs="Times New Roman"/>
          <w:sz w:val="24"/>
          <w:szCs w:val="24"/>
        </w:rPr>
        <w:t xml:space="preserve"> (2024). </w:t>
      </w:r>
      <w:r w:rsidRPr="001E3845">
        <w:rPr>
          <w:rFonts w:ascii="Times New Roman" w:hAnsi="Times New Roman" w:cs="Times New Roman"/>
          <w:i/>
          <w:iCs/>
          <w:sz w:val="24"/>
          <w:szCs w:val="24"/>
        </w:rPr>
        <w:t>Starwood Capital acquires 10 Radisson Blu hotels from Edwardian Group</w:t>
      </w:r>
      <w:r w:rsidRPr="001E3845">
        <w:rPr>
          <w:rFonts w:ascii="Times New Roman" w:hAnsi="Times New Roman" w:cs="Times New Roman"/>
          <w:sz w:val="24"/>
          <w:szCs w:val="24"/>
        </w:rPr>
        <w:t xml:space="preserve">. Dostupno na: </w:t>
      </w:r>
      <w:hyperlink r:id="rId142" w:tgtFrame="_blank" w:history="1">
        <w:r w:rsidRPr="001E3845">
          <w:rPr>
            <w:rStyle w:val="Hyperlink"/>
            <w:rFonts w:ascii="Times New Roman" w:hAnsi="Times New Roman" w:cs="Times New Roman"/>
            <w:sz w:val="24"/>
            <w:szCs w:val="24"/>
          </w:rPr>
          <w:t>https://hospitality-on.com/en/mergers-and-acquisitions/starwood-capital-acquires-10-radisson-blu-hotels-edwardian-group</w:t>
        </w:r>
      </w:hyperlink>
      <w:r w:rsidRPr="001E3845">
        <w:rPr>
          <w:rFonts w:ascii="Times New Roman" w:hAnsi="Times New Roman" w:cs="Times New Roman"/>
          <w:sz w:val="24"/>
          <w:szCs w:val="24"/>
        </w:rPr>
        <w:t xml:space="preserve"> Pristupljeno: </w:t>
      </w:r>
      <w:r w:rsidR="001A52E2">
        <w:rPr>
          <w:rFonts w:ascii="Times New Roman" w:hAnsi="Times New Roman" w:cs="Times New Roman"/>
          <w:sz w:val="24"/>
          <w:szCs w:val="24"/>
        </w:rPr>
        <w:t>30. ožujka</w:t>
      </w:r>
      <w:r w:rsidRPr="001E3845">
        <w:rPr>
          <w:rFonts w:ascii="Times New Roman" w:hAnsi="Times New Roman" w:cs="Times New Roman"/>
          <w:sz w:val="24"/>
          <w:szCs w:val="24"/>
        </w:rPr>
        <w:t xml:space="preserve"> 2024.</w:t>
      </w:r>
    </w:p>
    <w:p w14:paraId="6BF8EF16" w14:textId="3490622D" w:rsidR="00C23153" w:rsidRDefault="00C23153" w:rsidP="00C23153">
      <w:pPr>
        <w:numPr>
          <w:ilvl w:val="0"/>
          <w:numId w:val="65"/>
        </w:numPr>
        <w:spacing w:after="0" w:line="360" w:lineRule="auto"/>
        <w:contextualSpacing/>
        <w:jc w:val="both"/>
        <w:rPr>
          <w:rFonts w:ascii="Times New Roman" w:hAnsi="Times New Roman" w:cs="Times New Roman"/>
          <w:bCs/>
          <w:noProof/>
          <w:sz w:val="24"/>
          <w:szCs w:val="24"/>
        </w:rPr>
      </w:pPr>
      <w:r w:rsidRPr="00AD1611">
        <w:rPr>
          <w:rFonts w:ascii="Times New Roman" w:hAnsi="Times New Roman" w:cs="Times New Roman"/>
          <w:bCs/>
          <w:noProof/>
          <w:sz w:val="24"/>
          <w:szCs w:val="24"/>
        </w:rPr>
        <w:t xml:space="preserve">Hospitality On (2024). </w:t>
      </w:r>
      <w:r w:rsidRPr="00AD1611">
        <w:rPr>
          <w:rFonts w:ascii="Times New Roman" w:hAnsi="Times New Roman" w:cs="Times New Roman"/>
          <w:bCs/>
          <w:i/>
          <w:iCs/>
          <w:noProof/>
          <w:sz w:val="24"/>
          <w:szCs w:val="24"/>
        </w:rPr>
        <w:t>Travelodge acquires 66 hotels for £210 million</w:t>
      </w:r>
      <w:r w:rsidRPr="00AD1611">
        <w:rPr>
          <w:rFonts w:ascii="Times New Roman" w:hAnsi="Times New Roman" w:cs="Times New Roman"/>
          <w:bCs/>
          <w:noProof/>
          <w:sz w:val="24"/>
          <w:szCs w:val="24"/>
        </w:rPr>
        <w:t xml:space="preserve">. Dostupno na: </w:t>
      </w:r>
      <w:hyperlink r:id="rId143" w:tgtFrame="_blank" w:history="1">
        <w:r w:rsidRPr="00AD1611">
          <w:rPr>
            <w:rStyle w:val="Hyperlink"/>
            <w:rFonts w:ascii="Times New Roman" w:hAnsi="Times New Roman" w:cs="Times New Roman"/>
            <w:bCs/>
            <w:noProof/>
            <w:sz w:val="24"/>
            <w:szCs w:val="24"/>
          </w:rPr>
          <w:t>https://hospitality-on.com/en/hospitality/travelodge-acquires-66-hotels-ps210-million</w:t>
        </w:r>
      </w:hyperlink>
      <w:r w:rsidRPr="00AD1611">
        <w:rPr>
          <w:rFonts w:ascii="Times New Roman" w:hAnsi="Times New Roman" w:cs="Times New Roman"/>
          <w:bCs/>
          <w:noProof/>
          <w:sz w:val="24"/>
          <w:szCs w:val="24"/>
        </w:rPr>
        <w:t xml:space="preserve"> Pristupljeno: </w:t>
      </w:r>
      <w:r w:rsidR="001A52E2">
        <w:rPr>
          <w:rFonts w:ascii="Times New Roman" w:hAnsi="Times New Roman" w:cs="Times New Roman"/>
          <w:bCs/>
          <w:noProof/>
          <w:sz w:val="24"/>
          <w:szCs w:val="24"/>
        </w:rPr>
        <w:t>30. ožujka</w:t>
      </w:r>
      <w:r w:rsidRPr="00AD1611">
        <w:rPr>
          <w:rFonts w:ascii="Times New Roman" w:hAnsi="Times New Roman" w:cs="Times New Roman"/>
          <w:bCs/>
          <w:noProof/>
          <w:sz w:val="24"/>
          <w:szCs w:val="24"/>
        </w:rPr>
        <w:t xml:space="preserve"> 2024.</w:t>
      </w:r>
    </w:p>
    <w:p w14:paraId="0612E7F0" w14:textId="6B430744" w:rsidR="00DA74D3" w:rsidRDefault="00DA74D3" w:rsidP="00DA74D3">
      <w:pPr>
        <w:numPr>
          <w:ilvl w:val="0"/>
          <w:numId w:val="65"/>
        </w:numPr>
        <w:spacing w:after="0" w:line="360" w:lineRule="auto"/>
        <w:contextualSpacing/>
        <w:jc w:val="both"/>
        <w:rPr>
          <w:rFonts w:ascii="Times New Roman" w:hAnsi="Times New Roman" w:cs="Times New Roman"/>
          <w:bCs/>
          <w:noProof/>
          <w:sz w:val="24"/>
          <w:szCs w:val="24"/>
        </w:rPr>
      </w:pPr>
      <w:r w:rsidRPr="00A751F9">
        <w:rPr>
          <w:rFonts w:ascii="Times New Roman" w:hAnsi="Times New Roman" w:cs="Times New Roman"/>
          <w:bCs/>
          <w:noProof/>
          <w:sz w:val="24"/>
          <w:szCs w:val="24"/>
        </w:rPr>
        <w:t xml:space="preserve">Hotel Dive (2024). </w:t>
      </w:r>
      <w:r w:rsidRPr="00A751F9">
        <w:rPr>
          <w:rFonts w:ascii="Times New Roman" w:hAnsi="Times New Roman" w:cs="Times New Roman"/>
          <w:bCs/>
          <w:i/>
          <w:iCs/>
          <w:noProof/>
          <w:sz w:val="24"/>
          <w:szCs w:val="24"/>
        </w:rPr>
        <w:t>Hilton Grand Vacations completes Bluegreen acquisition</w:t>
      </w:r>
      <w:r w:rsidRPr="00A751F9">
        <w:rPr>
          <w:rFonts w:ascii="Times New Roman" w:hAnsi="Times New Roman" w:cs="Times New Roman"/>
          <w:bCs/>
          <w:noProof/>
          <w:sz w:val="24"/>
          <w:szCs w:val="24"/>
        </w:rPr>
        <w:t xml:space="preserve">. Dostupno na: </w:t>
      </w:r>
      <w:hyperlink r:id="rId144" w:tgtFrame="_blank" w:history="1">
        <w:r w:rsidRPr="00A751F9">
          <w:rPr>
            <w:rStyle w:val="Hyperlink"/>
            <w:rFonts w:ascii="Times New Roman" w:hAnsi="Times New Roman" w:cs="Times New Roman"/>
            <w:bCs/>
            <w:noProof/>
            <w:sz w:val="24"/>
            <w:szCs w:val="24"/>
          </w:rPr>
          <w:t>https://www.hoteldive.com/news/hilton-grand-vacations-completes-bluegreen-acquisition/704774/</w:t>
        </w:r>
      </w:hyperlink>
      <w:r w:rsidRPr="00A751F9">
        <w:rPr>
          <w:rFonts w:ascii="Times New Roman" w:hAnsi="Times New Roman" w:cs="Times New Roman"/>
          <w:bCs/>
          <w:noProof/>
          <w:sz w:val="24"/>
          <w:szCs w:val="24"/>
        </w:rPr>
        <w:t xml:space="preserve"> Pristupljeno: 15. rujna 2024.</w:t>
      </w:r>
    </w:p>
    <w:p w14:paraId="1DA93FD8" w14:textId="778CA813" w:rsidR="004D4BB8" w:rsidRDefault="004D4BB8" w:rsidP="004D4BB8">
      <w:pPr>
        <w:numPr>
          <w:ilvl w:val="0"/>
          <w:numId w:val="65"/>
        </w:numPr>
        <w:spacing w:after="0" w:line="360" w:lineRule="auto"/>
        <w:contextualSpacing/>
        <w:jc w:val="both"/>
        <w:rPr>
          <w:rFonts w:ascii="Times New Roman" w:hAnsi="Times New Roman" w:cs="Times New Roman"/>
          <w:bCs/>
          <w:noProof/>
          <w:sz w:val="24"/>
          <w:szCs w:val="24"/>
        </w:rPr>
      </w:pPr>
      <w:r w:rsidRPr="008D6F8E">
        <w:rPr>
          <w:rFonts w:ascii="Times New Roman" w:hAnsi="Times New Roman" w:cs="Times New Roman"/>
          <w:bCs/>
          <w:noProof/>
          <w:sz w:val="24"/>
          <w:szCs w:val="24"/>
        </w:rPr>
        <w:t xml:space="preserve">Hotel Management Network (2023). </w:t>
      </w:r>
      <w:r w:rsidRPr="008D6F8E">
        <w:rPr>
          <w:rFonts w:ascii="Times New Roman" w:hAnsi="Times New Roman" w:cs="Times New Roman"/>
          <w:bCs/>
          <w:i/>
          <w:iCs/>
          <w:noProof/>
          <w:sz w:val="24"/>
          <w:szCs w:val="24"/>
        </w:rPr>
        <w:t>The biggest deals in the hotel industry in 2023</w:t>
      </w:r>
      <w:r w:rsidRPr="008D6F8E">
        <w:rPr>
          <w:rFonts w:ascii="Times New Roman" w:hAnsi="Times New Roman" w:cs="Times New Roman"/>
          <w:bCs/>
          <w:noProof/>
          <w:sz w:val="24"/>
          <w:szCs w:val="24"/>
        </w:rPr>
        <w:t xml:space="preserve">. Dostupno na: </w:t>
      </w:r>
      <w:hyperlink r:id="rId145" w:tgtFrame="_blank" w:history="1">
        <w:r w:rsidRPr="008D6F8E">
          <w:rPr>
            <w:rStyle w:val="Hyperlink"/>
            <w:rFonts w:ascii="Times New Roman" w:hAnsi="Times New Roman" w:cs="Times New Roman"/>
            <w:bCs/>
            <w:noProof/>
            <w:sz w:val="24"/>
            <w:szCs w:val="24"/>
          </w:rPr>
          <w:t>https://www.hotelmanagement-network.com/news/biggest-deals-hotel-industry-2023/</w:t>
        </w:r>
      </w:hyperlink>
      <w:r w:rsidRPr="008D6F8E">
        <w:rPr>
          <w:rFonts w:ascii="Times New Roman" w:hAnsi="Times New Roman" w:cs="Times New Roman"/>
          <w:bCs/>
          <w:noProof/>
          <w:sz w:val="24"/>
          <w:szCs w:val="24"/>
        </w:rPr>
        <w:t xml:space="preserve"> Pristupljeno: 15. </w:t>
      </w:r>
      <w:r>
        <w:rPr>
          <w:rFonts w:ascii="Times New Roman" w:hAnsi="Times New Roman" w:cs="Times New Roman"/>
          <w:bCs/>
          <w:noProof/>
          <w:sz w:val="24"/>
          <w:szCs w:val="24"/>
        </w:rPr>
        <w:t>listopad</w:t>
      </w:r>
      <w:r w:rsidRPr="008D6F8E">
        <w:rPr>
          <w:rFonts w:ascii="Times New Roman" w:hAnsi="Times New Roman" w:cs="Times New Roman"/>
          <w:bCs/>
          <w:noProof/>
          <w:sz w:val="24"/>
          <w:szCs w:val="24"/>
        </w:rPr>
        <w:t xml:space="preserve"> 2024.</w:t>
      </w:r>
    </w:p>
    <w:p w14:paraId="4FBEE630" w14:textId="6A18C8AD" w:rsidR="00C07BF3" w:rsidRPr="00C07BF3" w:rsidRDefault="00C07BF3" w:rsidP="00C07BF3">
      <w:pPr>
        <w:numPr>
          <w:ilvl w:val="0"/>
          <w:numId w:val="65"/>
        </w:numPr>
        <w:spacing w:after="0" w:line="360" w:lineRule="auto"/>
        <w:contextualSpacing/>
        <w:jc w:val="both"/>
        <w:rPr>
          <w:rFonts w:ascii="Times New Roman" w:hAnsi="Times New Roman" w:cs="Times New Roman"/>
          <w:bCs/>
          <w:noProof/>
          <w:sz w:val="24"/>
          <w:szCs w:val="24"/>
        </w:rPr>
      </w:pPr>
      <w:r w:rsidRPr="0058083B">
        <w:rPr>
          <w:rFonts w:ascii="Times New Roman" w:hAnsi="Times New Roman" w:cs="Times New Roman"/>
          <w:bCs/>
          <w:noProof/>
          <w:sz w:val="24"/>
          <w:szCs w:val="24"/>
        </w:rPr>
        <w:t xml:space="preserve">Hotel Management Network (2022). </w:t>
      </w:r>
      <w:r w:rsidRPr="0058083B">
        <w:rPr>
          <w:rFonts w:ascii="Times New Roman" w:hAnsi="Times New Roman" w:cs="Times New Roman"/>
          <w:bCs/>
          <w:i/>
          <w:iCs/>
          <w:noProof/>
          <w:sz w:val="24"/>
          <w:szCs w:val="24"/>
        </w:rPr>
        <w:t>Tourism &amp; Leisure Industry M&amp;A deals total $569.3m globally in February 2022</w:t>
      </w:r>
      <w:r w:rsidRPr="0058083B">
        <w:rPr>
          <w:rFonts w:ascii="Times New Roman" w:hAnsi="Times New Roman" w:cs="Times New Roman"/>
          <w:bCs/>
          <w:noProof/>
          <w:sz w:val="24"/>
          <w:szCs w:val="24"/>
        </w:rPr>
        <w:t xml:space="preserve">. Dostupno na: </w:t>
      </w:r>
      <w:hyperlink r:id="rId146" w:tgtFrame="_blank" w:history="1">
        <w:r w:rsidRPr="0058083B">
          <w:rPr>
            <w:rStyle w:val="Hyperlink"/>
            <w:rFonts w:ascii="Times New Roman" w:hAnsi="Times New Roman" w:cs="Times New Roman"/>
            <w:bCs/>
            <w:noProof/>
            <w:sz w:val="24"/>
            <w:szCs w:val="24"/>
          </w:rPr>
          <w:t>https://www.hotelmanagement-network.com/deals-analysis/tourism-leisure-industry-ma-deals-total-569-3m-globally-in-february-2022/?cf-view</w:t>
        </w:r>
      </w:hyperlink>
      <w:r w:rsidRPr="0058083B">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0</w:t>
      </w:r>
      <w:r w:rsidRPr="0058083B">
        <w:rPr>
          <w:rFonts w:ascii="Times New Roman" w:hAnsi="Times New Roman" w:cs="Times New Roman"/>
          <w:bCs/>
          <w:noProof/>
          <w:sz w:val="24"/>
          <w:szCs w:val="24"/>
        </w:rPr>
        <w:t xml:space="preserve">. </w:t>
      </w:r>
      <w:r>
        <w:rPr>
          <w:rFonts w:ascii="Times New Roman" w:hAnsi="Times New Roman" w:cs="Times New Roman"/>
          <w:bCs/>
          <w:noProof/>
          <w:sz w:val="24"/>
          <w:szCs w:val="24"/>
        </w:rPr>
        <w:t>ožujka</w:t>
      </w:r>
      <w:r w:rsidRPr="0058083B">
        <w:rPr>
          <w:rFonts w:ascii="Times New Roman" w:hAnsi="Times New Roman" w:cs="Times New Roman"/>
          <w:bCs/>
          <w:noProof/>
          <w:sz w:val="24"/>
          <w:szCs w:val="24"/>
        </w:rPr>
        <w:t xml:space="preserve"> 2024.</w:t>
      </w:r>
    </w:p>
    <w:p w14:paraId="6C1A434A"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HVS (2021). 2020 European Hotel Transactions. Dostupno na: </w:t>
      </w:r>
      <w:hyperlink r:id="rId147" w:history="1">
        <w:r w:rsidRPr="00BE5472">
          <w:rPr>
            <w:rFonts w:ascii="Times New Roman" w:hAnsi="Times New Roman" w:cs="Times New Roman"/>
            <w:bCs/>
            <w:noProof/>
            <w:color w:val="0563C1" w:themeColor="hyperlink"/>
            <w:sz w:val="24"/>
            <w:szCs w:val="24"/>
            <w:u w:val="single"/>
          </w:rPr>
          <w:t>https://www.hvs.com/article/9045-2020-European-Hotel-Transactions</w:t>
        </w:r>
      </w:hyperlink>
      <w:r w:rsidRPr="00BE5472">
        <w:rPr>
          <w:rFonts w:ascii="Times New Roman" w:hAnsi="Times New Roman" w:cs="Times New Roman"/>
          <w:bCs/>
          <w:noProof/>
          <w:sz w:val="24"/>
          <w:szCs w:val="24"/>
        </w:rPr>
        <w:t xml:space="preserve">   Pristupljeno: 6. ožujka 2024. </w:t>
      </w:r>
    </w:p>
    <w:p w14:paraId="4694641F"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HVS (2022). Hotel Franchising in Europe – The Push Continues for New Ways to Expand. Dostupno na: </w:t>
      </w:r>
      <w:hyperlink r:id="rId148" w:history="1">
        <w:r w:rsidRPr="00BE5472">
          <w:rPr>
            <w:rFonts w:ascii="Times New Roman" w:hAnsi="Times New Roman" w:cs="Times New Roman"/>
            <w:bCs/>
            <w:noProof/>
            <w:color w:val="0563C1" w:themeColor="hyperlink"/>
            <w:sz w:val="24"/>
            <w:szCs w:val="24"/>
            <w:u w:val="single"/>
          </w:rPr>
          <w:t>https://www.hvs.com/article/9474-hotel-franchising-in-europe-the-push-continues-for-new-ways-to-expand</w:t>
        </w:r>
      </w:hyperlink>
      <w:r w:rsidRPr="00BE5472">
        <w:rPr>
          <w:rFonts w:ascii="Times New Roman" w:hAnsi="Times New Roman" w:cs="Times New Roman"/>
          <w:bCs/>
          <w:noProof/>
          <w:sz w:val="24"/>
          <w:szCs w:val="24"/>
        </w:rPr>
        <w:t xml:space="preserve">   Pristupljeno: 21. ožujka 2024. </w:t>
      </w:r>
    </w:p>
    <w:p w14:paraId="78C5F4EB" w14:textId="14F97E2F" w:rsidR="008B12CA" w:rsidRPr="008B12CA" w:rsidRDefault="008B12CA" w:rsidP="008B12CA">
      <w:pPr>
        <w:numPr>
          <w:ilvl w:val="0"/>
          <w:numId w:val="65"/>
        </w:numPr>
        <w:spacing w:after="0" w:line="360" w:lineRule="auto"/>
        <w:contextualSpacing/>
        <w:jc w:val="both"/>
        <w:rPr>
          <w:rFonts w:ascii="Times New Roman" w:hAnsi="Times New Roman" w:cs="Times New Roman"/>
          <w:bCs/>
          <w:noProof/>
          <w:sz w:val="24"/>
          <w:szCs w:val="24"/>
        </w:rPr>
      </w:pPr>
      <w:r w:rsidRPr="002B5E71">
        <w:rPr>
          <w:rFonts w:ascii="Times New Roman" w:hAnsi="Times New Roman" w:cs="Times New Roman"/>
          <w:bCs/>
          <w:noProof/>
          <w:sz w:val="24"/>
          <w:szCs w:val="24"/>
        </w:rPr>
        <w:lastRenderedPageBreak/>
        <w:t xml:space="preserve">Hyatt Newsroom (2024). </w:t>
      </w:r>
      <w:r w:rsidRPr="002B5E71">
        <w:rPr>
          <w:rFonts w:ascii="Times New Roman" w:hAnsi="Times New Roman" w:cs="Times New Roman"/>
          <w:bCs/>
          <w:i/>
          <w:iCs/>
          <w:noProof/>
          <w:sz w:val="24"/>
          <w:szCs w:val="24"/>
        </w:rPr>
        <w:t>Hyatt completes acquisition of Mr &amp; Mrs Smith</w:t>
      </w:r>
      <w:r w:rsidRPr="002B5E71">
        <w:rPr>
          <w:rFonts w:ascii="Times New Roman" w:hAnsi="Times New Roman" w:cs="Times New Roman"/>
          <w:bCs/>
          <w:noProof/>
          <w:sz w:val="24"/>
          <w:szCs w:val="24"/>
        </w:rPr>
        <w:t xml:space="preserve">. Dostupno na: </w:t>
      </w:r>
      <w:hyperlink r:id="rId149" w:tgtFrame="_blank" w:history="1">
        <w:r w:rsidRPr="002B5E71">
          <w:rPr>
            <w:rStyle w:val="Hyperlink"/>
            <w:rFonts w:ascii="Times New Roman" w:hAnsi="Times New Roman" w:cs="Times New Roman"/>
            <w:bCs/>
            <w:noProof/>
            <w:sz w:val="24"/>
            <w:szCs w:val="24"/>
          </w:rPr>
          <w:t>https://newsroom.hyatt.com/news-releases?item=124341</w:t>
        </w:r>
      </w:hyperlink>
      <w:r w:rsidRPr="002B5E71">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22</w:t>
      </w:r>
      <w:r w:rsidRPr="002B5E71">
        <w:rPr>
          <w:rFonts w:ascii="Times New Roman" w:hAnsi="Times New Roman" w:cs="Times New Roman"/>
          <w:bCs/>
          <w:noProof/>
          <w:sz w:val="24"/>
          <w:szCs w:val="24"/>
        </w:rPr>
        <w:t xml:space="preserve">. </w:t>
      </w:r>
      <w:r>
        <w:rPr>
          <w:rFonts w:ascii="Times New Roman" w:hAnsi="Times New Roman" w:cs="Times New Roman"/>
          <w:bCs/>
          <w:noProof/>
          <w:sz w:val="24"/>
          <w:szCs w:val="24"/>
        </w:rPr>
        <w:t>kolovoz</w:t>
      </w:r>
      <w:r w:rsidR="00511871">
        <w:rPr>
          <w:rFonts w:ascii="Times New Roman" w:hAnsi="Times New Roman" w:cs="Times New Roman"/>
          <w:bCs/>
          <w:noProof/>
          <w:sz w:val="24"/>
          <w:szCs w:val="24"/>
        </w:rPr>
        <w:t>a</w:t>
      </w:r>
      <w:r>
        <w:rPr>
          <w:rFonts w:ascii="Times New Roman" w:hAnsi="Times New Roman" w:cs="Times New Roman"/>
          <w:bCs/>
          <w:noProof/>
          <w:sz w:val="24"/>
          <w:szCs w:val="24"/>
        </w:rPr>
        <w:t xml:space="preserve"> </w:t>
      </w:r>
      <w:r w:rsidRPr="002B5E71">
        <w:rPr>
          <w:rFonts w:ascii="Times New Roman" w:hAnsi="Times New Roman" w:cs="Times New Roman"/>
          <w:bCs/>
          <w:noProof/>
          <w:sz w:val="24"/>
          <w:szCs w:val="24"/>
        </w:rPr>
        <w:t>2024.</w:t>
      </w:r>
    </w:p>
    <w:p w14:paraId="45D1C504"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IHG Hotel and Resorts (2014). IHG agrees to acquire Kimpton Hotels &amp; Restaurants to create the world's largest boutique hotel business. Dostupno na: </w:t>
      </w:r>
      <w:hyperlink r:id="rId150" w:history="1">
        <w:r w:rsidRPr="00BE5472">
          <w:rPr>
            <w:rFonts w:ascii="Times New Roman" w:hAnsi="Times New Roman" w:cs="Times New Roman"/>
            <w:bCs/>
            <w:noProof/>
            <w:color w:val="0563C1" w:themeColor="hyperlink"/>
            <w:sz w:val="24"/>
            <w:szCs w:val="24"/>
            <w:u w:val="single"/>
          </w:rPr>
          <w:t>https://www.ihgplc.com/en/news-and-media/news-releases/2014/ihg-agrees-to-acquire-kimpton-hotels--restaurants-to-create-the-worlds-largest-boutique-hotel-busine</w:t>
        </w:r>
      </w:hyperlink>
      <w:r w:rsidRPr="00BE5472">
        <w:rPr>
          <w:rFonts w:ascii="Times New Roman" w:hAnsi="Times New Roman" w:cs="Times New Roman"/>
          <w:bCs/>
          <w:noProof/>
          <w:sz w:val="24"/>
          <w:szCs w:val="24"/>
        </w:rPr>
        <w:t xml:space="preserve">   Pristupljeno: 6. ožujka 2024. </w:t>
      </w:r>
    </w:p>
    <w:p w14:paraId="1B7FF66F"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IMAA (2024). M&amp;A statistics. Dostupno na: </w:t>
      </w:r>
      <w:hyperlink r:id="rId151" w:history="1">
        <w:r w:rsidRPr="00BE5472">
          <w:rPr>
            <w:rFonts w:ascii="Times New Roman" w:hAnsi="Times New Roman" w:cs="Times New Roman"/>
            <w:bCs/>
            <w:noProof/>
            <w:color w:val="0563C1" w:themeColor="hyperlink"/>
            <w:sz w:val="24"/>
            <w:szCs w:val="24"/>
            <w:u w:val="single"/>
          </w:rPr>
          <w:t>https://imaa-institute.org/mergers-and-acquisitions-statistics/</w:t>
        </w:r>
      </w:hyperlink>
      <w:r w:rsidRPr="00BE5472">
        <w:rPr>
          <w:rFonts w:ascii="Times New Roman" w:hAnsi="Times New Roman" w:cs="Times New Roman"/>
          <w:bCs/>
          <w:noProof/>
          <w:sz w:val="24"/>
          <w:szCs w:val="24"/>
        </w:rPr>
        <w:t xml:space="preserve">   Pristupljeno: 20. ožujka 2024. </w:t>
      </w:r>
    </w:p>
    <w:p w14:paraId="171DBAD9"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IMD (2021). World Competitiveness Ranking. Dostupno na: </w:t>
      </w:r>
      <w:hyperlink r:id="rId152" w:history="1">
        <w:r w:rsidRPr="00BE5472">
          <w:rPr>
            <w:rFonts w:ascii="Times New Roman" w:hAnsi="Times New Roman" w:cs="Times New Roman"/>
            <w:bCs/>
            <w:noProof/>
            <w:color w:val="0563C1" w:themeColor="hyperlink"/>
            <w:sz w:val="24"/>
            <w:szCs w:val="24"/>
            <w:u w:val="single"/>
          </w:rPr>
          <w:t>https://www.imd.org/centers/world-competitiveness-center/rankings/world-competitiveness/</w:t>
        </w:r>
      </w:hyperlink>
      <w:r w:rsidRPr="00BE5472">
        <w:rPr>
          <w:rFonts w:ascii="Times New Roman" w:hAnsi="Times New Roman" w:cs="Times New Roman"/>
          <w:bCs/>
          <w:noProof/>
          <w:sz w:val="24"/>
          <w:szCs w:val="24"/>
        </w:rPr>
        <w:t xml:space="preserve">  Pristupljeno: 16. siječnja 2022.</w:t>
      </w:r>
    </w:p>
    <w:p w14:paraId="6A652F2D" w14:textId="68E92F56" w:rsidR="00886CAF" w:rsidRPr="00886CAF" w:rsidRDefault="00886CAF" w:rsidP="00886CAF">
      <w:pPr>
        <w:numPr>
          <w:ilvl w:val="0"/>
          <w:numId w:val="65"/>
        </w:numPr>
        <w:spacing w:after="0" w:line="360" w:lineRule="auto"/>
        <w:contextualSpacing/>
        <w:jc w:val="both"/>
        <w:rPr>
          <w:rFonts w:ascii="Times New Roman" w:hAnsi="Times New Roman" w:cs="Times New Roman"/>
          <w:bCs/>
          <w:noProof/>
          <w:sz w:val="24"/>
          <w:szCs w:val="24"/>
        </w:rPr>
      </w:pPr>
      <w:r w:rsidRPr="009B2F86">
        <w:rPr>
          <w:rFonts w:ascii="Times New Roman" w:hAnsi="Times New Roman" w:cs="Times New Roman"/>
          <w:bCs/>
          <w:noProof/>
          <w:sz w:val="24"/>
          <w:szCs w:val="24"/>
        </w:rPr>
        <w:t xml:space="preserve">Imperial Riviera (2024). </w:t>
      </w:r>
      <w:r w:rsidRPr="009B2F86">
        <w:rPr>
          <w:rFonts w:ascii="Times New Roman" w:hAnsi="Times New Roman" w:cs="Times New Roman"/>
          <w:bCs/>
          <w:i/>
          <w:iCs/>
          <w:noProof/>
          <w:sz w:val="24"/>
          <w:szCs w:val="24"/>
        </w:rPr>
        <w:t>Povijest - Hoteli Makarska d.d.</w:t>
      </w:r>
      <w:r w:rsidRPr="009B2F86">
        <w:rPr>
          <w:rFonts w:ascii="Times New Roman" w:hAnsi="Times New Roman" w:cs="Times New Roman"/>
          <w:bCs/>
          <w:noProof/>
          <w:sz w:val="24"/>
          <w:szCs w:val="24"/>
        </w:rPr>
        <w:t xml:space="preserve"> Dostupno na: </w:t>
      </w:r>
      <w:hyperlink r:id="rId153" w:tgtFrame="_blank" w:history="1">
        <w:r w:rsidRPr="009B2F86">
          <w:rPr>
            <w:rStyle w:val="Hyperlink"/>
            <w:rFonts w:ascii="Times New Roman" w:hAnsi="Times New Roman" w:cs="Times New Roman"/>
            <w:bCs/>
            <w:noProof/>
            <w:sz w:val="24"/>
            <w:szCs w:val="24"/>
          </w:rPr>
          <w:t>http://www.imperial-riviera.hr/hr/o-nama/povijest-hoteli-makarska-d-d/</w:t>
        </w:r>
      </w:hyperlink>
      <w:r w:rsidRPr="009B2F86">
        <w:rPr>
          <w:rFonts w:ascii="Times New Roman" w:hAnsi="Times New Roman" w:cs="Times New Roman"/>
          <w:bCs/>
          <w:noProof/>
          <w:sz w:val="24"/>
          <w:szCs w:val="24"/>
        </w:rPr>
        <w:t xml:space="preserve"> Pristupljeno: 15. rujna 2024.</w:t>
      </w:r>
    </w:p>
    <w:p w14:paraId="6A95C4FC" w14:textId="77777777" w:rsidR="006E052A" w:rsidRPr="00BE5472" w:rsidRDefault="006E052A" w:rsidP="00932B24">
      <w:pPr>
        <w:numPr>
          <w:ilvl w:val="0"/>
          <w:numId w:val="65"/>
        </w:numPr>
        <w:spacing w:line="360" w:lineRule="auto"/>
        <w:contextualSpacing/>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Jargon, J. (2018). Arby’s Buffalo Wild Wings merge to compete in fast changing industry. Dostupno na: </w:t>
      </w:r>
      <w:hyperlink r:id="rId154" w:history="1">
        <w:r w:rsidRPr="00BE5472">
          <w:rPr>
            <w:rFonts w:ascii="Times New Roman" w:hAnsi="Times New Roman" w:cs="Times New Roman"/>
            <w:bCs/>
            <w:noProof/>
            <w:color w:val="0563C1" w:themeColor="hyperlink"/>
            <w:sz w:val="24"/>
            <w:szCs w:val="24"/>
            <w:u w:val="single"/>
          </w:rPr>
          <w:t>https://www.wsj.com/articles/arbys-buffalo-wild-wings-merge-to-compete-in-fast-changing-industry-1517841000</w:t>
        </w:r>
      </w:hyperlink>
      <w:r w:rsidRPr="00BE5472">
        <w:rPr>
          <w:rFonts w:ascii="Times New Roman" w:hAnsi="Times New Roman" w:cs="Times New Roman"/>
          <w:bCs/>
          <w:noProof/>
          <w:sz w:val="24"/>
          <w:szCs w:val="24"/>
        </w:rPr>
        <w:t xml:space="preserve">  Pristupljeno: 16. siječnja 2022. </w:t>
      </w:r>
    </w:p>
    <w:p w14:paraId="0EB2F38E"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Kostuch Medial Ltd. (2021). Experts are optimistic about hotel M&amp;A activity in 2022. Dostupno na: </w:t>
      </w:r>
      <w:hyperlink r:id="rId155" w:history="1">
        <w:r w:rsidRPr="00BE5472">
          <w:rPr>
            <w:rFonts w:ascii="Times New Roman" w:hAnsi="Times New Roman" w:cs="Times New Roman"/>
            <w:bCs/>
            <w:noProof/>
            <w:color w:val="0563C1" w:themeColor="hyperlink"/>
            <w:sz w:val="24"/>
            <w:szCs w:val="24"/>
            <w:u w:val="single"/>
          </w:rPr>
          <w:t>https://www.hoteliermagazine.com/experts-are-optimistic-about-hotel-ma-activity-in-2022/?cn-reloaded=1</w:t>
        </w:r>
      </w:hyperlink>
      <w:r w:rsidRPr="00BE5472">
        <w:rPr>
          <w:rFonts w:ascii="Times New Roman" w:hAnsi="Times New Roman" w:cs="Times New Roman"/>
          <w:bCs/>
          <w:noProof/>
          <w:sz w:val="24"/>
          <w:szCs w:val="24"/>
        </w:rPr>
        <w:t xml:space="preserve">  Pristupljeno: 16. siječnja 2022.</w:t>
      </w:r>
    </w:p>
    <w:p w14:paraId="023659AB"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Laslavić, Ž. (2020). Spajanja i preuzimanja i dalje se odvijaju, ali po nekim novim pravilima, Lider, 30. srpanj 2020. Dostupno na: </w:t>
      </w:r>
      <w:hyperlink r:id="rId156" w:history="1">
        <w:r w:rsidRPr="00BE5472">
          <w:rPr>
            <w:rFonts w:ascii="Times New Roman" w:hAnsi="Times New Roman" w:cs="Times New Roman"/>
            <w:bCs/>
            <w:noProof/>
            <w:color w:val="0563C1" w:themeColor="hyperlink"/>
            <w:sz w:val="24"/>
            <w:szCs w:val="24"/>
            <w:u w:val="single"/>
          </w:rPr>
          <w:t>https://lider.media/poslovna-scena/hrvatska/spajanja-i-preuzimanja-i-dalje-se-odvijaju-ali-po-nekim-novim-pravilima-132598</w:t>
        </w:r>
      </w:hyperlink>
      <w:r w:rsidRPr="00BE5472">
        <w:rPr>
          <w:rFonts w:ascii="Times New Roman" w:hAnsi="Times New Roman" w:cs="Times New Roman"/>
          <w:bCs/>
          <w:noProof/>
          <w:sz w:val="24"/>
          <w:szCs w:val="24"/>
        </w:rPr>
        <w:t xml:space="preserve">  Pristupljeno: 16. siječnja 2022.</w:t>
      </w:r>
    </w:p>
    <w:p w14:paraId="7A1AA8BE"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Maistra (bez dat.). Maistra. Dostupno na: </w:t>
      </w:r>
      <w:hyperlink r:id="rId157" w:anchor="/" w:history="1">
        <w:r w:rsidRPr="00BE5472">
          <w:rPr>
            <w:rFonts w:ascii="Times New Roman" w:hAnsi="Times New Roman" w:cs="Times New Roman"/>
            <w:bCs/>
            <w:noProof/>
            <w:color w:val="0563C1" w:themeColor="hyperlink"/>
            <w:sz w:val="24"/>
            <w:szCs w:val="24"/>
            <w:u w:val="single"/>
          </w:rPr>
          <w:t>https://www.maistra.com/kompanija/o-nama/#/</w:t>
        </w:r>
      </w:hyperlink>
      <w:r w:rsidRPr="00BE5472">
        <w:rPr>
          <w:rFonts w:ascii="Times New Roman" w:hAnsi="Times New Roman" w:cs="Times New Roman"/>
          <w:bCs/>
          <w:noProof/>
          <w:sz w:val="24"/>
          <w:szCs w:val="24"/>
        </w:rPr>
        <w:t xml:space="preserve"> Pristupljeno: 14. srpnja 2024. </w:t>
      </w:r>
    </w:p>
    <w:p w14:paraId="6BC886FF"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Mandarin Oriental (2024). Our Company. Dostupno na: </w:t>
      </w:r>
      <w:hyperlink r:id="rId158" w:history="1">
        <w:r w:rsidRPr="00BE5472">
          <w:rPr>
            <w:rFonts w:ascii="Times New Roman" w:hAnsi="Times New Roman" w:cs="Times New Roman"/>
            <w:bCs/>
            <w:noProof/>
            <w:color w:val="0563C1" w:themeColor="hyperlink"/>
            <w:sz w:val="24"/>
            <w:szCs w:val="24"/>
            <w:u w:val="single"/>
          </w:rPr>
          <w:t>https://www.mandarinoriental.com/en/our-company/our-vision</w:t>
        </w:r>
      </w:hyperlink>
      <w:r w:rsidRPr="00BE5472">
        <w:rPr>
          <w:rFonts w:ascii="Times New Roman" w:hAnsi="Times New Roman" w:cs="Times New Roman"/>
          <w:bCs/>
          <w:noProof/>
          <w:sz w:val="24"/>
          <w:szCs w:val="24"/>
        </w:rPr>
        <w:t xml:space="preserve">   Pristupljeno: 15. ožujka 2024.</w:t>
      </w:r>
    </w:p>
    <w:p w14:paraId="06EFCCDE"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Ministarstvo mora, prometa i infrastrukture (bez dat.). Privatizacija hotelskih tvrtki u 2005. Dostupno na: </w:t>
      </w:r>
      <w:hyperlink r:id="rId159" w:history="1">
        <w:r w:rsidRPr="00BE5472">
          <w:rPr>
            <w:rFonts w:ascii="Times New Roman" w:hAnsi="Times New Roman" w:cs="Times New Roman"/>
            <w:bCs/>
            <w:noProof/>
            <w:color w:val="0563C1" w:themeColor="hyperlink"/>
            <w:sz w:val="24"/>
            <w:szCs w:val="24"/>
            <w:u w:val="single"/>
          </w:rPr>
          <w:t>https://mmpi.gov.hr/arhiva/9092</w:t>
        </w:r>
      </w:hyperlink>
      <w:r w:rsidRPr="00BE5472">
        <w:rPr>
          <w:rFonts w:ascii="Times New Roman" w:hAnsi="Times New Roman" w:cs="Times New Roman"/>
          <w:bCs/>
          <w:noProof/>
          <w:sz w:val="24"/>
          <w:szCs w:val="24"/>
        </w:rPr>
        <w:t xml:space="preserve"> Pristupljeno: 14. srpnja 2024. </w:t>
      </w:r>
    </w:p>
    <w:p w14:paraId="3893073D"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Ministarstvo turzma i sporta (2009). UO HFP: Natječaji za pet hotelskih tvrtki. Dostupno na: </w:t>
      </w:r>
      <w:hyperlink r:id="rId160" w:history="1">
        <w:r w:rsidRPr="00BE5472">
          <w:rPr>
            <w:rFonts w:ascii="Times New Roman" w:hAnsi="Times New Roman" w:cs="Times New Roman"/>
            <w:bCs/>
            <w:noProof/>
            <w:color w:val="0563C1" w:themeColor="hyperlink"/>
            <w:sz w:val="24"/>
            <w:szCs w:val="24"/>
            <w:u w:val="single"/>
          </w:rPr>
          <w:t>https://mint.gov.hr/print.aspx?id=1961&amp;url=print</w:t>
        </w:r>
      </w:hyperlink>
      <w:r w:rsidRPr="00BE5472">
        <w:rPr>
          <w:rFonts w:ascii="Times New Roman" w:hAnsi="Times New Roman" w:cs="Times New Roman"/>
          <w:bCs/>
          <w:noProof/>
          <w:sz w:val="24"/>
          <w:szCs w:val="24"/>
        </w:rPr>
        <w:t xml:space="preserve"> Pristupljeno: 14. srpnja 2024. </w:t>
      </w:r>
    </w:p>
    <w:p w14:paraId="7B89778A"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Ministarstvo turizma i sporta (2015). Hrvatski hotelski sektor visoko konsolidiran. Dostupno na: </w:t>
      </w:r>
      <w:hyperlink r:id="rId161" w:history="1">
        <w:r w:rsidRPr="00BE5472">
          <w:rPr>
            <w:rFonts w:ascii="Times New Roman" w:hAnsi="Times New Roman" w:cs="Times New Roman"/>
            <w:bCs/>
            <w:noProof/>
            <w:color w:val="0563C1" w:themeColor="hyperlink"/>
            <w:sz w:val="24"/>
            <w:szCs w:val="24"/>
            <w:u w:val="single"/>
          </w:rPr>
          <w:t>https://mint.gov.hr/vijesti/hrvatski-hotelski-sektor-visoko-konsolidiran/10039</w:t>
        </w:r>
      </w:hyperlink>
      <w:r w:rsidRPr="00BE5472">
        <w:rPr>
          <w:rFonts w:ascii="Times New Roman" w:hAnsi="Times New Roman" w:cs="Times New Roman"/>
          <w:bCs/>
          <w:noProof/>
          <w:sz w:val="24"/>
          <w:szCs w:val="24"/>
        </w:rPr>
        <w:t xml:space="preserve">  Pristupljeno: 16. siječnja 2022. </w:t>
      </w:r>
    </w:p>
    <w:p w14:paraId="63BBD4CE"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Marriot (bez dat.). A Hotel Brand for Every Type of Journey. Dostupno na: </w:t>
      </w:r>
      <w:hyperlink r:id="rId162" w:history="1">
        <w:r w:rsidRPr="00BE5472">
          <w:rPr>
            <w:rFonts w:ascii="Times New Roman" w:hAnsi="Times New Roman" w:cs="Times New Roman"/>
            <w:bCs/>
            <w:noProof/>
            <w:color w:val="0563C1" w:themeColor="hyperlink"/>
            <w:sz w:val="24"/>
            <w:szCs w:val="24"/>
            <w:u w:val="single"/>
          </w:rPr>
          <w:t>https://www.marriott.com/marriott-brands/explore-our-brands.mi</w:t>
        </w:r>
      </w:hyperlink>
      <w:r w:rsidRPr="00BE5472">
        <w:rPr>
          <w:rFonts w:ascii="Times New Roman" w:hAnsi="Times New Roman" w:cs="Times New Roman"/>
          <w:bCs/>
          <w:noProof/>
          <w:sz w:val="24"/>
          <w:szCs w:val="24"/>
        </w:rPr>
        <w:t xml:space="preserve"> Pristupljeno: 12. srpnja 2024.</w:t>
      </w:r>
    </w:p>
    <w:p w14:paraId="37DFBD6D"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Marriot (2016). Starwood Acquisition &amp; Historical Information. Dostupno na: </w:t>
      </w:r>
      <w:hyperlink r:id="rId163" w:history="1">
        <w:r w:rsidRPr="00BE5472">
          <w:rPr>
            <w:rFonts w:ascii="Times New Roman" w:hAnsi="Times New Roman" w:cs="Times New Roman"/>
            <w:bCs/>
            <w:noProof/>
            <w:color w:val="0563C1" w:themeColor="hyperlink"/>
            <w:sz w:val="24"/>
            <w:szCs w:val="24"/>
            <w:u w:val="single"/>
          </w:rPr>
          <w:t>https://marriott.gcs-web.com/starwood</w:t>
        </w:r>
      </w:hyperlink>
      <w:r w:rsidRPr="00BE5472">
        <w:rPr>
          <w:rFonts w:ascii="Times New Roman" w:hAnsi="Times New Roman" w:cs="Times New Roman"/>
          <w:bCs/>
          <w:noProof/>
          <w:sz w:val="24"/>
          <w:szCs w:val="24"/>
        </w:rPr>
        <w:t xml:space="preserve">  Pristupljeno: 6. ožujka 2024.</w:t>
      </w:r>
    </w:p>
    <w:p w14:paraId="049FE3C9" w14:textId="15EB94E2" w:rsidR="00F26F3A" w:rsidRPr="00F26F3A" w:rsidRDefault="00F26F3A" w:rsidP="00F26F3A">
      <w:pPr>
        <w:numPr>
          <w:ilvl w:val="0"/>
          <w:numId w:val="65"/>
        </w:numPr>
        <w:spacing w:after="0" w:line="360" w:lineRule="auto"/>
        <w:contextualSpacing/>
        <w:jc w:val="both"/>
        <w:rPr>
          <w:rFonts w:ascii="Times New Roman" w:hAnsi="Times New Roman" w:cs="Times New Roman"/>
          <w:bCs/>
          <w:noProof/>
          <w:sz w:val="24"/>
          <w:szCs w:val="24"/>
        </w:rPr>
      </w:pPr>
      <w:r w:rsidRPr="00634A2A">
        <w:rPr>
          <w:rFonts w:ascii="Times New Roman" w:hAnsi="Times New Roman" w:cs="Times New Roman"/>
          <w:bCs/>
          <w:noProof/>
          <w:sz w:val="24"/>
          <w:szCs w:val="24"/>
        </w:rPr>
        <w:t xml:space="preserve">Plava Laguna (2024a). </w:t>
      </w:r>
      <w:r w:rsidRPr="00634A2A">
        <w:rPr>
          <w:rFonts w:ascii="Times New Roman" w:hAnsi="Times New Roman" w:cs="Times New Roman"/>
          <w:bCs/>
          <w:i/>
          <w:iCs/>
          <w:noProof/>
          <w:sz w:val="24"/>
          <w:szCs w:val="24"/>
        </w:rPr>
        <w:t>O nama</w:t>
      </w:r>
      <w:r w:rsidRPr="00634A2A">
        <w:rPr>
          <w:rFonts w:ascii="Times New Roman" w:hAnsi="Times New Roman" w:cs="Times New Roman"/>
          <w:bCs/>
          <w:noProof/>
          <w:sz w:val="24"/>
          <w:szCs w:val="24"/>
        </w:rPr>
        <w:t xml:space="preserve">. Dostupno na: </w:t>
      </w:r>
      <w:hyperlink r:id="rId164" w:tgtFrame="_blank" w:history="1">
        <w:r w:rsidRPr="00634A2A">
          <w:rPr>
            <w:rStyle w:val="Hyperlink"/>
            <w:rFonts w:ascii="Times New Roman" w:hAnsi="Times New Roman" w:cs="Times New Roman"/>
            <w:bCs/>
            <w:noProof/>
            <w:sz w:val="24"/>
            <w:szCs w:val="24"/>
          </w:rPr>
          <w:t>https://biz.plavalaguna.hr/hr/o-nama</w:t>
        </w:r>
      </w:hyperlink>
      <w:r w:rsidRPr="00634A2A">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2</w:t>
      </w:r>
      <w:r w:rsidRPr="00634A2A">
        <w:rPr>
          <w:rFonts w:ascii="Times New Roman" w:hAnsi="Times New Roman" w:cs="Times New Roman"/>
          <w:bCs/>
          <w:noProof/>
          <w:sz w:val="24"/>
          <w:szCs w:val="24"/>
        </w:rPr>
        <w:t>. rujna 2024.</w:t>
      </w:r>
    </w:p>
    <w:p w14:paraId="1D72C93B"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PoslovniPlus (2012). Kreće nova rasprodaja: Ulagači sada mogu kupiti sportski centar na Bjelolasici i Modru Špilju. Dostupno na: </w:t>
      </w:r>
      <w:hyperlink r:id="rId165" w:history="1">
        <w:r w:rsidRPr="00BE5472">
          <w:rPr>
            <w:rFonts w:ascii="Times New Roman" w:hAnsi="Times New Roman" w:cs="Times New Roman"/>
            <w:bCs/>
            <w:noProof/>
            <w:color w:val="0563C1" w:themeColor="hyperlink"/>
            <w:sz w:val="24"/>
            <w:szCs w:val="24"/>
            <w:u w:val="single"/>
          </w:rPr>
          <w:t>https://poslovnipuls.com/2012/05/08/drzava-privatizacija/</w:t>
        </w:r>
      </w:hyperlink>
      <w:r w:rsidRPr="00BE5472">
        <w:rPr>
          <w:rFonts w:ascii="Times New Roman" w:hAnsi="Times New Roman" w:cs="Times New Roman"/>
          <w:bCs/>
          <w:noProof/>
          <w:sz w:val="24"/>
          <w:szCs w:val="24"/>
        </w:rPr>
        <w:t xml:space="preserve"> Pristupljeno: 14. srpnja 2024. </w:t>
      </w:r>
    </w:p>
    <w:p w14:paraId="579E8C9D"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Poreština.info (2008). Franco Palma, donedavni direktor porečke Riviere i aktivni turistički dužnosnik. (24.02.2008.) Dostupno na: </w:t>
      </w:r>
      <w:hyperlink r:id="rId166" w:history="1">
        <w:r w:rsidRPr="00BE5472">
          <w:rPr>
            <w:rFonts w:ascii="Times New Roman" w:hAnsi="Times New Roman" w:cs="Times New Roman"/>
            <w:bCs/>
            <w:noProof/>
            <w:color w:val="0563C1" w:themeColor="hyperlink"/>
            <w:sz w:val="24"/>
            <w:szCs w:val="24"/>
            <w:u w:val="single"/>
          </w:rPr>
          <w:t>https://porestina.info/franco-palma-donedavni-direktor-poreke-riviere-i-aktivni-turistiki-dunosnik/</w:t>
        </w:r>
      </w:hyperlink>
      <w:r w:rsidRPr="00BE5472">
        <w:rPr>
          <w:rFonts w:ascii="Times New Roman" w:hAnsi="Times New Roman" w:cs="Times New Roman"/>
          <w:bCs/>
          <w:noProof/>
          <w:sz w:val="24"/>
          <w:szCs w:val="24"/>
        </w:rPr>
        <w:t xml:space="preserve"> Pristupljeno: 14. srpnja 2024. </w:t>
      </w:r>
    </w:p>
    <w:p w14:paraId="75F9A3B1" w14:textId="52859ABF" w:rsidR="003F0674" w:rsidRDefault="003F0674" w:rsidP="003F0674">
      <w:pPr>
        <w:numPr>
          <w:ilvl w:val="0"/>
          <w:numId w:val="65"/>
        </w:numPr>
        <w:spacing w:after="0" w:line="360" w:lineRule="auto"/>
        <w:contextualSpacing/>
        <w:jc w:val="both"/>
        <w:rPr>
          <w:rFonts w:ascii="Times New Roman" w:hAnsi="Times New Roman" w:cs="Times New Roman"/>
          <w:bCs/>
          <w:noProof/>
          <w:sz w:val="24"/>
          <w:szCs w:val="24"/>
        </w:rPr>
      </w:pPr>
      <w:r w:rsidRPr="009B2F86">
        <w:rPr>
          <w:rFonts w:ascii="Times New Roman" w:hAnsi="Times New Roman" w:cs="Times New Roman"/>
          <w:bCs/>
          <w:noProof/>
          <w:sz w:val="24"/>
          <w:szCs w:val="24"/>
        </w:rPr>
        <w:t xml:space="preserve">Poslovni dnevnik (2018). </w:t>
      </w:r>
      <w:r w:rsidRPr="009B2F86">
        <w:rPr>
          <w:rFonts w:ascii="Times New Roman" w:hAnsi="Times New Roman" w:cs="Times New Roman"/>
          <w:bCs/>
          <w:i/>
          <w:iCs/>
          <w:noProof/>
          <w:sz w:val="24"/>
          <w:szCs w:val="24"/>
        </w:rPr>
        <w:t>Adris grupa preuzela još 152.745 dionica HUP-a Zagreb</w:t>
      </w:r>
      <w:r w:rsidRPr="009B2F86">
        <w:rPr>
          <w:rFonts w:ascii="Times New Roman" w:hAnsi="Times New Roman" w:cs="Times New Roman"/>
          <w:bCs/>
          <w:noProof/>
          <w:sz w:val="24"/>
          <w:szCs w:val="24"/>
        </w:rPr>
        <w:t xml:space="preserve">. Dostupno na: </w:t>
      </w:r>
      <w:hyperlink r:id="rId167" w:tgtFrame="_blank" w:history="1">
        <w:r w:rsidRPr="009B2F86">
          <w:rPr>
            <w:rStyle w:val="Hyperlink"/>
            <w:rFonts w:ascii="Times New Roman" w:hAnsi="Times New Roman" w:cs="Times New Roman"/>
            <w:bCs/>
            <w:noProof/>
            <w:sz w:val="24"/>
            <w:szCs w:val="24"/>
          </w:rPr>
          <w:t>https://www.poslovni.hr/domace/adris-grupa-preuzela-jos-152745-dionica-hup-a-zagreb-342228</w:t>
        </w:r>
      </w:hyperlink>
      <w:r w:rsidRPr="009B2F86">
        <w:rPr>
          <w:rFonts w:ascii="Times New Roman" w:hAnsi="Times New Roman" w:cs="Times New Roman"/>
          <w:bCs/>
          <w:noProof/>
          <w:sz w:val="24"/>
          <w:szCs w:val="24"/>
        </w:rPr>
        <w:t xml:space="preserve"> Pristupljeno: 15. rujna 2024.</w:t>
      </w:r>
    </w:p>
    <w:p w14:paraId="7D556861" w14:textId="6FFC92BC" w:rsidR="002B3591" w:rsidRPr="002B3591" w:rsidRDefault="002B3591" w:rsidP="002B3591">
      <w:pPr>
        <w:numPr>
          <w:ilvl w:val="0"/>
          <w:numId w:val="65"/>
        </w:numPr>
        <w:spacing w:after="0" w:line="360" w:lineRule="auto"/>
        <w:contextualSpacing/>
        <w:jc w:val="both"/>
        <w:rPr>
          <w:rFonts w:ascii="Times New Roman" w:hAnsi="Times New Roman" w:cs="Times New Roman"/>
          <w:bCs/>
          <w:noProof/>
          <w:sz w:val="24"/>
          <w:szCs w:val="24"/>
        </w:rPr>
      </w:pPr>
      <w:r w:rsidRPr="00C23153">
        <w:rPr>
          <w:rFonts w:ascii="Times New Roman" w:hAnsi="Times New Roman" w:cs="Times New Roman"/>
          <w:bCs/>
          <w:noProof/>
          <w:sz w:val="24"/>
          <w:szCs w:val="24"/>
        </w:rPr>
        <w:t xml:space="preserve">Poslovni dnevnik (2020). </w:t>
      </w:r>
      <w:r w:rsidRPr="00C23153">
        <w:rPr>
          <w:rFonts w:ascii="Times New Roman" w:hAnsi="Times New Roman" w:cs="Times New Roman"/>
          <w:bCs/>
          <w:i/>
          <w:iCs/>
          <w:noProof/>
          <w:sz w:val="24"/>
          <w:szCs w:val="24"/>
        </w:rPr>
        <w:t>Laguna Novigrad preuzima Dalmacija hotele, HTP Korčulu i HTP Orebić</w:t>
      </w:r>
      <w:r w:rsidRPr="00C23153">
        <w:rPr>
          <w:rFonts w:ascii="Times New Roman" w:hAnsi="Times New Roman" w:cs="Times New Roman"/>
          <w:bCs/>
          <w:noProof/>
          <w:sz w:val="24"/>
          <w:szCs w:val="24"/>
        </w:rPr>
        <w:t xml:space="preserve">. Dostupno na: </w:t>
      </w:r>
      <w:hyperlink r:id="rId168" w:tgtFrame="_blank" w:history="1">
        <w:r w:rsidRPr="00C23153">
          <w:rPr>
            <w:rStyle w:val="Hyperlink"/>
            <w:rFonts w:ascii="Times New Roman" w:hAnsi="Times New Roman" w:cs="Times New Roman"/>
            <w:bCs/>
            <w:noProof/>
            <w:sz w:val="24"/>
            <w:szCs w:val="24"/>
          </w:rPr>
          <w:t>https://www.poslovni.hr/kompanije/laguna-novigrad-preuzima-dalmacija-hotele-htp-korculu-i-htp-orebic-4257954</w:t>
        </w:r>
      </w:hyperlink>
      <w:r w:rsidRPr="00C23153">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2</w:t>
      </w:r>
      <w:r w:rsidRPr="00C23153">
        <w:rPr>
          <w:rFonts w:ascii="Times New Roman" w:hAnsi="Times New Roman" w:cs="Times New Roman"/>
          <w:bCs/>
          <w:noProof/>
          <w:sz w:val="24"/>
          <w:szCs w:val="24"/>
        </w:rPr>
        <w:t>5. rujna 2024.</w:t>
      </w:r>
    </w:p>
    <w:p w14:paraId="78853501"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PWC (2022). Mergers &amp; Acquisitions: The 5 stages of an M&amp;A transaction. Dostupno na: </w:t>
      </w:r>
      <w:hyperlink r:id="rId169" w:history="1">
        <w:r w:rsidRPr="00BE5472">
          <w:rPr>
            <w:rFonts w:ascii="Times New Roman" w:hAnsi="Times New Roman" w:cs="Times New Roman"/>
            <w:bCs/>
            <w:noProof/>
            <w:color w:val="0563C1" w:themeColor="hyperlink"/>
            <w:sz w:val="24"/>
            <w:szCs w:val="24"/>
            <w:u w:val="single"/>
          </w:rPr>
          <w:t>https://www.pwc.com/mt/en/publications/tax-legal/mergers-and-acquisitions-5-stages-of-MA-transaction.html</w:t>
        </w:r>
      </w:hyperlink>
      <w:r w:rsidRPr="00BE5472">
        <w:rPr>
          <w:rFonts w:ascii="Times New Roman" w:hAnsi="Times New Roman" w:cs="Times New Roman"/>
          <w:bCs/>
          <w:noProof/>
          <w:sz w:val="24"/>
          <w:szCs w:val="24"/>
        </w:rPr>
        <w:t xml:space="preserve">  Pristupljeno: 1. ožujka 2023. </w:t>
      </w:r>
    </w:p>
    <w:p w14:paraId="1FD77017" w14:textId="444315C6" w:rsidR="00912081" w:rsidRPr="00912081" w:rsidRDefault="00912081" w:rsidP="00912081">
      <w:pPr>
        <w:numPr>
          <w:ilvl w:val="0"/>
          <w:numId w:val="65"/>
        </w:numPr>
        <w:spacing w:after="0" w:line="360" w:lineRule="auto"/>
        <w:contextualSpacing/>
        <w:jc w:val="both"/>
        <w:rPr>
          <w:rFonts w:ascii="Times New Roman" w:hAnsi="Times New Roman" w:cs="Times New Roman"/>
          <w:bCs/>
          <w:noProof/>
          <w:sz w:val="24"/>
          <w:szCs w:val="24"/>
        </w:rPr>
      </w:pPr>
      <w:r w:rsidRPr="00C53250">
        <w:rPr>
          <w:rFonts w:ascii="Times New Roman" w:hAnsi="Times New Roman" w:cs="Times New Roman"/>
          <w:bCs/>
          <w:noProof/>
          <w:sz w:val="24"/>
          <w:szCs w:val="24"/>
        </w:rPr>
        <w:t xml:space="preserve">Radisson Hotel Group (2022). </w:t>
      </w:r>
      <w:r w:rsidRPr="00C53250">
        <w:rPr>
          <w:rFonts w:ascii="Times New Roman" w:hAnsi="Times New Roman" w:cs="Times New Roman"/>
          <w:bCs/>
          <w:i/>
          <w:iCs/>
          <w:noProof/>
          <w:sz w:val="24"/>
          <w:szCs w:val="24"/>
        </w:rPr>
        <w:t>Choice Hotels acquires Radisson Hotel Group Americas</w:t>
      </w:r>
      <w:r w:rsidRPr="00C53250">
        <w:rPr>
          <w:rFonts w:ascii="Times New Roman" w:hAnsi="Times New Roman" w:cs="Times New Roman"/>
          <w:bCs/>
          <w:noProof/>
          <w:sz w:val="24"/>
          <w:szCs w:val="24"/>
        </w:rPr>
        <w:t xml:space="preserve">. Dostupno na: </w:t>
      </w:r>
      <w:hyperlink r:id="rId170" w:tgtFrame="_blank" w:history="1">
        <w:r w:rsidRPr="00C53250">
          <w:rPr>
            <w:rStyle w:val="Hyperlink"/>
            <w:rFonts w:ascii="Times New Roman" w:hAnsi="Times New Roman" w:cs="Times New Roman"/>
            <w:bCs/>
            <w:noProof/>
            <w:sz w:val="24"/>
            <w:szCs w:val="24"/>
          </w:rPr>
          <w:t>https://www.radissonhotels.com/en-us/corporate/media/press-releases/choice-hotels-acquires-radisson-hotel-group-americas</w:t>
        </w:r>
      </w:hyperlink>
      <w:r w:rsidRPr="00C53250">
        <w:rPr>
          <w:rFonts w:ascii="Times New Roman" w:hAnsi="Times New Roman" w:cs="Times New Roman"/>
          <w:bCs/>
          <w:noProof/>
          <w:sz w:val="24"/>
          <w:szCs w:val="24"/>
        </w:rPr>
        <w:t xml:space="preserve"> Pristupljeno: 15. </w:t>
      </w:r>
      <w:r>
        <w:rPr>
          <w:rFonts w:ascii="Times New Roman" w:hAnsi="Times New Roman" w:cs="Times New Roman"/>
          <w:bCs/>
          <w:noProof/>
          <w:sz w:val="24"/>
          <w:szCs w:val="24"/>
        </w:rPr>
        <w:t>kolovoza</w:t>
      </w:r>
      <w:r w:rsidRPr="00C53250">
        <w:rPr>
          <w:rFonts w:ascii="Times New Roman" w:hAnsi="Times New Roman" w:cs="Times New Roman"/>
          <w:bCs/>
          <w:noProof/>
          <w:sz w:val="24"/>
          <w:szCs w:val="24"/>
        </w:rPr>
        <w:t xml:space="preserve"> 2024.</w:t>
      </w:r>
    </w:p>
    <w:p w14:paraId="223FAF31" w14:textId="3B242963" w:rsidR="00E53663" w:rsidRDefault="00E53663" w:rsidP="00E53663">
      <w:pPr>
        <w:numPr>
          <w:ilvl w:val="0"/>
          <w:numId w:val="65"/>
        </w:numPr>
        <w:spacing w:after="0" w:line="360" w:lineRule="auto"/>
        <w:contextualSpacing/>
        <w:jc w:val="both"/>
        <w:rPr>
          <w:rFonts w:ascii="Times New Roman" w:hAnsi="Times New Roman" w:cs="Times New Roman"/>
          <w:bCs/>
          <w:noProof/>
          <w:sz w:val="24"/>
          <w:szCs w:val="24"/>
        </w:rPr>
      </w:pPr>
      <w:r w:rsidRPr="008E6DE4">
        <w:rPr>
          <w:rFonts w:ascii="Times New Roman" w:hAnsi="Times New Roman" w:cs="Times New Roman"/>
          <w:bCs/>
          <w:noProof/>
          <w:sz w:val="24"/>
          <w:szCs w:val="24"/>
        </w:rPr>
        <w:lastRenderedPageBreak/>
        <w:t xml:space="preserve">SBC Americas (2023). </w:t>
      </w:r>
      <w:r w:rsidRPr="008E6DE4">
        <w:rPr>
          <w:rFonts w:ascii="Times New Roman" w:hAnsi="Times New Roman" w:cs="Times New Roman"/>
          <w:bCs/>
          <w:i/>
          <w:iCs/>
          <w:noProof/>
          <w:sz w:val="24"/>
          <w:szCs w:val="24"/>
        </w:rPr>
        <w:t>Century Casinos completes acquisition of Nugget Casino Resort</w:t>
      </w:r>
      <w:r w:rsidRPr="008E6DE4">
        <w:rPr>
          <w:rFonts w:ascii="Times New Roman" w:hAnsi="Times New Roman" w:cs="Times New Roman"/>
          <w:bCs/>
          <w:noProof/>
          <w:sz w:val="24"/>
          <w:szCs w:val="24"/>
        </w:rPr>
        <w:t xml:space="preserve">. Dostupno na: </w:t>
      </w:r>
      <w:hyperlink r:id="rId171" w:tgtFrame="_blank" w:history="1">
        <w:r w:rsidRPr="008E6DE4">
          <w:rPr>
            <w:rStyle w:val="Hyperlink"/>
            <w:rFonts w:ascii="Times New Roman" w:hAnsi="Times New Roman" w:cs="Times New Roman"/>
            <w:bCs/>
            <w:noProof/>
            <w:sz w:val="24"/>
            <w:szCs w:val="24"/>
          </w:rPr>
          <w:t>https://sbcamericas.com/2023/04/05/century-casinos-nugget-casino-resort/</w:t>
        </w:r>
      </w:hyperlink>
      <w:r w:rsidRPr="008E6DE4">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9</w:t>
      </w:r>
      <w:r w:rsidRPr="008E6DE4">
        <w:rPr>
          <w:rFonts w:ascii="Times New Roman" w:hAnsi="Times New Roman" w:cs="Times New Roman"/>
          <w:bCs/>
          <w:noProof/>
          <w:sz w:val="24"/>
          <w:szCs w:val="24"/>
        </w:rPr>
        <w:t>. rujna 2024.</w:t>
      </w:r>
    </w:p>
    <w:p w14:paraId="12F5D13B" w14:textId="14DDCF75" w:rsidR="004C190F" w:rsidRPr="004C190F" w:rsidRDefault="004C190F" w:rsidP="004C190F">
      <w:pPr>
        <w:numPr>
          <w:ilvl w:val="0"/>
          <w:numId w:val="65"/>
        </w:numPr>
        <w:spacing w:after="0" w:line="360" w:lineRule="auto"/>
        <w:contextualSpacing/>
        <w:jc w:val="both"/>
        <w:rPr>
          <w:rFonts w:ascii="Times New Roman" w:hAnsi="Times New Roman" w:cs="Times New Roman"/>
          <w:bCs/>
          <w:noProof/>
          <w:sz w:val="24"/>
          <w:szCs w:val="24"/>
        </w:rPr>
      </w:pPr>
      <w:r w:rsidRPr="00634A2A">
        <w:rPr>
          <w:rFonts w:ascii="Times New Roman" w:hAnsi="Times New Roman" w:cs="Times New Roman"/>
          <w:bCs/>
          <w:noProof/>
          <w:sz w:val="24"/>
          <w:szCs w:val="24"/>
        </w:rPr>
        <w:t xml:space="preserve">Sonder Holdings (2022). </w:t>
      </w:r>
      <w:r w:rsidRPr="00634A2A">
        <w:rPr>
          <w:rFonts w:ascii="Times New Roman" w:hAnsi="Times New Roman" w:cs="Times New Roman"/>
          <w:bCs/>
          <w:i/>
          <w:iCs/>
          <w:noProof/>
          <w:sz w:val="24"/>
          <w:szCs w:val="24"/>
        </w:rPr>
        <w:t>Sonder Holdings Inc. and Gores Metropoulos II Announce Closing of Business Combination</w:t>
      </w:r>
      <w:r w:rsidRPr="00634A2A">
        <w:rPr>
          <w:rFonts w:ascii="Times New Roman" w:hAnsi="Times New Roman" w:cs="Times New Roman"/>
          <w:bCs/>
          <w:noProof/>
          <w:sz w:val="24"/>
          <w:szCs w:val="24"/>
        </w:rPr>
        <w:t xml:space="preserve">. Dostupno na: </w:t>
      </w:r>
      <w:hyperlink r:id="rId172" w:tgtFrame="_blank" w:history="1">
        <w:r w:rsidRPr="00634A2A">
          <w:rPr>
            <w:rStyle w:val="Hyperlink"/>
            <w:rFonts w:ascii="Times New Roman" w:hAnsi="Times New Roman" w:cs="Times New Roman"/>
            <w:bCs/>
            <w:noProof/>
            <w:sz w:val="24"/>
            <w:szCs w:val="24"/>
          </w:rPr>
          <w:t>https://investors.sonder.com/news-releases/news-release-details/sonder-holdings-inc-and-gores-metropoulos-ii-announce-closing</w:t>
        </w:r>
      </w:hyperlink>
      <w:r w:rsidRPr="00634A2A">
        <w:rPr>
          <w:rFonts w:ascii="Times New Roman" w:hAnsi="Times New Roman" w:cs="Times New Roman"/>
          <w:bCs/>
          <w:noProof/>
          <w:sz w:val="24"/>
          <w:szCs w:val="24"/>
        </w:rPr>
        <w:t xml:space="preserve"> Pristupljeno: 15. </w:t>
      </w:r>
      <w:r>
        <w:rPr>
          <w:rFonts w:ascii="Times New Roman" w:hAnsi="Times New Roman" w:cs="Times New Roman"/>
          <w:bCs/>
          <w:noProof/>
          <w:sz w:val="24"/>
          <w:szCs w:val="24"/>
        </w:rPr>
        <w:t>studenog</w:t>
      </w:r>
      <w:r w:rsidRPr="00634A2A">
        <w:rPr>
          <w:rFonts w:ascii="Times New Roman" w:hAnsi="Times New Roman" w:cs="Times New Roman"/>
          <w:bCs/>
          <w:noProof/>
          <w:sz w:val="24"/>
          <w:szCs w:val="24"/>
        </w:rPr>
        <w:t xml:space="preserve"> 2024.</w:t>
      </w:r>
    </w:p>
    <w:p w14:paraId="294F5CA1"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Statista Research Department (2023). Average merger and acquisition deal value in the luxury hotel market worldwide from 2016 to 2022 (in million U.S. dollars). Dostupno na: </w:t>
      </w:r>
      <w:hyperlink r:id="rId173" w:history="1">
        <w:r w:rsidRPr="00BE5472">
          <w:rPr>
            <w:rFonts w:ascii="Times New Roman" w:hAnsi="Times New Roman" w:cs="Times New Roman"/>
            <w:bCs/>
            <w:noProof/>
            <w:color w:val="0563C1" w:themeColor="hyperlink"/>
            <w:sz w:val="24"/>
            <w:szCs w:val="24"/>
            <w:u w:val="single"/>
          </w:rPr>
          <w:t>https://www-statista-com.ezproxy.nsk.hr/statistics/1406839/luxury-hotel-market-average-manda-deal-value-worldwide/</w:t>
        </w:r>
      </w:hyperlink>
      <w:r w:rsidRPr="00BE5472">
        <w:rPr>
          <w:rFonts w:ascii="Times New Roman" w:hAnsi="Times New Roman" w:cs="Times New Roman"/>
          <w:bCs/>
          <w:noProof/>
          <w:sz w:val="24"/>
          <w:szCs w:val="24"/>
        </w:rPr>
        <w:t xml:space="preserve">  Pristupljeno: 21. ožujka 2023. </w:t>
      </w:r>
    </w:p>
    <w:p w14:paraId="64A14A4D"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Supply Chain World (bez dat.). </w:t>
      </w:r>
      <w:r w:rsidRPr="00BE5472">
        <w:rPr>
          <w:rFonts w:ascii="Times New Roman" w:hAnsi="Times New Roman" w:cs="Times New Roman"/>
          <w:bCs/>
          <w:i/>
          <w:noProof/>
          <w:sz w:val="24"/>
          <w:szCs w:val="24"/>
        </w:rPr>
        <w:t>Hilton Worldwide</w:t>
      </w:r>
      <w:r w:rsidRPr="00BE5472">
        <w:rPr>
          <w:rFonts w:ascii="Times New Roman" w:hAnsi="Times New Roman" w:cs="Times New Roman"/>
          <w:bCs/>
          <w:noProof/>
          <w:sz w:val="24"/>
          <w:szCs w:val="24"/>
        </w:rPr>
        <w:t xml:space="preserve">. Dostupno na:  </w:t>
      </w:r>
      <w:hyperlink r:id="rId174" w:history="1">
        <w:r w:rsidRPr="00BE5472">
          <w:rPr>
            <w:rFonts w:ascii="Times New Roman" w:hAnsi="Times New Roman" w:cs="Times New Roman"/>
            <w:bCs/>
            <w:noProof/>
            <w:color w:val="0563C1" w:themeColor="hyperlink"/>
            <w:sz w:val="24"/>
            <w:szCs w:val="24"/>
            <w:u w:val="single"/>
          </w:rPr>
          <w:t>https://scw-mag.com/news/188-hilton-worldwide/</w:t>
        </w:r>
      </w:hyperlink>
      <w:r w:rsidRPr="00BE5472">
        <w:rPr>
          <w:rFonts w:ascii="Times New Roman" w:hAnsi="Times New Roman" w:cs="Times New Roman"/>
          <w:bCs/>
          <w:noProof/>
          <w:sz w:val="24"/>
          <w:szCs w:val="24"/>
        </w:rPr>
        <w:t xml:space="preserve">    Pristupljeno: 22. veljače 2024. </w:t>
      </w:r>
    </w:p>
    <w:p w14:paraId="5D7D6694" w14:textId="1E3C26FE" w:rsidR="003434D5" w:rsidRPr="003434D5" w:rsidRDefault="003434D5" w:rsidP="003434D5">
      <w:pPr>
        <w:numPr>
          <w:ilvl w:val="0"/>
          <w:numId w:val="65"/>
        </w:numPr>
        <w:spacing w:after="0" w:line="360" w:lineRule="auto"/>
        <w:contextualSpacing/>
        <w:jc w:val="both"/>
        <w:rPr>
          <w:rFonts w:ascii="Times New Roman" w:hAnsi="Times New Roman" w:cs="Times New Roman"/>
          <w:bCs/>
          <w:noProof/>
          <w:sz w:val="24"/>
          <w:szCs w:val="24"/>
        </w:rPr>
      </w:pPr>
      <w:r w:rsidRPr="00D83CD1">
        <w:rPr>
          <w:rFonts w:ascii="Times New Roman" w:hAnsi="Times New Roman" w:cs="Times New Roman"/>
          <w:bCs/>
          <w:noProof/>
          <w:sz w:val="24"/>
          <w:szCs w:val="24"/>
        </w:rPr>
        <w:t xml:space="preserve">The Real Deal (2023). </w:t>
      </w:r>
      <w:r w:rsidRPr="00D83CD1">
        <w:rPr>
          <w:rFonts w:ascii="Times New Roman" w:hAnsi="Times New Roman" w:cs="Times New Roman"/>
          <w:bCs/>
          <w:i/>
          <w:iCs/>
          <w:noProof/>
          <w:sz w:val="24"/>
          <w:szCs w:val="24"/>
        </w:rPr>
        <w:t>QIA buys Park Lane Hotel from Witkoff</w:t>
      </w:r>
      <w:r w:rsidRPr="00D83CD1">
        <w:rPr>
          <w:rFonts w:ascii="Times New Roman" w:hAnsi="Times New Roman" w:cs="Times New Roman"/>
          <w:bCs/>
          <w:noProof/>
          <w:sz w:val="24"/>
          <w:szCs w:val="24"/>
        </w:rPr>
        <w:t xml:space="preserve">. Dostupno na: </w:t>
      </w:r>
      <w:hyperlink r:id="rId175" w:tgtFrame="_blank" w:history="1">
        <w:r w:rsidRPr="00D83CD1">
          <w:rPr>
            <w:rStyle w:val="Hyperlink"/>
            <w:rFonts w:ascii="Times New Roman" w:hAnsi="Times New Roman" w:cs="Times New Roman"/>
            <w:bCs/>
            <w:noProof/>
            <w:sz w:val="24"/>
            <w:szCs w:val="24"/>
          </w:rPr>
          <w:t>https://therealdeal.com/new-york/2023/08/28/qia-buys-park-lane-hotel-from-witkoff/</w:t>
        </w:r>
      </w:hyperlink>
      <w:r w:rsidRPr="00D83CD1">
        <w:rPr>
          <w:rFonts w:ascii="Times New Roman" w:hAnsi="Times New Roman" w:cs="Times New Roman"/>
          <w:bCs/>
          <w:noProof/>
          <w:sz w:val="24"/>
          <w:szCs w:val="24"/>
        </w:rPr>
        <w:t xml:space="preserve"> Pristupljeno: 1</w:t>
      </w:r>
      <w:r>
        <w:rPr>
          <w:rFonts w:ascii="Times New Roman" w:hAnsi="Times New Roman" w:cs="Times New Roman"/>
          <w:bCs/>
          <w:noProof/>
          <w:sz w:val="24"/>
          <w:szCs w:val="24"/>
        </w:rPr>
        <w:t>0</w:t>
      </w:r>
      <w:r w:rsidRPr="00D83CD1">
        <w:rPr>
          <w:rFonts w:ascii="Times New Roman" w:hAnsi="Times New Roman" w:cs="Times New Roman"/>
          <w:bCs/>
          <w:noProof/>
          <w:sz w:val="24"/>
          <w:szCs w:val="24"/>
        </w:rPr>
        <w:t>. rujna 2024.</w:t>
      </w:r>
    </w:p>
    <w:p w14:paraId="1AAC668F" w14:textId="77777777" w:rsidR="006E052A" w:rsidRDefault="006E052A" w:rsidP="00932B24">
      <w:pPr>
        <w:numPr>
          <w:ilvl w:val="0"/>
          <w:numId w:val="65"/>
        </w:numPr>
        <w:spacing w:line="360" w:lineRule="auto"/>
        <w:contextualSpacing/>
        <w:rPr>
          <w:rFonts w:ascii="Times New Roman" w:hAnsi="Times New Roman" w:cs="Times New Roman"/>
          <w:bCs/>
          <w:noProof/>
          <w:sz w:val="24"/>
          <w:szCs w:val="24"/>
        </w:rPr>
      </w:pPr>
      <w:r w:rsidRPr="00BE5472">
        <w:rPr>
          <w:rFonts w:ascii="Times New Roman" w:hAnsi="Times New Roman" w:cs="Times New Roman"/>
          <w:bCs/>
          <w:i/>
          <w:noProof/>
          <w:sz w:val="24"/>
          <w:szCs w:val="24"/>
        </w:rPr>
        <w:t>Tune Hotels</w:t>
      </w:r>
      <w:r w:rsidRPr="00BE5472">
        <w:rPr>
          <w:rFonts w:ascii="Times New Roman" w:hAnsi="Times New Roman" w:cs="Times New Roman"/>
          <w:bCs/>
          <w:noProof/>
          <w:sz w:val="24"/>
          <w:szCs w:val="24"/>
        </w:rPr>
        <w:t xml:space="preserve"> (bez dat.). Tune Hotels. Dostupno na: </w:t>
      </w:r>
      <w:hyperlink r:id="rId176" w:history="1">
        <w:r w:rsidRPr="00BE5472">
          <w:rPr>
            <w:rFonts w:ascii="Times New Roman" w:hAnsi="Times New Roman" w:cs="Times New Roman"/>
            <w:bCs/>
            <w:noProof/>
            <w:color w:val="0563C1" w:themeColor="hyperlink"/>
            <w:sz w:val="24"/>
            <w:szCs w:val="24"/>
            <w:u w:val="single"/>
          </w:rPr>
          <w:t>https://hospitality-on.com/en/worldwide-hospitality-awards/tune-hotels/tune-hotels</w:t>
        </w:r>
      </w:hyperlink>
      <w:r w:rsidRPr="00BE5472">
        <w:rPr>
          <w:rFonts w:ascii="Times New Roman" w:hAnsi="Times New Roman" w:cs="Times New Roman"/>
          <w:bCs/>
          <w:noProof/>
          <w:sz w:val="24"/>
          <w:szCs w:val="24"/>
        </w:rPr>
        <w:t xml:space="preserve">   Pristupljeno: 18. ožujka 2024. </w:t>
      </w:r>
    </w:p>
    <w:p w14:paraId="09D8500D" w14:textId="4A7E1416" w:rsidR="003F1705" w:rsidRDefault="003F1705" w:rsidP="003F1705">
      <w:pPr>
        <w:numPr>
          <w:ilvl w:val="0"/>
          <w:numId w:val="65"/>
        </w:numPr>
        <w:spacing w:after="0" w:line="360" w:lineRule="auto"/>
        <w:contextualSpacing/>
        <w:jc w:val="both"/>
        <w:rPr>
          <w:rFonts w:ascii="Times New Roman" w:hAnsi="Times New Roman" w:cs="Times New Roman"/>
          <w:bCs/>
          <w:noProof/>
          <w:sz w:val="24"/>
          <w:szCs w:val="24"/>
        </w:rPr>
      </w:pPr>
      <w:r w:rsidRPr="00AA4985">
        <w:rPr>
          <w:rFonts w:ascii="Times New Roman" w:hAnsi="Times New Roman" w:cs="Times New Roman"/>
          <w:bCs/>
          <w:noProof/>
          <w:sz w:val="24"/>
          <w:szCs w:val="24"/>
        </w:rPr>
        <w:t xml:space="preserve">Valamar Riviera (2016). </w:t>
      </w:r>
      <w:r w:rsidRPr="00AA4985">
        <w:rPr>
          <w:rFonts w:ascii="Times New Roman" w:hAnsi="Times New Roman" w:cs="Times New Roman"/>
          <w:bCs/>
          <w:i/>
          <w:iCs/>
          <w:noProof/>
          <w:sz w:val="24"/>
          <w:szCs w:val="24"/>
        </w:rPr>
        <w:t>Obavijest o sklapanju ugovora o kupnji dionica društva Imperial d.d. Rab</w:t>
      </w:r>
      <w:r w:rsidRPr="00AA4985">
        <w:rPr>
          <w:rFonts w:ascii="Times New Roman" w:hAnsi="Times New Roman" w:cs="Times New Roman"/>
          <w:bCs/>
          <w:noProof/>
          <w:sz w:val="24"/>
          <w:szCs w:val="24"/>
        </w:rPr>
        <w:t xml:space="preserve">. Dostupno na: </w:t>
      </w:r>
      <w:hyperlink r:id="rId177" w:tgtFrame="_blank" w:history="1">
        <w:r w:rsidRPr="00AA4985">
          <w:rPr>
            <w:rStyle w:val="Hyperlink"/>
            <w:rFonts w:ascii="Times New Roman" w:hAnsi="Times New Roman" w:cs="Times New Roman"/>
            <w:bCs/>
            <w:noProof/>
            <w:sz w:val="24"/>
            <w:szCs w:val="24"/>
          </w:rPr>
          <w:t>https://valamar-riviera.com/hr/investitori/financijske-objave/obavijest-o-sklapanju-ugovora-o-kupnji-dionica-drustva-imperial-dd-rab/</w:t>
        </w:r>
      </w:hyperlink>
      <w:r w:rsidRPr="00AA4985">
        <w:rPr>
          <w:rFonts w:ascii="Times New Roman" w:hAnsi="Times New Roman" w:cs="Times New Roman"/>
          <w:bCs/>
          <w:noProof/>
          <w:sz w:val="24"/>
          <w:szCs w:val="24"/>
        </w:rPr>
        <w:t xml:space="preserve"> Pristupljeno: </w:t>
      </w:r>
      <w:r>
        <w:rPr>
          <w:rFonts w:ascii="Times New Roman" w:hAnsi="Times New Roman" w:cs="Times New Roman"/>
          <w:bCs/>
          <w:noProof/>
          <w:sz w:val="24"/>
          <w:szCs w:val="24"/>
        </w:rPr>
        <w:t>2</w:t>
      </w:r>
      <w:r w:rsidRPr="00AA4985">
        <w:rPr>
          <w:rFonts w:ascii="Times New Roman" w:hAnsi="Times New Roman" w:cs="Times New Roman"/>
          <w:bCs/>
          <w:noProof/>
          <w:sz w:val="24"/>
          <w:szCs w:val="24"/>
        </w:rPr>
        <w:t xml:space="preserve">5. </w:t>
      </w:r>
      <w:r>
        <w:rPr>
          <w:rFonts w:ascii="Times New Roman" w:hAnsi="Times New Roman" w:cs="Times New Roman"/>
          <w:bCs/>
          <w:noProof/>
          <w:sz w:val="24"/>
          <w:szCs w:val="24"/>
        </w:rPr>
        <w:t>travnja</w:t>
      </w:r>
      <w:r w:rsidRPr="00AA4985">
        <w:rPr>
          <w:rFonts w:ascii="Times New Roman" w:hAnsi="Times New Roman" w:cs="Times New Roman"/>
          <w:bCs/>
          <w:noProof/>
          <w:sz w:val="24"/>
          <w:szCs w:val="24"/>
        </w:rPr>
        <w:t xml:space="preserve"> 202</w:t>
      </w:r>
      <w:r w:rsidR="009A6E95">
        <w:rPr>
          <w:rFonts w:ascii="Times New Roman" w:hAnsi="Times New Roman" w:cs="Times New Roman"/>
          <w:bCs/>
          <w:noProof/>
          <w:sz w:val="24"/>
          <w:szCs w:val="24"/>
        </w:rPr>
        <w:t>4</w:t>
      </w:r>
      <w:r w:rsidRPr="00AA4985">
        <w:rPr>
          <w:rFonts w:ascii="Times New Roman" w:hAnsi="Times New Roman" w:cs="Times New Roman"/>
          <w:bCs/>
          <w:noProof/>
          <w:sz w:val="24"/>
          <w:szCs w:val="24"/>
        </w:rPr>
        <w:t>.</w:t>
      </w:r>
    </w:p>
    <w:p w14:paraId="415D0E66" w14:textId="5F3716D8" w:rsidR="00CA4149" w:rsidRPr="00CA4149" w:rsidRDefault="00CA4149" w:rsidP="00CA4149">
      <w:pPr>
        <w:numPr>
          <w:ilvl w:val="0"/>
          <w:numId w:val="65"/>
        </w:numPr>
        <w:spacing w:after="0" w:line="360" w:lineRule="auto"/>
        <w:contextualSpacing/>
        <w:jc w:val="both"/>
        <w:rPr>
          <w:rFonts w:ascii="Times New Roman" w:hAnsi="Times New Roman" w:cs="Times New Roman"/>
          <w:bCs/>
          <w:noProof/>
          <w:sz w:val="24"/>
          <w:szCs w:val="24"/>
        </w:rPr>
      </w:pPr>
      <w:r w:rsidRPr="000603EF">
        <w:rPr>
          <w:rFonts w:ascii="Times New Roman" w:hAnsi="Times New Roman" w:cs="Times New Roman"/>
          <w:bCs/>
          <w:noProof/>
          <w:sz w:val="24"/>
          <w:szCs w:val="24"/>
        </w:rPr>
        <w:t xml:space="preserve">Valamar Riviera (2018). </w:t>
      </w:r>
      <w:r w:rsidRPr="000603EF">
        <w:rPr>
          <w:rFonts w:ascii="Times New Roman" w:hAnsi="Times New Roman" w:cs="Times New Roman"/>
          <w:bCs/>
          <w:i/>
          <w:iCs/>
          <w:noProof/>
          <w:sz w:val="24"/>
          <w:szCs w:val="24"/>
        </w:rPr>
        <w:t>Obavijest o sklapanju ugovora o kupnji dionica društva Hoteli Makarska d.d.</w:t>
      </w:r>
      <w:r w:rsidRPr="000603EF">
        <w:rPr>
          <w:rFonts w:ascii="Times New Roman" w:hAnsi="Times New Roman" w:cs="Times New Roman"/>
          <w:bCs/>
          <w:noProof/>
          <w:sz w:val="24"/>
          <w:szCs w:val="24"/>
        </w:rPr>
        <w:t xml:space="preserve"> Dostupno na: </w:t>
      </w:r>
      <w:hyperlink r:id="rId178" w:tgtFrame="_blank" w:history="1">
        <w:r w:rsidRPr="000603EF">
          <w:rPr>
            <w:rStyle w:val="Hyperlink"/>
            <w:rFonts w:ascii="Times New Roman" w:hAnsi="Times New Roman" w:cs="Times New Roman"/>
            <w:bCs/>
            <w:noProof/>
            <w:sz w:val="24"/>
            <w:szCs w:val="24"/>
          </w:rPr>
          <w:t>https://valamar-riviera.com/hr/investitori/financijske-objave/obavijest-o-sklapanju-ugovora-o-kupnji-dionica-drus-tva-hoteli-makarska-dd/</w:t>
        </w:r>
      </w:hyperlink>
      <w:r w:rsidRPr="000603EF">
        <w:rPr>
          <w:rFonts w:ascii="Times New Roman" w:hAnsi="Times New Roman" w:cs="Times New Roman"/>
          <w:bCs/>
          <w:noProof/>
          <w:sz w:val="24"/>
          <w:szCs w:val="24"/>
        </w:rPr>
        <w:t xml:space="preserve"> Pristupljeno: </w:t>
      </w:r>
      <w:r w:rsidR="009A6E95">
        <w:rPr>
          <w:rFonts w:ascii="Times New Roman" w:hAnsi="Times New Roman" w:cs="Times New Roman"/>
          <w:bCs/>
          <w:noProof/>
          <w:sz w:val="24"/>
          <w:szCs w:val="24"/>
        </w:rPr>
        <w:t>2</w:t>
      </w:r>
      <w:r w:rsidR="009A6E95" w:rsidRPr="00AA4985">
        <w:rPr>
          <w:rFonts w:ascii="Times New Roman" w:hAnsi="Times New Roman" w:cs="Times New Roman"/>
          <w:bCs/>
          <w:noProof/>
          <w:sz w:val="24"/>
          <w:szCs w:val="24"/>
        </w:rPr>
        <w:t xml:space="preserve">5. </w:t>
      </w:r>
      <w:r w:rsidR="009A6E95">
        <w:rPr>
          <w:rFonts w:ascii="Times New Roman" w:hAnsi="Times New Roman" w:cs="Times New Roman"/>
          <w:bCs/>
          <w:noProof/>
          <w:sz w:val="24"/>
          <w:szCs w:val="24"/>
        </w:rPr>
        <w:t>travnja</w:t>
      </w:r>
      <w:r w:rsidR="009A6E95" w:rsidRPr="00AA4985">
        <w:rPr>
          <w:rFonts w:ascii="Times New Roman" w:hAnsi="Times New Roman" w:cs="Times New Roman"/>
          <w:bCs/>
          <w:noProof/>
          <w:sz w:val="24"/>
          <w:szCs w:val="24"/>
        </w:rPr>
        <w:t xml:space="preserve"> 202</w:t>
      </w:r>
      <w:r w:rsidR="009A6E95">
        <w:rPr>
          <w:rFonts w:ascii="Times New Roman" w:hAnsi="Times New Roman" w:cs="Times New Roman"/>
          <w:bCs/>
          <w:noProof/>
          <w:sz w:val="24"/>
          <w:szCs w:val="24"/>
        </w:rPr>
        <w:t>4</w:t>
      </w:r>
      <w:r w:rsidR="009A6E95" w:rsidRPr="00AA4985">
        <w:rPr>
          <w:rFonts w:ascii="Times New Roman" w:hAnsi="Times New Roman" w:cs="Times New Roman"/>
          <w:bCs/>
          <w:noProof/>
          <w:sz w:val="24"/>
          <w:szCs w:val="24"/>
        </w:rPr>
        <w:t>.</w:t>
      </w:r>
      <w:r w:rsidRPr="000603EF">
        <w:rPr>
          <w:rFonts w:ascii="Times New Roman" w:hAnsi="Times New Roman" w:cs="Times New Roman"/>
          <w:bCs/>
          <w:noProof/>
          <w:sz w:val="24"/>
          <w:szCs w:val="24"/>
        </w:rPr>
        <w:t>.</w:t>
      </w:r>
    </w:p>
    <w:p w14:paraId="62E735B8"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Vajdić, K. (2019). Od deset najrazvijenijih tranzicijskih zemalja nijedna ne ovisi ni o turizmu ni o prirodi (resursima). Industrija, ideje.hr, 5.01.2019. Dostupno na: </w:t>
      </w:r>
      <w:hyperlink r:id="rId179" w:history="1">
        <w:r w:rsidRPr="00BE5472">
          <w:rPr>
            <w:rFonts w:ascii="Times New Roman" w:hAnsi="Times New Roman" w:cs="Times New Roman"/>
            <w:bCs/>
            <w:noProof/>
            <w:color w:val="0563C1" w:themeColor="hyperlink"/>
            <w:sz w:val="24"/>
            <w:szCs w:val="24"/>
            <w:u w:val="single"/>
          </w:rPr>
          <w:t>http://ideje.hr/od-prvih-deset-najrazvijenijih-tranzicijskih-zemalja-nijedna-ne-ovisi-ni-o-turizmu-ni-o-prirodi-resursima-industrija/</w:t>
        </w:r>
      </w:hyperlink>
      <w:r w:rsidRPr="00BE5472">
        <w:rPr>
          <w:rFonts w:ascii="Times New Roman" w:hAnsi="Times New Roman" w:cs="Times New Roman"/>
          <w:bCs/>
          <w:noProof/>
          <w:sz w:val="24"/>
          <w:szCs w:val="24"/>
        </w:rPr>
        <w:t xml:space="preserve">  Pristupljeno: 16. siječnja 2022.</w:t>
      </w:r>
    </w:p>
    <w:p w14:paraId="5B04AF68" w14:textId="77777777" w:rsidR="006E052A" w:rsidRPr="00BE5472"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t xml:space="preserve">Valamar Riviera (2024a). Misija, vizija i temeljne vrijednosti. Preuzeto s: </w:t>
      </w:r>
      <w:hyperlink r:id="rId180" w:history="1">
        <w:r w:rsidRPr="00BE5472">
          <w:rPr>
            <w:rFonts w:ascii="Times New Roman" w:hAnsi="Times New Roman" w:cs="Times New Roman"/>
            <w:bCs/>
            <w:noProof/>
            <w:color w:val="0563C1" w:themeColor="hyperlink"/>
            <w:sz w:val="24"/>
            <w:szCs w:val="24"/>
            <w:u w:val="single"/>
          </w:rPr>
          <w:t>https://valamar-riviera.com/hr/o-nama/misija-vizija-i-temeljne-vrijednosti/</w:t>
        </w:r>
      </w:hyperlink>
      <w:r w:rsidRPr="00BE5472">
        <w:rPr>
          <w:rFonts w:ascii="Times New Roman" w:hAnsi="Times New Roman" w:cs="Times New Roman"/>
          <w:bCs/>
          <w:noProof/>
          <w:sz w:val="24"/>
          <w:szCs w:val="24"/>
        </w:rPr>
        <w:t xml:space="preserve">  Pristupljeno: 11. srpnja 2024. </w:t>
      </w:r>
    </w:p>
    <w:p w14:paraId="5DCA0145" w14:textId="77777777" w:rsidR="006E052A" w:rsidRDefault="006E052A" w:rsidP="00932B24">
      <w:pPr>
        <w:numPr>
          <w:ilvl w:val="0"/>
          <w:numId w:val="65"/>
        </w:numPr>
        <w:spacing w:line="360" w:lineRule="auto"/>
        <w:contextualSpacing/>
        <w:jc w:val="both"/>
        <w:rPr>
          <w:rFonts w:ascii="Times New Roman" w:hAnsi="Times New Roman" w:cs="Times New Roman"/>
          <w:bCs/>
          <w:noProof/>
          <w:sz w:val="24"/>
          <w:szCs w:val="24"/>
        </w:rPr>
      </w:pPr>
      <w:r w:rsidRPr="00BE5472">
        <w:rPr>
          <w:rFonts w:ascii="Times New Roman" w:hAnsi="Times New Roman" w:cs="Times New Roman"/>
          <w:bCs/>
          <w:noProof/>
          <w:sz w:val="24"/>
          <w:szCs w:val="24"/>
        </w:rPr>
        <w:lastRenderedPageBreak/>
        <w:t xml:space="preserve">Valamar Riviera (2024c). Brendovi i portfelj. Dostupno na: </w:t>
      </w:r>
      <w:hyperlink r:id="rId181" w:history="1">
        <w:r w:rsidRPr="00BE5472">
          <w:rPr>
            <w:rFonts w:ascii="Times New Roman" w:hAnsi="Times New Roman" w:cs="Times New Roman"/>
            <w:bCs/>
            <w:noProof/>
            <w:color w:val="0563C1" w:themeColor="hyperlink"/>
            <w:sz w:val="24"/>
            <w:szCs w:val="24"/>
            <w:u w:val="single"/>
          </w:rPr>
          <w:t>https://valamar-riviera.com/hr/brendovi-i-portfelj/</w:t>
        </w:r>
      </w:hyperlink>
      <w:r w:rsidRPr="00BE5472">
        <w:rPr>
          <w:rFonts w:ascii="Times New Roman" w:hAnsi="Times New Roman" w:cs="Times New Roman"/>
          <w:bCs/>
          <w:noProof/>
          <w:sz w:val="24"/>
          <w:szCs w:val="24"/>
        </w:rPr>
        <w:t xml:space="preserve"> Pristupljeno: 12. srpnja 2024. </w:t>
      </w:r>
    </w:p>
    <w:p w14:paraId="13D4D546" w14:textId="77777777" w:rsidR="00686552" w:rsidRPr="00BE5472" w:rsidRDefault="00686552" w:rsidP="00686552">
      <w:pPr>
        <w:numPr>
          <w:ilvl w:val="0"/>
          <w:numId w:val="65"/>
        </w:numPr>
        <w:spacing w:after="0" w:line="360" w:lineRule="auto"/>
        <w:contextualSpacing/>
        <w:jc w:val="both"/>
        <w:rPr>
          <w:rFonts w:ascii="Times New Roman" w:hAnsi="Times New Roman" w:cs="Times New Roman"/>
          <w:bCs/>
          <w:noProof/>
          <w:sz w:val="24"/>
          <w:szCs w:val="24"/>
        </w:rPr>
      </w:pPr>
      <w:r w:rsidRPr="00851309">
        <w:rPr>
          <w:rFonts w:ascii="Times New Roman" w:hAnsi="Times New Roman" w:cs="Times New Roman"/>
          <w:sz w:val="24"/>
          <w:szCs w:val="24"/>
        </w:rPr>
        <w:t xml:space="preserve">Wyndham Hotels &amp; Resorts (2022). </w:t>
      </w:r>
      <w:r w:rsidRPr="00851309">
        <w:rPr>
          <w:rFonts w:ascii="Times New Roman" w:hAnsi="Times New Roman" w:cs="Times New Roman"/>
          <w:i/>
          <w:iCs/>
          <w:sz w:val="24"/>
          <w:szCs w:val="24"/>
        </w:rPr>
        <w:t>Wyndham Hotels &amp; Resorts acquires European hotel brand Vienna House</w:t>
      </w:r>
      <w:r w:rsidRPr="00851309">
        <w:rPr>
          <w:rFonts w:ascii="Times New Roman" w:hAnsi="Times New Roman" w:cs="Times New Roman"/>
          <w:sz w:val="24"/>
          <w:szCs w:val="24"/>
        </w:rPr>
        <w:t>. Dostupno na:</w:t>
      </w:r>
      <w:hyperlink r:id="rId182" w:history="1">
        <w:r w:rsidRPr="00BE5472">
          <w:rPr>
            <w:rFonts w:ascii="Times New Roman" w:hAnsi="Times New Roman" w:cs="Times New Roman"/>
            <w:bCs/>
            <w:noProof/>
            <w:color w:val="0563C1" w:themeColor="hyperlink"/>
            <w:sz w:val="24"/>
            <w:szCs w:val="24"/>
            <w:u w:val="single"/>
          </w:rPr>
          <w:t>https://corporate.wyndhamhotels.com/news-releases/wyndham-hotels-resorts-acquires-european-hotel-brand-vienna-house/</w:t>
        </w:r>
      </w:hyperlink>
      <w:r w:rsidRPr="00BE5472">
        <w:rPr>
          <w:rFonts w:ascii="Times New Roman" w:hAnsi="Times New Roman" w:cs="Times New Roman"/>
          <w:bCs/>
          <w:noProof/>
          <w:sz w:val="24"/>
          <w:szCs w:val="24"/>
        </w:rPr>
        <w:t xml:space="preserve"> </w:t>
      </w:r>
      <w:r>
        <w:rPr>
          <w:rFonts w:ascii="Times New Roman" w:hAnsi="Times New Roman" w:cs="Times New Roman"/>
          <w:bCs/>
          <w:noProof/>
          <w:sz w:val="24"/>
          <w:szCs w:val="24"/>
        </w:rPr>
        <w:t>Pristupljeno: 10. travnja 2024.</w:t>
      </w:r>
    </w:p>
    <w:p w14:paraId="692A38E0" w14:textId="77777777" w:rsidR="00686552" w:rsidRPr="00BE5472" w:rsidRDefault="00686552" w:rsidP="00686552">
      <w:pPr>
        <w:spacing w:line="360" w:lineRule="auto"/>
        <w:contextualSpacing/>
        <w:jc w:val="both"/>
        <w:rPr>
          <w:rFonts w:ascii="Times New Roman" w:hAnsi="Times New Roman" w:cs="Times New Roman"/>
          <w:bCs/>
          <w:noProof/>
          <w:sz w:val="24"/>
          <w:szCs w:val="24"/>
        </w:rPr>
      </w:pPr>
    </w:p>
    <w:p w14:paraId="19E42027" w14:textId="2A307D17" w:rsidR="006E052A" w:rsidRPr="006463E5" w:rsidRDefault="00844E98" w:rsidP="006463E5">
      <w:pPr>
        <w:pStyle w:val="Heading1"/>
        <w:rPr>
          <w:rFonts w:ascii="Times New Roman" w:hAnsi="Times New Roman" w:cs="Times New Roman"/>
        </w:rPr>
      </w:pPr>
      <w:bookmarkStart w:id="282" w:name="_Toc241865192"/>
      <w:r w:rsidRPr="006463E5">
        <w:rPr>
          <w:rFonts w:ascii="Times New Roman" w:hAnsi="Times New Roman" w:cs="Times New Roman"/>
        </w:rPr>
        <w:t>POPIS TABLICA</w:t>
      </w:r>
      <w:bookmarkEnd w:id="282"/>
    </w:p>
    <w:p w14:paraId="213B9640" w14:textId="05FFE640" w:rsidR="00844E98" w:rsidRDefault="00844E98">
      <w:pPr>
        <w:rPr>
          <w:rFonts w:ascii="Times New Roman" w:hAnsi="Times New Roman" w:cs="Times New Roman"/>
        </w:rPr>
      </w:pPr>
    </w:p>
    <w:p w14:paraId="4D5B2E64" w14:textId="07CFE248" w:rsidR="003D46C7" w:rsidRDefault="00044BF6">
      <w:pPr>
        <w:pStyle w:val="TableofFigures"/>
        <w:tabs>
          <w:tab w:val="right" w:leader="dot" w:pos="9350"/>
        </w:tabs>
        <w:rPr>
          <w:rFonts w:eastAsiaTheme="minorEastAsia"/>
          <w:noProof/>
          <w:lang w:val="en-US"/>
        </w:rPr>
      </w:pPr>
      <w:r w:rsidRPr="003D46C7">
        <w:rPr>
          <w:rFonts w:ascii="Times New Roman" w:hAnsi="Times New Roman" w:cs="Times New Roman"/>
          <w:sz w:val="24"/>
          <w:szCs w:val="24"/>
        </w:rPr>
        <w:fldChar w:fldCharType="begin"/>
      </w:r>
      <w:r w:rsidRPr="003D46C7">
        <w:rPr>
          <w:rFonts w:ascii="Times New Roman" w:hAnsi="Times New Roman" w:cs="Times New Roman"/>
          <w:sz w:val="24"/>
          <w:szCs w:val="24"/>
        </w:rPr>
        <w:instrText xml:space="preserve"> TOC \h \z \c "Tablica" </w:instrText>
      </w:r>
      <w:r w:rsidRPr="003D46C7">
        <w:rPr>
          <w:rFonts w:ascii="Times New Roman" w:hAnsi="Times New Roman" w:cs="Times New Roman"/>
          <w:sz w:val="24"/>
          <w:szCs w:val="24"/>
        </w:rPr>
        <w:fldChar w:fldCharType="separate"/>
      </w:r>
      <w:hyperlink w:anchor="_Toc241865195" w:history="1">
        <w:r w:rsidR="003D46C7" w:rsidRPr="0063764C">
          <w:rPr>
            <w:rStyle w:val="Hyperlink"/>
            <w:rFonts w:ascii="Times New Roman" w:hAnsi="Times New Roman" w:cs="Times New Roman"/>
            <w:noProof/>
          </w:rPr>
          <w:t>Tablica 1: Različiti kriteriji razvrstavanja hotela</w:t>
        </w:r>
        <w:r w:rsidR="003D46C7">
          <w:rPr>
            <w:noProof/>
            <w:webHidden/>
          </w:rPr>
          <w:tab/>
        </w:r>
        <w:r w:rsidR="003D46C7">
          <w:rPr>
            <w:noProof/>
            <w:webHidden/>
          </w:rPr>
          <w:fldChar w:fldCharType="begin"/>
        </w:r>
        <w:r w:rsidR="003D46C7">
          <w:rPr>
            <w:noProof/>
            <w:webHidden/>
          </w:rPr>
          <w:instrText xml:space="preserve"> PAGEREF _Toc241865195 \h </w:instrText>
        </w:r>
        <w:r w:rsidR="003D46C7">
          <w:rPr>
            <w:noProof/>
            <w:webHidden/>
          </w:rPr>
        </w:r>
        <w:r w:rsidR="003D46C7">
          <w:rPr>
            <w:noProof/>
            <w:webHidden/>
          </w:rPr>
          <w:fldChar w:fldCharType="separate"/>
        </w:r>
        <w:r w:rsidR="003D46C7">
          <w:rPr>
            <w:noProof/>
            <w:webHidden/>
          </w:rPr>
          <w:t>19</w:t>
        </w:r>
        <w:r w:rsidR="003D46C7">
          <w:rPr>
            <w:noProof/>
            <w:webHidden/>
          </w:rPr>
          <w:fldChar w:fldCharType="end"/>
        </w:r>
      </w:hyperlink>
    </w:p>
    <w:p w14:paraId="3E0F8101" w14:textId="3B995893" w:rsidR="003D46C7" w:rsidRDefault="003D46C7">
      <w:pPr>
        <w:pStyle w:val="TableofFigures"/>
        <w:tabs>
          <w:tab w:val="right" w:leader="dot" w:pos="9350"/>
        </w:tabs>
        <w:rPr>
          <w:rFonts w:eastAsiaTheme="minorEastAsia"/>
          <w:noProof/>
          <w:lang w:val="en-US"/>
        </w:rPr>
      </w:pPr>
      <w:hyperlink w:anchor="_Toc241865196" w:history="1">
        <w:r w:rsidRPr="0063764C">
          <w:rPr>
            <w:rStyle w:val="Hyperlink"/>
            <w:rFonts w:ascii="Times New Roman" w:hAnsi="Times New Roman" w:cs="Times New Roman"/>
            <w:noProof/>
          </w:rPr>
          <w:t>Tablica 2: Pet ključnih dimenzija ugostiteljstva u antici</w:t>
        </w:r>
        <w:r>
          <w:rPr>
            <w:noProof/>
            <w:webHidden/>
          </w:rPr>
          <w:tab/>
        </w:r>
        <w:r>
          <w:rPr>
            <w:noProof/>
            <w:webHidden/>
          </w:rPr>
          <w:fldChar w:fldCharType="begin"/>
        </w:r>
        <w:r>
          <w:rPr>
            <w:noProof/>
            <w:webHidden/>
          </w:rPr>
          <w:instrText xml:space="preserve"> PAGEREF _Toc241865196 \h </w:instrText>
        </w:r>
        <w:r>
          <w:rPr>
            <w:noProof/>
            <w:webHidden/>
          </w:rPr>
        </w:r>
        <w:r>
          <w:rPr>
            <w:noProof/>
            <w:webHidden/>
          </w:rPr>
          <w:fldChar w:fldCharType="separate"/>
        </w:r>
        <w:r>
          <w:rPr>
            <w:noProof/>
            <w:webHidden/>
          </w:rPr>
          <w:t>21</w:t>
        </w:r>
        <w:r>
          <w:rPr>
            <w:noProof/>
            <w:webHidden/>
          </w:rPr>
          <w:fldChar w:fldCharType="end"/>
        </w:r>
      </w:hyperlink>
    </w:p>
    <w:p w14:paraId="73D4D28F" w14:textId="7EB49853" w:rsidR="003D46C7" w:rsidRDefault="003D46C7">
      <w:pPr>
        <w:pStyle w:val="TableofFigures"/>
        <w:tabs>
          <w:tab w:val="right" w:leader="dot" w:pos="9350"/>
        </w:tabs>
        <w:rPr>
          <w:rFonts w:eastAsiaTheme="minorEastAsia"/>
          <w:noProof/>
          <w:lang w:val="en-US"/>
        </w:rPr>
      </w:pPr>
      <w:hyperlink w:anchor="_Toc241865197" w:history="1">
        <w:r w:rsidRPr="0063764C">
          <w:rPr>
            <w:rStyle w:val="Hyperlink"/>
            <w:rFonts w:ascii="Times New Roman" w:hAnsi="Times New Roman" w:cs="Times New Roman"/>
            <w:noProof/>
          </w:rPr>
          <w:t>Tablica 3: 10 najvrjednijih marki hotelskih poduzeća u svijetu (2023. vs. 2024.)</w:t>
        </w:r>
        <w:r>
          <w:rPr>
            <w:noProof/>
            <w:webHidden/>
          </w:rPr>
          <w:tab/>
        </w:r>
        <w:r>
          <w:rPr>
            <w:noProof/>
            <w:webHidden/>
          </w:rPr>
          <w:fldChar w:fldCharType="begin"/>
        </w:r>
        <w:r>
          <w:rPr>
            <w:noProof/>
            <w:webHidden/>
          </w:rPr>
          <w:instrText xml:space="preserve"> PAGEREF _Toc241865197 \h </w:instrText>
        </w:r>
        <w:r>
          <w:rPr>
            <w:noProof/>
            <w:webHidden/>
          </w:rPr>
        </w:r>
        <w:r>
          <w:rPr>
            <w:noProof/>
            <w:webHidden/>
          </w:rPr>
          <w:fldChar w:fldCharType="separate"/>
        </w:r>
        <w:r>
          <w:rPr>
            <w:noProof/>
            <w:webHidden/>
          </w:rPr>
          <w:t>35</w:t>
        </w:r>
        <w:r>
          <w:rPr>
            <w:noProof/>
            <w:webHidden/>
          </w:rPr>
          <w:fldChar w:fldCharType="end"/>
        </w:r>
      </w:hyperlink>
    </w:p>
    <w:p w14:paraId="469EB7ED" w14:textId="695FFF05" w:rsidR="003D46C7" w:rsidRDefault="003D46C7">
      <w:pPr>
        <w:pStyle w:val="TableofFigures"/>
        <w:tabs>
          <w:tab w:val="right" w:leader="dot" w:pos="9350"/>
        </w:tabs>
        <w:rPr>
          <w:rFonts w:eastAsiaTheme="minorEastAsia"/>
          <w:noProof/>
          <w:lang w:val="en-US"/>
        </w:rPr>
      </w:pPr>
      <w:hyperlink w:anchor="_Toc241865198" w:history="1">
        <w:r w:rsidRPr="0063764C">
          <w:rPr>
            <w:rStyle w:val="Hyperlink"/>
            <w:rFonts w:ascii="Times New Roman" w:hAnsi="Times New Roman" w:cs="Times New Roman"/>
            <w:noProof/>
          </w:rPr>
          <w:t>Tablica 4: Hoteli prema kategorijama</w:t>
        </w:r>
        <w:r>
          <w:rPr>
            <w:noProof/>
            <w:webHidden/>
          </w:rPr>
          <w:tab/>
        </w:r>
        <w:r>
          <w:rPr>
            <w:noProof/>
            <w:webHidden/>
          </w:rPr>
          <w:fldChar w:fldCharType="begin"/>
        </w:r>
        <w:r>
          <w:rPr>
            <w:noProof/>
            <w:webHidden/>
          </w:rPr>
          <w:instrText xml:space="preserve"> PAGEREF _Toc241865198 \h </w:instrText>
        </w:r>
        <w:r>
          <w:rPr>
            <w:noProof/>
            <w:webHidden/>
          </w:rPr>
        </w:r>
        <w:r>
          <w:rPr>
            <w:noProof/>
            <w:webHidden/>
          </w:rPr>
          <w:fldChar w:fldCharType="separate"/>
        </w:r>
        <w:r>
          <w:rPr>
            <w:noProof/>
            <w:webHidden/>
          </w:rPr>
          <w:t>41</w:t>
        </w:r>
        <w:r>
          <w:rPr>
            <w:noProof/>
            <w:webHidden/>
          </w:rPr>
          <w:fldChar w:fldCharType="end"/>
        </w:r>
      </w:hyperlink>
    </w:p>
    <w:p w14:paraId="5202E23A" w14:textId="0BAD8507" w:rsidR="003D46C7" w:rsidRDefault="003D46C7">
      <w:pPr>
        <w:pStyle w:val="TableofFigures"/>
        <w:tabs>
          <w:tab w:val="right" w:leader="dot" w:pos="9350"/>
        </w:tabs>
        <w:rPr>
          <w:rFonts w:eastAsiaTheme="minorEastAsia"/>
          <w:noProof/>
          <w:lang w:val="en-US"/>
        </w:rPr>
      </w:pPr>
      <w:hyperlink w:anchor="_Toc241865199" w:history="1">
        <w:r w:rsidRPr="0063764C">
          <w:rPr>
            <w:rStyle w:val="Hyperlink"/>
            <w:rFonts w:ascii="Times New Roman" w:hAnsi="Times New Roman" w:cs="Times New Roman"/>
            <w:noProof/>
          </w:rPr>
          <w:t>Tablica 5</w:t>
        </w:r>
        <w:r w:rsidRPr="0063764C">
          <w:rPr>
            <w:rStyle w:val="Hyperlink"/>
            <w:rFonts w:ascii="Times New Roman" w:hAnsi="Times New Roman" w:cs="Times New Roman"/>
            <w:noProof/>
            <w:kern w:val="2"/>
            <w14:ligatures w14:val="standardContextual"/>
          </w:rPr>
          <w:t>: Vizija, misija i vodeći principi i dugoročni cilj hotelske grupacije Mandarin Oriental</w:t>
        </w:r>
        <w:r>
          <w:rPr>
            <w:noProof/>
            <w:webHidden/>
          </w:rPr>
          <w:tab/>
        </w:r>
        <w:r>
          <w:rPr>
            <w:noProof/>
            <w:webHidden/>
          </w:rPr>
          <w:fldChar w:fldCharType="begin"/>
        </w:r>
        <w:r>
          <w:rPr>
            <w:noProof/>
            <w:webHidden/>
          </w:rPr>
          <w:instrText xml:space="preserve"> PAGEREF _Toc241865199 \h </w:instrText>
        </w:r>
        <w:r>
          <w:rPr>
            <w:noProof/>
            <w:webHidden/>
          </w:rPr>
        </w:r>
        <w:r>
          <w:rPr>
            <w:noProof/>
            <w:webHidden/>
          </w:rPr>
          <w:fldChar w:fldCharType="separate"/>
        </w:r>
        <w:r>
          <w:rPr>
            <w:noProof/>
            <w:webHidden/>
          </w:rPr>
          <w:t>77</w:t>
        </w:r>
        <w:r>
          <w:rPr>
            <w:noProof/>
            <w:webHidden/>
          </w:rPr>
          <w:fldChar w:fldCharType="end"/>
        </w:r>
      </w:hyperlink>
    </w:p>
    <w:p w14:paraId="53ADB0D2" w14:textId="1E391E23" w:rsidR="003D46C7" w:rsidRDefault="003D46C7">
      <w:pPr>
        <w:pStyle w:val="TableofFigures"/>
        <w:tabs>
          <w:tab w:val="right" w:leader="dot" w:pos="9350"/>
        </w:tabs>
        <w:rPr>
          <w:rFonts w:eastAsiaTheme="minorEastAsia"/>
          <w:noProof/>
          <w:lang w:val="en-US"/>
        </w:rPr>
      </w:pPr>
      <w:hyperlink w:anchor="_Toc241865200" w:history="1">
        <w:r w:rsidRPr="0063764C">
          <w:rPr>
            <w:rStyle w:val="Hyperlink"/>
            <w:rFonts w:ascii="Times New Roman" w:hAnsi="Times New Roman" w:cs="Times New Roman"/>
            <w:noProof/>
          </w:rPr>
          <w:t>Tablica 6</w:t>
        </w:r>
        <w:r w:rsidRPr="0063764C">
          <w:rPr>
            <w:rStyle w:val="Hyperlink"/>
            <w:rFonts w:ascii="Times New Roman" w:hAnsi="Times New Roman" w:cs="Times New Roman"/>
            <w:noProof/>
            <w:kern w:val="2"/>
            <w14:ligatures w14:val="standardContextual"/>
          </w:rPr>
          <w:t>: Temeljne vrijednosti, dugoročni cilj, vizija i misija poduzeća Valamar Riviera</w:t>
        </w:r>
        <w:r>
          <w:rPr>
            <w:noProof/>
            <w:webHidden/>
          </w:rPr>
          <w:tab/>
        </w:r>
        <w:r>
          <w:rPr>
            <w:noProof/>
            <w:webHidden/>
          </w:rPr>
          <w:fldChar w:fldCharType="begin"/>
        </w:r>
        <w:r>
          <w:rPr>
            <w:noProof/>
            <w:webHidden/>
          </w:rPr>
          <w:instrText xml:space="preserve"> PAGEREF _Toc241865200 \h </w:instrText>
        </w:r>
        <w:r>
          <w:rPr>
            <w:noProof/>
            <w:webHidden/>
          </w:rPr>
        </w:r>
        <w:r>
          <w:rPr>
            <w:noProof/>
            <w:webHidden/>
          </w:rPr>
          <w:fldChar w:fldCharType="separate"/>
        </w:r>
        <w:r>
          <w:rPr>
            <w:noProof/>
            <w:webHidden/>
          </w:rPr>
          <w:t>78</w:t>
        </w:r>
        <w:r>
          <w:rPr>
            <w:noProof/>
            <w:webHidden/>
          </w:rPr>
          <w:fldChar w:fldCharType="end"/>
        </w:r>
      </w:hyperlink>
    </w:p>
    <w:p w14:paraId="49655BC1" w14:textId="687F5E4D" w:rsidR="003D46C7" w:rsidRDefault="003D46C7">
      <w:pPr>
        <w:pStyle w:val="TableofFigures"/>
        <w:tabs>
          <w:tab w:val="right" w:leader="dot" w:pos="9350"/>
        </w:tabs>
        <w:rPr>
          <w:rFonts w:eastAsiaTheme="minorEastAsia"/>
          <w:noProof/>
          <w:lang w:val="en-US"/>
        </w:rPr>
      </w:pPr>
      <w:hyperlink w:anchor="_Toc241865201" w:history="1">
        <w:r w:rsidRPr="0063764C">
          <w:rPr>
            <w:rStyle w:val="Hyperlink"/>
            <w:rFonts w:ascii="Times New Roman" w:hAnsi="Times New Roman" w:cs="Times New Roman"/>
            <w:noProof/>
          </w:rPr>
          <w:t>Tablica 7</w:t>
        </w:r>
        <w:r w:rsidRPr="0063764C">
          <w:rPr>
            <w:rStyle w:val="Hyperlink"/>
            <w:rFonts w:ascii="Times New Roman" w:hAnsi="Times New Roman" w:cs="Times New Roman"/>
            <w:noProof/>
            <w:kern w:val="2"/>
            <w14:ligatures w14:val="standardContextual"/>
          </w:rPr>
          <w:t>: Usporedba obilježja, prednosti i nedostataka vrsta sporazuma u hotelijerstvu iz perspektive vlasnika marke</w:t>
        </w:r>
        <w:r>
          <w:rPr>
            <w:noProof/>
            <w:webHidden/>
          </w:rPr>
          <w:tab/>
        </w:r>
        <w:r>
          <w:rPr>
            <w:noProof/>
            <w:webHidden/>
          </w:rPr>
          <w:fldChar w:fldCharType="begin"/>
        </w:r>
        <w:r>
          <w:rPr>
            <w:noProof/>
            <w:webHidden/>
          </w:rPr>
          <w:instrText xml:space="preserve"> PAGEREF _Toc241865201 \h </w:instrText>
        </w:r>
        <w:r>
          <w:rPr>
            <w:noProof/>
            <w:webHidden/>
          </w:rPr>
        </w:r>
        <w:r>
          <w:rPr>
            <w:noProof/>
            <w:webHidden/>
          </w:rPr>
          <w:fldChar w:fldCharType="separate"/>
        </w:r>
        <w:r>
          <w:rPr>
            <w:noProof/>
            <w:webHidden/>
          </w:rPr>
          <w:t>112</w:t>
        </w:r>
        <w:r>
          <w:rPr>
            <w:noProof/>
            <w:webHidden/>
          </w:rPr>
          <w:fldChar w:fldCharType="end"/>
        </w:r>
      </w:hyperlink>
    </w:p>
    <w:p w14:paraId="507DD16E" w14:textId="2207CCB9" w:rsidR="003D46C7" w:rsidRDefault="003D46C7">
      <w:pPr>
        <w:pStyle w:val="TableofFigures"/>
        <w:tabs>
          <w:tab w:val="right" w:leader="dot" w:pos="9350"/>
        </w:tabs>
        <w:rPr>
          <w:rFonts w:eastAsiaTheme="minorEastAsia"/>
          <w:noProof/>
          <w:lang w:val="en-US"/>
        </w:rPr>
      </w:pPr>
      <w:hyperlink w:anchor="_Toc241865202" w:history="1">
        <w:r w:rsidRPr="0063764C">
          <w:rPr>
            <w:rStyle w:val="Hyperlink"/>
            <w:rFonts w:ascii="Times New Roman" w:hAnsi="Times New Roman" w:cs="Times New Roman"/>
            <w:noProof/>
          </w:rPr>
          <w:t>Tablica 8</w:t>
        </w:r>
        <w:r w:rsidRPr="0063764C">
          <w:rPr>
            <w:rStyle w:val="Hyperlink"/>
            <w:rFonts w:ascii="Times New Roman" w:hAnsi="Times New Roman" w:cs="Times New Roman"/>
            <w:noProof/>
            <w:kern w:val="2"/>
            <w14:ligatures w14:val="standardContextual"/>
          </w:rPr>
          <w:t>: Udio objekata pod franšizom u različitim tržišnim segmentima</w:t>
        </w:r>
        <w:r>
          <w:rPr>
            <w:noProof/>
            <w:webHidden/>
          </w:rPr>
          <w:tab/>
        </w:r>
        <w:r>
          <w:rPr>
            <w:noProof/>
            <w:webHidden/>
          </w:rPr>
          <w:fldChar w:fldCharType="begin"/>
        </w:r>
        <w:r>
          <w:rPr>
            <w:noProof/>
            <w:webHidden/>
          </w:rPr>
          <w:instrText xml:space="preserve"> PAGEREF _Toc241865202 \h </w:instrText>
        </w:r>
        <w:r>
          <w:rPr>
            <w:noProof/>
            <w:webHidden/>
          </w:rPr>
        </w:r>
        <w:r>
          <w:rPr>
            <w:noProof/>
            <w:webHidden/>
          </w:rPr>
          <w:fldChar w:fldCharType="separate"/>
        </w:r>
        <w:r>
          <w:rPr>
            <w:noProof/>
            <w:webHidden/>
          </w:rPr>
          <w:t>113</w:t>
        </w:r>
        <w:r>
          <w:rPr>
            <w:noProof/>
            <w:webHidden/>
          </w:rPr>
          <w:fldChar w:fldCharType="end"/>
        </w:r>
      </w:hyperlink>
    </w:p>
    <w:p w14:paraId="05D84C65" w14:textId="21B7CE2E" w:rsidR="003D46C7" w:rsidRDefault="003D46C7">
      <w:pPr>
        <w:pStyle w:val="TableofFigures"/>
        <w:tabs>
          <w:tab w:val="right" w:leader="dot" w:pos="9350"/>
        </w:tabs>
        <w:rPr>
          <w:rFonts w:eastAsiaTheme="minorEastAsia"/>
          <w:noProof/>
          <w:lang w:val="en-US"/>
        </w:rPr>
      </w:pPr>
      <w:hyperlink w:anchor="_Toc241865203" w:history="1">
        <w:r w:rsidRPr="0063764C">
          <w:rPr>
            <w:rStyle w:val="Hyperlink"/>
            <w:rFonts w:ascii="Times New Roman" w:hAnsi="Times New Roman" w:cs="Times New Roman"/>
            <w:noProof/>
          </w:rPr>
          <w:t>Tablica 9</w:t>
        </w:r>
        <w:r w:rsidRPr="0063764C">
          <w:rPr>
            <w:rStyle w:val="Hyperlink"/>
            <w:rFonts w:ascii="Times New Roman" w:hAnsi="Times New Roman" w:cs="Times New Roman"/>
            <w:noProof/>
            <w:kern w:val="2"/>
            <w:lang w:val="it-IT"/>
            <w14:ligatures w14:val="standardContextual"/>
          </w:rPr>
          <w:t>: Hotelski lanci u Europi i njihovi kapaciteti pod franšizom, upravljanjem ili u vlasništvu</w:t>
        </w:r>
        <w:r>
          <w:rPr>
            <w:noProof/>
            <w:webHidden/>
          </w:rPr>
          <w:tab/>
        </w:r>
        <w:r>
          <w:rPr>
            <w:noProof/>
            <w:webHidden/>
          </w:rPr>
          <w:fldChar w:fldCharType="begin"/>
        </w:r>
        <w:r>
          <w:rPr>
            <w:noProof/>
            <w:webHidden/>
          </w:rPr>
          <w:instrText xml:space="preserve"> PAGEREF _Toc241865203 \h </w:instrText>
        </w:r>
        <w:r>
          <w:rPr>
            <w:noProof/>
            <w:webHidden/>
          </w:rPr>
        </w:r>
        <w:r>
          <w:rPr>
            <w:noProof/>
            <w:webHidden/>
          </w:rPr>
          <w:fldChar w:fldCharType="separate"/>
        </w:r>
        <w:r>
          <w:rPr>
            <w:noProof/>
            <w:webHidden/>
          </w:rPr>
          <w:t>114</w:t>
        </w:r>
        <w:r>
          <w:rPr>
            <w:noProof/>
            <w:webHidden/>
          </w:rPr>
          <w:fldChar w:fldCharType="end"/>
        </w:r>
      </w:hyperlink>
    </w:p>
    <w:p w14:paraId="55F77397" w14:textId="43BEA552" w:rsidR="003D46C7" w:rsidRDefault="003D46C7">
      <w:pPr>
        <w:pStyle w:val="TableofFigures"/>
        <w:tabs>
          <w:tab w:val="right" w:leader="dot" w:pos="9350"/>
        </w:tabs>
        <w:rPr>
          <w:rFonts w:eastAsiaTheme="minorEastAsia"/>
          <w:noProof/>
          <w:lang w:val="en-US"/>
        </w:rPr>
      </w:pPr>
      <w:hyperlink w:anchor="_Toc241865204" w:history="1">
        <w:r w:rsidRPr="0063764C">
          <w:rPr>
            <w:rStyle w:val="Hyperlink"/>
            <w:rFonts w:ascii="Times New Roman" w:hAnsi="Times New Roman" w:cs="Times New Roman"/>
            <w:noProof/>
          </w:rPr>
          <w:t>Tablica 10: Valovi spajanja i preuzimanja od 19. do 21. stoljeća</w:t>
        </w:r>
        <w:r>
          <w:rPr>
            <w:noProof/>
            <w:webHidden/>
          </w:rPr>
          <w:tab/>
        </w:r>
        <w:r>
          <w:rPr>
            <w:noProof/>
            <w:webHidden/>
          </w:rPr>
          <w:fldChar w:fldCharType="begin"/>
        </w:r>
        <w:r>
          <w:rPr>
            <w:noProof/>
            <w:webHidden/>
          </w:rPr>
          <w:instrText xml:space="preserve"> PAGEREF _Toc241865204 \h </w:instrText>
        </w:r>
        <w:r>
          <w:rPr>
            <w:noProof/>
            <w:webHidden/>
          </w:rPr>
        </w:r>
        <w:r>
          <w:rPr>
            <w:noProof/>
            <w:webHidden/>
          </w:rPr>
          <w:fldChar w:fldCharType="separate"/>
        </w:r>
        <w:r>
          <w:rPr>
            <w:noProof/>
            <w:webHidden/>
          </w:rPr>
          <w:t>122</w:t>
        </w:r>
        <w:r>
          <w:rPr>
            <w:noProof/>
            <w:webHidden/>
          </w:rPr>
          <w:fldChar w:fldCharType="end"/>
        </w:r>
      </w:hyperlink>
    </w:p>
    <w:p w14:paraId="111A4AD7" w14:textId="57F5B10E" w:rsidR="003D46C7" w:rsidRDefault="003D46C7">
      <w:pPr>
        <w:pStyle w:val="TableofFigures"/>
        <w:tabs>
          <w:tab w:val="right" w:leader="dot" w:pos="9350"/>
        </w:tabs>
        <w:rPr>
          <w:rFonts w:eastAsiaTheme="minorEastAsia"/>
          <w:noProof/>
          <w:lang w:val="en-US"/>
        </w:rPr>
      </w:pPr>
      <w:hyperlink w:anchor="_Toc241865205" w:history="1">
        <w:r w:rsidRPr="0063764C">
          <w:rPr>
            <w:rStyle w:val="Hyperlink"/>
            <w:rFonts w:ascii="Times New Roman" w:hAnsi="Times New Roman" w:cs="Times New Roman"/>
            <w:noProof/>
          </w:rPr>
          <w:t>Tablica 11: Valovi spajanja i preuzimanja u restoranima i industriji smještaja od 1981. do 2010. godine na području SAD-a</w:t>
        </w:r>
        <w:r>
          <w:rPr>
            <w:noProof/>
            <w:webHidden/>
          </w:rPr>
          <w:tab/>
        </w:r>
        <w:r>
          <w:rPr>
            <w:noProof/>
            <w:webHidden/>
          </w:rPr>
          <w:fldChar w:fldCharType="begin"/>
        </w:r>
        <w:r>
          <w:rPr>
            <w:noProof/>
            <w:webHidden/>
          </w:rPr>
          <w:instrText xml:space="preserve"> PAGEREF _Toc241865205 \h </w:instrText>
        </w:r>
        <w:r>
          <w:rPr>
            <w:noProof/>
            <w:webHidden/>
          </w:rPr>
        </w:r>
        <w:r>
          <w:rPr>
            <w:noProof/>
            <w:webHidden/>
          </w:rPr>
          <w:fldChar w:fldCharType="separate"/>
        </w:r>
        <w:r>
          <w:rPr>
            <w:noProof/>
            <w:webHidden/>
          </w:rPr>
          <w:t>125</w:t>
        </w:r>
        <w:r>
          <w:rPr>
            <w:noProof/>
            <w:webHidden/>
          </w:rPr>
          <w:fldChar w:fldCharType="end"/>
        </w:r>
      </w:hyperlink>
    </w:p>
    <w:p w14:paraId="38B5CB8F" w14:textId="40A350D5" w:rsidR="003D46C7" w:rsidRDefault="003D46C7">
      <w:pPr>
        <w:pStyle w:val="TableofFigures"/>
        <w:tabs>
          <w:tab w:val="right" w:leader="dot" w:pos="9350"/>
        </w:tabs>
        <w:rPr>
          <w:rFonts w:eastAsiaTheme="minorEastAsia"/>
          <w:noProof/>
          <w:lang w:val="en-US"/>
        </w:rPr>
      </w:pPr>
      <w:hyperlink w:anchor="_Toc241865206" w:history="1">
        <w:r w:rsidRPr="0063764C">
          <w:rPr>
            <w:rStyle w:val="Hyperlink"/>
            <w:rFonts w:ascii="Times New Roman" w:hAnsi="Times New Roman" w:cs="Times New Roman"/>
            <w:noProof/>
          </w:rPr>
          <w:t>Tablica 12: Spajanja i preuzimanja u hotelskom sektoru od 2020. do 2024. godine</w:t>
        </w:r>
        <w:r>
          <w:rPr>
            <w:noProof/>
            <w:webHidden/>
          </w:rPr>
          <w:tab/>
        </w:r>
        <w:r>
          <w:rPr>
            <w:noProof/>
            <w:webHidden/>
          </w:rPr>
          <w:fldChar w:fldCharType="begin"/>
        </w:r>
        <w:r>
          <w:rPr>
            <w:noProof/>
            <w:webHidden/>
          </w:rPr>
          <w:instrText xml:space="preserve"> PAGEREF _Toc241865206 \h </w:instrText>
        </w:r>
        <w:r>
          <w:rPr>
            <w:noProof/>
            <w:webHidden/>
          </w:rPr>
        </w:r>
        <w:r>
          <w:rPr>
            <w:noProof/>
            <w:webHidden/>
          </w:rPr>
          <w:fldChar w:fldCharType="separate"/>
        </w:r>
        <w:r>
          <w:rPr>
            <w:noProof/>
            <w:webHidden/>
          </w:rPr>
          <w:t>128</w:t>
        </w:r>
        <w:r>
          <w:rPr>
            <w:noProof/>
            <w:webHidden/>
          </w:rPr>
          <w:fldChar w:fldCharType="end"/>
        </w:r>
      </w:hyperlink>
    </w:p>
    <w:p w14:paraId="314F024B" w14:textId="456200DC" w:rsidR="003D46C7" w:rsidRDefault="003D46C7">
      <w:pPr>
        <w:pStyle w:val="TableofFigures"/>
        <w:tabs>
          <w:tab w:val="right" w:leader="dot" w:pos="9350"/>
        </w:tabs>
        <w:rPr>
          <w:rFonts w:eastAsiaTheme="minorEastAsia"/>
          <w:noProof/>
          <w:lang w:val="en-US"/>
        </w:rPr>
      </w:pPr>
      <w:hyperlink w:anchor="_Toc241865207" w:history="1">
        <w:r w:rsidRPr="0063764C">
          <w:rPr>
            <w:rStyle w:val="Hyperlink"/>
            <w:rFonts w:ascii="Times New Roman" w:hAnsi="Times New Roman" w:cs="Times New Roman"/>
            <w:noProof/>
          </w:rPr>
          <w:t>Tablica 13: Spajanja i preuzimanja u hotelijerstvu na području Republike Hrvatske</w:t>
        </w:r>
        <w:r>
          <w:rPr>
            <w:noProof/>
            <w:webHidden/>
          </w:rPr>
          <w:tab/>
        </w:r>
        <w:r>
          <w:rPr>
            <w:noProof/>
            <w:webHidden/>
          </w:rPr>
          <w:fldChar w:fldCharType="begin"/>
        </w:r>
        <w:r>
          <w:rPr>
            <w:noProof/>
            <w:webHidden/>
          </w:rPr>
          <w:instrText xml:space="preserve"> PAGEREF _Toc241865207 \h </w:instrText>
        </w:r>
        <w:r>
          <w:rPr>
            <w:noProof/>
            <w:webHidden/>
          </w:rPr>
        </w:r>
        <w:r>
          <w:rPr>
            <w:noProof/>
            <w:webHidden/>
          </w:rPr>
          <w:fldChar w:fldCharType="separate"/>
        </w:r>
        <w:r>
          <w:rPr>
            <w:noProof/>
            <w:webHidden/>
          </w:rPr>
          <w:t>138</w:t>
        </w:r>
        <w:r>
          <w:rPr>
            <w:noProof/>
            <w:webHidden/>
          </w:rPr>
          <w:fldChar w:fldCharType="end"/>
        </w:r>
      </w:hyperlink>
    </w:p>
    <w:p w14:paraId="3F17CCD1" w14:textId="4D57FEEC" w:rsidR="003D46C7" w:rsidRDefault="003D46C7">
      <w:pPr>
        <w:pStyle w:val="TableofFigures"/>
        <w:tabs>
          <w:tab w:val="right" w:leader="dot" w:pos="9350"/>
        </w:tabs>
        <w:rPr>
          <w:rFonts w:eastAsiaTheme="minorEastAsia"/>
          <w:noProof/>
          <w:lang w:val="en-US"/>
        </w:rPr>
      </w:pPr>
      <w:hyperlink w:anchor="_Toc241865208" w:history="1">
        <w:r w:rsidRPr="0063764C">
          <w:rPr>
            <w:rStyle w:val="Hyperlink"/>
            <w:rFonts w:ascii="Times New Roman" w:hAnsi="Times New Roman" w:cs="Times New Roman"/>
            <w:noProof/>
          </w:rPr>
          <w:t>Tablica 14: Različitost promišljanja o fazama procesa spajanja i preuzimanja</w:t>
        </w:r>
        <w:r>
          <w:rPr>
            <w:noProof/>
            <w:webHidden/>
          </w:rPr>
          <w:tab/>
        </w:r>
        <w:r>
          <w:rPr>
            <w:noProof/>
            <w:webHidden/>
          </w:rPr>
          <w:fldChar w:fldCharType="begin"/>
        </w:r>
        <w:r>
          <w:rPr>
            <w:noProof/>
            <w:webHidden/>
          </w:rPr>
          <w:instrText xml:space="preserve"> PAGEREF _Toc241865208 \h </w:instrText>
        </w:r>
        <w:r>
          <w:rPr>
            <w:noProof/>
            <w:webHidden/>
          </w:rPr>
        </w:r>
        <w:r>
          <w:rPr>
            <w:noProof/>
            <w:webHidden/>
          </w:rPr>
          <w:fldChar w:fldCharType="separate"/>
        </w:r>
        <w:r>
          <w:rPr>
            <w:noProof/>
            <w:webHidden/>
          </w:rPr>
          <w:t>150</w:t>
        </w:r>
        <w:r>
          <w:rPr>
            <w:noProof/>
            <w:webHidden/>
          </w:rPr>
          <w:fldChar w:fldCharType="end"/>
        </w:r>
      </w:hyperlink>
    </w:p>
    <w:p w14:paraId="0F19320A" w14:textId="40CF6E1F" w:rsidR="003D46C7" w:rsidRDefault="003D46C7">
      <w:pPr>
        <w:pStyle w:val="TableofFigures"/>
        <w:tabs>
          <w:tab w:val="right" w:leader="dot" w:pos="9350"/>
        </w:tabs>
        <w:rPr>
          <w:rFonts w:eastAsiaTheme="minorEastAsia"/>
          <w:noProof/>
          <w:lang w:val="en-US"/>
        </w:rPr>
      </w:pPr>
      <w:hyperlink w:anchor="_Toc241865209" w:history="1">
        <w:r w:rsidRPr="0063764C">
          <w:rPr>
            <w:rStyle w:val="Hyperlink"/>
            <w:rFonts w:ascii="Times New Roman" w:hAnsi="Times New Roman" w:cs="Times New Roman"/>
            <w:noProof/>
          </w:rPr>
          <w:t>Tablica 15: Opis dimenzija u fazi upravljanja prije preuzimanja</w:t>
        </w:r>
        <w:r>
          <w:rPr>
            <w:noProof/>
            <w:webHidden/>
          </w:rPr>
          <w:tab/>
        </w:r>
        <w:r>
          <w:rPr>
            <w:noProof/>
            <w:webHidden/>
          </w:rPr>
          <w:fldChar w:fldCharType="begin"/>
        </w:r>
        <w:r>
          <w:rPr>
            <w:noProof/>
            <w:webHidden/>
          </w:rPr>
          <w:instrText xml:space="preserve"> PAGEREF _Toc241865209 \h </w:instrText>
        </w:r>
        <w:r>
          <w:rPr>
            <w:noProof/>
            <w:webHidden/>
          </w:rPr>
        </w:r>
        <w:r>
          <w:rPr>
            <w:noProof/>
            <w:webHidden/>
          </w:rPr>
          <w:fldChar w:fldCharType="separate"/>
        </w:r>
        <w:r>
          <w:rPr>
            <w:noProof/>
            <w:webHidden/>
          </w:rPr>
          <w:t>151</w:t>
        </w:r>
        <w:r>
          <w:rPr>
            <w:noProof/>
            <w:webHidden/>
          </w:rPr>
          <w:fldChar w:fldCharType="end"/>
        </w:r>
      </w:hyperlink>
    </w:p>
    <w:p w14:paraId="54A16161" w14:textId="773F7B0C" w:rsidR="003D46C7" w:rsidRDefault="003D46C7">
      <w:pPr>
        <w:pStyle w:val="TableofFigures"/>
        <w:tabs>
          <w:tab w:val="right" w:leader="dot" w:pos="9350"/>
        </w:tabs>
        <w:rPr>
          <w:rFonts w:eastAsiaTheme="minorEastAsia"/>
          <w:noProof/>
          <w:lang w:val="en-US"/>
        </w:rPr>
      </w:pPr>
      <w:hyperlink w:anchor="_Toc241865210" w:history="1">
        <w:r w:rsidRPr="0063764C">
          <w:rPr>
            <w:rStyle w:val="Hyperlink"/>
            <w:rFonts w:ascii="Times New Roman" w:hAnsi="Times New Roman" w:cs="Times New Roman"/>
            <w:noProof/>
          </w:rPr>
          <w:t>Tablica 16: Opis dimenzija u fazi integracije nakon preuzimanja</w:t>
        </w:r>
        <w:r>
          <w:rPr>
            <w:noProof/>
            <w:webHidden/>
          </w:rPr>
          <w:tab/>
        </w:r>
        <w:r>
          <w:rPr>
            <w:noProof/>
            <w:webHidden/>
          </w:rPr>
          <w:fldChar w:fldCharType="begin"/>
        </w:r>
        <w:r>
          <w:rPr>
            <w:noProof/>
            <w:webHidden/>
          </w:rPr>
          <w:instrText xml:space="preserve"> PAGEREF _Toc241865210 \h </w:instrText>
        </w:r>
        <w:r>
          <w:rPr>
            <w:noProof/>
            <w:webHidden/>
          </w:rPr>
        </w:r>
        <w:r>
          <w:rPr>
            <w:noProof/>
            <w:webHidden/>
          </w:rPr>
          <w:fldChar w:fldCharType="separate"/>
        </w:r>
        <w:r>
          <w:rPr>
            <w:noProof/>
            <w:webHidden/>
          </w:rPr>
          <w:t>152</w:t>
        </w:r>
        <w:r>
          <w:rPr>
            <w:noProof/>
            <w:webHidden/>
          </w:rPr>
          <w:fldChar w:fldCharType="end"/>
        </w:r>
      </w:hyperlink>
    </w:p>
    <w:p w14:paraId="4E21A579" w14:textId="6A85674F" w:rsidR="003D46C7" w:rsidRDefault="003D46C7">
      <w:pPr>
        <w:pStyle w:val="TableofFigures"/>
        <w:tabs>
          <w:tab w:val="right" w:leader="dot" w:pos="9350"/>
        </w:tabs>
        <w:rPr>
          <w:rFonts w:eastAsiaTheme="minorEastAsia"/>
          <w:noProof/>
          <w:lang w:val="en-US"/>
        </w:rPr>
      </w:pPr>
      <w:hyperlink w:anchor="_Toc241865211" w:history="1">
        <w:r w:rsidRPr="0063764C">
          <w:rPr>
            <w:rStyle w:val="Hyperlink"/>
            <w:rFonts w:ascii="Times New Roman" w:hAnsi="Times New Roman" w:cs="Times New Roman"/>
            <w:noProof/>
          </w:rPr>
          <w:t>Tablica 17: Evaluacija uspješnosti procesa spajanja i preuzimanja</w:t>
        </w:r>
        <w:r>
          <w:rPr>
            <w:noProof/>
            <w:webHidden/>
          </w:rPr>
          <w:tab/>
        </w:r>
        <w:r>
          <w:rPr>
            <w:noProof/>
            <w:webHidden/>
          </w:rPr>
          <w:fldChar w:fldCharType="begin"/>
        </w:r>
        <w:r>
          <w:rPr>
            <w:noProof/>
            <w:webHidden/>
          </w:rPr>
          <w:instrText xml:space="preserve"> PAGEREF _Toc241865211 \h </w:instrText>
        </w:r>
        <w:r>
          <w:rPr>
            <w:noProof/>
            <w:webHidden/>
          </w:rPr>
        </w:r>
        <w:r>
          <w:rPr>
            <w:noProof/>
            <w:webHidden/>
          </w:rPr>
          <w:fldChar w:fldCharType="separate"/>
        </w:r>
        <w:r>
          <w:rPr>
            <w:noProof/>
            <w:webHidden/>
          </w:rPr>
          <w:t>153</w:t>
        </w:r>
        <w:r>
          <w:rPr>
            <w:noProof/>
            <w:webHidden/>
          </w:rPr>
          <w:fldChar w:fldCharType="end"/>
        </w:r>
      </w:hyperlink>
    </w:p>
    <w:p w14:paraId="7BD5E79F" w14:textId="123C515A" w:rsidR="003D46C7" w:rsidRDefault="003D46C7">
      <w:pPr>
        <w:pStyle w:val="TableofFigures"/>
        <w:tabs>
          <w:tab w:val="right" w:leader="dot" w:pos="9350"/>
        </w:tabs>
        <w:rPr>
          <w:rFonts w:eastAsiaTheme="minorEastAsia"/>
          <w:noProof/>
          <w:lang w:val="en-US"/>
        </w:rPr>
      </w:pPr>
      <w:hyperlink w:anchor="_Toc241865212" w:history="1">
        <w:r w:rsidRPr="0063764C">
          <w:rPr>
            <w:rStyle w:val="Hyperlink"/>
            <w:rFonts w:ascii="Times New Roman" w:hAnsi="Times New Roman" w:cs="Times New Roman"/>
            <w:noProof/>
          </w:rPr>
          <w:t>Tablica 18: Ključni čimbenici uspješnosti procesa spajanja i preuzimanja u fazi procesa prije samog spajanja i preuzimanja</w:t>
        </w:r>
        <w:r>
          <w:rPr>
            <w:noProof/>
            <w:webHidden/>
          </w:rPr>
          <w:tab/>
        </w:r>
        <w:r>
          <w:rPr>
            <w:noProof/>
            <w:webHidden/>
          </w:rPr>
          <w:fldChar w:fldCharType="begin"/>
        </w:r>
        <w:r>
          <w:rPr>
            <w:noProof/>
            <w:webHidden/>
          </w:rPr>
          <w:instrText xml:space="preserve"> PAGEREF _Toc241865212 \h </w:instrText>
        </w:r>
        <w:r>
          <w:rPr>
            <w:noProof/>
            <w:webHidden/>
          </w:rPr>
        </w:r>
        <w:r>
          <w:rPr>
            <w:noProof/>
            <w:webHidden/>
          </w:rPr>
          <w:fldChar w:fldCharType="separate"/>
        </w:r>
        <w:r>
          <w:rPr>
            <w:noProof/>
            <w:webHidden/>
          </w:rPr>
          <w:t>154</w:t>
        </w:r>
        <w:r>
          <w:rPr>
            <w:noProof/>
            <w:webHidden/>
          </w:rPr>
          <w:fldChar w:fldCharType="end"/>
        </w:r>
      </w:hyperlink>
    </w:p>
    <w:p w14:paraId="5823C8B4" w14:textId="0F45FEDE" w:rsidR="003D46C7" w:rsidRDefault="003D46C7">
      <w:pPr>
        <w:pStyle w:val="TableofFigures"/>
        <w:tabs>
          <w:tab w:val="right" w:leader="dot" w:pos="9350"/>
        </w:tabs>
        <w:rPr>
          <w:rFonts w:eastAsiaTheme="minorEastAsia"/>
          <w:noProof/>
          <w:lang w:val="en-US"/>
        </w:rPr>
      </w:pPr>
      <w:hyperlink w:anchor="_Toc241865213" w:history="1">
        <w:r w:rsidRPr="0063764C">
          <w:rPr>
            <w:rStyle w:val="Hyperlink"/>
            <w:rFonts w:ascii="Times New Roman" w:hAnsi="Times New Roman" w:cs="Times New Roman"/>
            <w:noProof/>
          </w:rPr>
          <w:t>Tablica 19: Ključni čimbenici uspješnosti procesa spajanja i preuzimanja u fazi integracije nakon spajanja i preuzimanja</w:t>
        </w:r>
        <w:r>
          <w:rPr>
            <w:noProof/>
            <w:webHidden/>
          </w:rPr>
          <w:tab/>
        </w:r>
        <w:r>
          <w:rPr>
            <w:noProof/>
            <w:webHidden/>
          </w:rPr>
          <w:fldChar w:fldCharType="begin"/>
        </w:r>
        <w:r>
          <w:rPr>
            <w:noProof/>
            <w:webHidden/>
          </w:rPr>
          <w:instrText xml:space="preserve"> PAGEREF _Toc241865213 \h </w:instrText>
        </w:r>
        <w:r>
          <w:rPr>
            <w:noProof/>
            <w:webHidden/>
          </w:rPr>
        </w:r>
        <w:r>
          <w:rPr>
            <w:noProof/>
            <w:webHidden/>
          </w:rPr>
          <w:fldChar w:fldCharType="separate"/>
        </w:r>
        <w:r>
          <w:rPr>
            <w:noProof/>
            <w:webHidden/>
          </w:rPr>
          <w:t>156</w:t>
        </w:r>
        <w:r>
          <w:rPr>
            <w:noProof/>
            <w:webHidden/>
          </w:rPr>
          <w:fldChar w:fldCharType="end"/>
        </w:r>
      </w:hyperlink>
    </w:p>
    <w:p w14:paraId="6FD78AAA" w14:textId="603F7CEA" w:rsidR="003D46C7" w:rsidRDefault="003D46C7">
      <w:pPr>
        <w:pStyle w:val="TableofFigures"/>
        <w:tabs>
          <w:tab w:val="right" w:leader="dot" w:pos="9350"/>
        </w:tabs>
        <w:rPr>
          <w:rFonts w:eastAsiaTheme="minorEastAsia"/>
          <w:noProof/>
          <w:lang w:val="en-US"/>
        </w:rPr>
      </w:pPr>
      <w:hyperlink w:anchor="_Toc241865214" w:history="1">
        <w:r w:rsidRPr="0063764C">
          <w:rPr>
            <w:rStyle w:val="Hyperlink"/>
            <w:rFonts w:ascii="Times New Roman" w:hAnsi="Times New Roman" w:cs="Times New Roman"/>
            <w:noProof/>
          </w:rPr>
          <w:t>Tablica 20: Ključni čimbenici uspješnosti procesa spajanja i preuzimanja u fazi nakon preuzimanja</w:t>
        </w:r>
        <w:r>
          <w:rPr>
            <w:noProof/>
            <w:webHidden/>
          </w:rPr>
          <w:tab/>
        </w:r>
        <w:r>
          <w:rPr>
            <w:noProof/>
            <w:webHidden/>
          </w:rPr>
          <w:fldChar w:fldCharType="begin"/>
        </w:r>
        <w:r>
          <w:rPr>
            <w:noProof/>
            <w:webHidden/>
          </w:rPr>
          <w:instrText xml:space="preserve"> PAGEREF _Toc241865214 \h </w:instrText>
        </w:r>
        <w:r>
          <w:rPr>
            <w:noProof/>
            <w:webHidden/>
          </w:rPr>
        </w:r>
        <w:r>
          <w:rPr>
            <w:noProof/>
            <w:webHidden/>
          </w:rPr>
          <w:fldChar w:fldCharType="separate"/>
        </w:r>
        <w:r>
          <w:rPr>
            <w:noProof/>
            <w:webHidden/>
          </w:rPr>
          <w:t>157</w:t>
        </w:r>
        <w:r>
          <w:rPr>
            <w:noProof/>
            <w:webHidden/>
          </w:rPr>
          <w:fldChar w:fldCharType="end"/>
        </w:r>
      </w:hyperlink>
    </w:p>
    <w:p w14:paraId="3AEF7D77" w14:textId="6E100596" w:rsidR="003D46C7" w:rsidRDefault="003D46C7">
      <w:pPr>
        <w:pStyle w:val="TableofFigures"/>
        <w:tabs>
          <w:tab w:val="right" w:leader="dot" w:pos="9350"/>
        </w:tabs>
        <w:rPr>
          <w:rFonts w:eastAsiaTheme="minorEastAsia"/>
          <w:noProof/>
          <w:lang w:val="en-US"/>
        </w:rPr>
      </w:pPr>
      <w:hyperlink w:anchor="_Toc241865215" w:history="1">
        <w:r w:rsidRPr="0063764C">
          <w:rPr>
            <w:rStyle w:val="Hyperlink"/>
            <w:rFonts w:ascii="Times New Roman" w:hAnsi="Times New Roman" w:cs="Times New Roman"/>
            <w:noProof/>
          </w:rPr>
          <w:t>Tablica 21: Čimbenici uspješnosti procesa spajanja i preuzimanja u dvije identificirane faze</w:t>
        </w:r>
        <w:r>
          <w:rPr>
            <w:noProof/>
            <w:webHidden/>
          </w:rPr>
          <w:tab/>
        </w:r>
        <w:r>
          <w:rPr>
            <w:noProof/>
            <w:webHidden/>
          </w:rPr>
          <w:fldChar w:fldCharType="begin"/>
        </w:r>
        <w:r>
          <w:rPr>
            <w:noProof/>
            <w:webHidden/>
          </w:rPr>
          <w:instrText xml:space="preserve"> PAGEREF _Toc241865215 \h </w:instrText>
        </w:r>
        <w:r>
          <w:rPr>
            <w:noProof/>
            <w:webHidden/>
          </w:rPr>
        </w:r>
        <w:r>
          <w:rPr>
            <w:noProof/>
            <w:webHidden/>
          </w:rPr>
          <w:fldChar w:fldCharType="separate"/>
        </w:r>
        <w:r>
          <w:rPr>
            <w:noProof/>
            <w:webHidden/>
          </w:rPr>
          <w:t>158</w:t>
        </w:r>
        <w:r>
          <w:rPr>
            <w:noProof/>
            <w:webHidden/>
          </w:rPr>
          <w:fldChar w:fldCharType="end"/>
        </w:r>
      </w:hyperlink>
    </w:p>
    <w:p w14:paraId="10AD12AE" w14:textId="462150E8" w:rsidR="003D46C7" w:rsidRDefault="003D46C7">
      <w:pPr>
        <w:pStyle w:val="TableofFigures"/>
        <w:tabs>
          <w:tab w:val="right" w:leader="dot" w:pos="9350"/>
        </w:tabs>
        <w:rPr>
          <w:rFonts w:eastAsiaTheme="minorEastAsia"/>
          <w:noProof/>
          <w:lang w:val="en-US"/>
        </w:rPr>
      </w:pPr>
      <w:hyperlink w:anchor="_Toc241865216" w:history="1">
        <w:r w:rsidRPr="0063764C">
          <w:rPr>
            <w:rStyle w:val="Hyperlink"/>
            <w:rFonts w:ascii="Times New Roman" w:hAnsi="Times New Roman" w:cs="Times New Roman"/>
            <w:noProof/>
          </w:rPr>
          <w:t>Tablica 22: Prikaz broja ispitivanih motiva i čimbenika uspjeha po fazama procesa spajanja i preuzimanja</w:t>
        </w:r>
        <w:r>
          <w:rPr>
            <w:noProof/>
            <w:webHidden/>
          </w:rPr>
          <w:tab/>
        </w:r>
        <w:r>
          <w:rPr>
            <w:noProof/>
            <w:webHidden/>
          </w:rPr>
          <w:fldChar w:fldCharType="begin"/>
        </w:r>
        <w:r>
          <w:rPr>
            <w:noProof/>
            <w:webHidden/>
          </w:rPr>
          <w:instrText xml:space="preserve"> PAGEREF _Toc241865216 \h </w:instrText>
        </w:r>
        <w:r>
          <w:rPr>
            <w:noProof/>
            <w:webHidden/>
          </w:rPr>
        </w:r>
        <w:r>
          <w:rPr>
            <w:noProof/>
            <w:webHidden/>
          </w:rPr>
          <w:fldChar w:fldCharType="separate"/>
        </w:r>
        <w:r>
          <w:rPr>
            <w:noProof/>
            <w:webHidden/>
          </w:rPr>
          <w:t>181</w:t>
        </w:r>
        <w:r>
          <w:rPr>
            <w:noProof/>
            <w:webHidden/>
          </w:rPr>
          <w:fldChar w:fldCharType="end"/>
        </w:r>
      </w:hyperlink>
    </w:p>
    <w:p w14:paraId="5AB24585" w14:textId="2C4FDA92" w:rsidR="003D46C7" w:rsidRDefault="003D46C7">
      <w:pPr>
        <w:pStyle w:val="TableofFigures"/>
        <w:tabs>
          <w:tab w:val="right" w:leader="dot" w:pos="9350"/>
        </w:tabs>
        <w:rPr>
          <w:rFonts w:eastAsiaTheme="minorEastAsia"/>
          <w:noProof/>
          <w:lang w:val="en-US"/>
        </w:rPr>
      </w:pPr>
      <w:hyperlink w:anchor="_Toc241865217" w:history="1">
        <w:r w:rsidRPr="0063764C">
          <w:rPr>
            <w:rStyle w:val="Hyperlink"/>
            <w:rFonts w:ascii="Times New Roman" w:hAnsi="Times New Roman" w:cs="Times New Roman"/>
            <w:noProof/>
          </w:rPr>
          <w:t>Tablica 23</w:t>
        </w:r>
        <w:r w:rsidRPr="0063764C">
          <w:rPr>
            <w:rStyle w:val="Hyperlink"/>
            <w:rFonts w:ascii="Times New Roman" w:hAnsi="Times New Roman" w:cs="Times New Roman"/>
            <w:bCs/>
            <w:noProof/>
          </w:rPr>
          <w:t>: Odabrani stručnjaci uključeni u istraživanje</w:t>
        </w:r>
        <w:r>
          <w:rPr>
            <w:noProof/>
            <w:webHidden/>
          </w:rPr>
          <w:tab/>
        </w:r>
        <w:r>
          <w:rPr>
            <w:noProof/>
            <w:webHidden/>
          </w:rPr>
          <w:fldChar w:fldCharType="begin"/>
        </w:r>
        <w:r>
          <w:rPr>
            <w:noProof/>
            <w:webHidden/>
          </w:rPr>
          <w:instrText xml:space="preserve"> PAGEREF _Toc241865217 \h </w:instrText>
        </w:r>
        <w:r>
          <w:rPr>
            <w:noProof/>
            <w:webHidden/>
          </w:rPr>
        </w:r>
        <w:r>
          <w:rPr>
            <w:noProof/>
            <w:webHidden/>
          </w:rPr>
          <w:fldChar w:fldCharType="separate"/>
        </w:r>
        <w:r>
          <w:rPr>
            <w:noProof/>
            <w:webHidden/>
          </w:rPr>
          <w:t>183</w:t>
        </w:r>
        <w:r>
          <w:rPr>
            <w:noProof/>
            <w:webHidden/>
          </w:rPr>
          <w:fldChar w:fldCharType="end"/>
        </w:r>
      </w:hyperlink>
    </w:p>
    <w:p w14:paraId="0421F4E2" w14:textId="0ED4DEF3" w:rsidR="003D46C7" w:rsidRDefault="003D46C7">
      <w:pPr>
        <w:pStyle w:val="TableofFigures"/>
        <w:tabs>
          <w:tab w:val="right" w:leader="dot" w:pos="9350"/>
        </w:tabs>
        <w:rPr>
          <w:rFonts w:eastAsiaTheme="minorEastAsia"/>
          <w:noProof/>
          <w:lang w:val="en-US"/>
        </w:rPr>
      </w:pPr>
      <w:hyperlink w:anchor="_Toc241865218" w:history="1">
        <w:r w:rsidRPr="0063764C">
          <w:rPr>
            <w:rStyle w:val="Hyperlink"/>
            <w:rFonts w:ascii="Times New Roman" w:hAnsi="Times New Roman" w:cs="Times New Roman"/>
            <w:noProof/>
          </w:rPr>
          <w:t>Tablica 24: Sažeti prikaz Delphi postupka i redukcije varijabli</w:t>
        </w:r>
        <w:r>
          <w:rPr>
            <w:noProof/>
            <w:webHidden/>
          </w:rPr>
          <w:tab/>
        </w:r>
        <w:r>
          <w:rPr>
            <w:noProof/>
            <w:webHidden/>
          </w:rPr>
          <w:fldChar w:fldCharType="begin"/>
        </w:r>
        <w:r>
          <w:rPr>
            <w:noProof/>
            <w:webHidden/>
          </w:rPr>
          <w:instrText xml:space="preserve"> PAGEREF _Toc241865218 \h </w:instrText>
        </w:r>
        <w:r>
          <w:rPr>
            <w:noProof/>
            <w:webHidden/>
          </w:rPr>
        </w:r>
        <w:r>
          <w:rPr>
            <w:noProof/>
            <w:webHidden/>
          </w:rPr>
          <w:fldChar w:fldCharType="separate"/>
        </w:r>
        <w:r>
          <w:rPr>
            <w:noProof/>
            <w:webHidden/>
          </w:rPr>
          <w:t>189</w:t>
        </w:r>
        <w:r>
          <w:rPr>
            <w:noProof/>
            <w:webHidden/>
          </w:rPr>
          <w:fldChar w:fldCharType="end"/>
        </w:r>
      </w:hyperlink>
    </w:p>
    <w:p w14:paraId="25BC355B" w14:textId="3DB099A5" w:rsidR="003D46C7" w:rsidRDefault="003D46C7">
      <w:pPr>
        <w:pStyle w:val="TableofFigures"/>
        <w:tabs>
          <w:tab w:val="right" w:leader="dot" w:pos="9350"/>
        </w:tabs>
        <w:rPr>
          <w:rFonts w:eastAsiaTheme="minorEastAsia"/>
          <w:noProof/>
          <w:lang w:val="en-US"/>
        </w:rPr>
      </w:pPr>
      <w:hyperlink w:anchor="_Toc241865219" w:history="1">
        <w:r w:rsidRPr="0063764C">
          <w:rPr>
            <w:rStyle w:val="Hyperlink"/>
            <w:rFonts w:ascii="Times New Roman" w:hAnsi="Times New Roman" w:cs="Times New Roman"/>
            <w:noProof/>
          </w:rPr>
          <w:t>Tablica 25</w:t>
        </w:r>
        <w:r w:rsidRPr="0063764C">
          <w:rPr>
            <w:rStyle w:val="Hyperlink"/>
            <w:rFonts w:ascii="Times New Roman" w:hAnsi="Times New Roman" w:cs="Times New Roman"/>
            <w:bCs/>
            <w:noProof/>
          </w:rPr>
          <w:t>: Prikaz poduzeća i uloga ispitanika u kojem je provedeno izviđajno istraživanje</w:t>
        </w:r>
        <w:r>
          <w:rPr>
            <w:noProof/>
            <w:webHidden/>
          </w:rPr>
          <w:tab/>
        </w:r>
        <w:r>
          <w:rPr>
            <w:noProof/>
            <w:webHidden/>
          </w:rPr>
          <w:fldChar w:fldCharType="begin"/>
        </w:r>
        <w:r>
          <w:rPr>
            <w:noProof/>
            <w:webHidden/>
          </w:rPr>
          <w:instrText xml:space="preserve"> PAGEREF _Toc241865219 \h </w:instrText>
        </w:r>
        <w:r>
          <w:rPr>
            <w:noProof/>
            <w:webHidden/>
          </w:rPr>
        </w:r>
        <w:r>
          <w:rPr>
            <w:noProof/>
            <w:webHidden/>
          </w:rPr>
          <w:fldChar w:fldCharType="separate"/>
        </w:r>
        <w:r>
          <w:rPr>
            <w:noProof/>
            <w:webHidden/>
          </w:rPr>
          <w:t>190</w:t>
        </w:r>
        <w:r>
          <w:rPr>
            <w:noProof/>
            <w:webHidden/>
          </w:rPr>
          <w:fldChar w:fldCharType="end"/>
        </w:r>
      </w:hyperlink>
    </w:p>
    <w:p w14:paraId="4057A0D3" w14:textId="7104926B" w:rsidR="003D46C7" w:rsidRDefault="003D46C7">
      <w:pPr>
        <w:pStyle w:val="TableofFigures"/>
        <w:tabs>
          <w:tab w:val="right" w:leader="dot" w:pos="9350"/>
        </w:tabs>
        <w:rPr>
          <w:rFonts w:eastAsiaTheme="minorEastAsia"/>
          <w:noProof/>
          <w:lang w:val="en-US"/>
        </w:rPr>
      </w:pPr>
      <w:hyperlink w:anchor="_Toc241865220" w:history="1">
        <w:r w:rsidRPr="0063764C">
          <w:rPr>
            <w:rStyle w:val="Hyperlink"/>
            <w:rFonts w:ascii="Times New Roman" w:hAnsi="Times New Roman" w:cs="Times New Roman"/>
            <w:noProof/>
          </w:rPr>
          <w:t xml:space="preserve">Tablica 26: </w:t>
        </w:r>
        <w:r w:rsidRPr="0063764C">
          <w:rPr>
            <w:rStyle w:val="Hyperlink"/>
            <w:rFonts w:ascii="Times New Roman" w:hAnsi="Times New Roman" w:cs="Times New Roman"/>
            <w:noProof/>
            <w:kern w:val="2"/>
            <w14:ligatures w14:val="standardContextual"/>
          </w:rPr>
          <w:t>Prikaz broja godina prije i poslije procesa akvizicije za promatrana poduzeća</w:t>
        </w:r>
        <w:r>
          <w:rPr>
            <w:noProof/>
            <w:webHidden/>
          </w:rPr>
          <w:tab/>
        </w:r>
        <w:r>
          <w:rPr>
            <w:noProof/>
            <w:webHidden/>
          </w:rPr>
          <w:fldChar w:fldCharType="begin"/>
        </w:r>
        <w:r>
          <w:rPr>
            <w:noProof/>
            <w:webHidden/>
          </w:rPr>
          <w:instrText xml:space="preserve"> PAGEREF _Toc241865220 \h </w:instrText>
        </w:r>
        <w:r>
          <w:rPr>
            <w:noProof/>
            <w:webHidden/>
          </w:rPr>
        </w:r>
        <w:r>
          <w:rPr>
            <w:noProof/>
            <w:webHidden/>
          </w:rPr>
          <w:fldChar w:fldCharType="separate"/>
        </w:r>
        <w:r>
          <w:rPr>
            <w:noProof/>
            <w:webHidden/>
          </w:rPr>
          <w:t>195</w:t>
        </w:r>
        <w:r>
          <w:rPr>
            <w:noProof/>
            <w:webHidden/>
          </w:rPr>
          <w:fldChar w:fldCharType="end"/>
        </w:r>
      </w:hyperlink>
    </w:p>
    <w:p w14:paraId="7CC1A467" w14:textId="4AFFF198" w:rsidR="003D46C7" w:rsidRDefault="003D46C7">
      <w:pPr>
        <w:pStyle w:val="TableofFigures"/>
        <w:tabs>
          <w:tab w:val="right" w:leader="dot" w:pos="9350"/>
        </w:tabs>
        <w:rPr>
          <w:rFonts w:eastAsiaTheme="minorEastAsia"/>
          <w:noProof/>
          <w:lang w:val="en-US"/>
        </w:rPr>
      </w:pPr>
      <w:hyperlink w:anchor="_Toc241865221" w:history="1">
        <w:r w:rsidRPr="0063764C">
          <w:rPr>
            <w:rStyle w:val="Hyperlink"/>
            <w:rFonts w:ascii="Times New Roman" w:hAnsi="Times New Roman" w:cs="Times New Roman"/>
            <w:noProof/>
          </w:rPr>
          <w:t xml:space="preserve">Tablica 27: </w:t>
        </w:r>
        <w:r w:rsidRPr="0063764C">
          <w:rPr>
            <w:rStyle w:val="Hyperlink"/>
            <w:rFonts w:ascii="Times New Roman" w:hAnsi="Times New Roman" w:cs="Times New Roman"/>
            <w:noProof/>
            <w:kern w:val="2"/>
            <w14:ligatures w14:val="standardContextual"/>
          </w:rPr>
          <w:t>Deskriptivni parametri financijskih i tržišnih pokazatelja prije i poslije procesa akvizicije</w:t>
        </w:r>
        <w:r>
          <w:rPr>
            <w:noProof/>
            <w:webHidden/>
          </w:rPr>
          <w:tab/>
        </w:r>
        <w:r>
          <w:rPr>
            <w:noProof/>
            <w:webHidden/>
          </w:rPr>
          <w:fldChar w:fldCharType="begin"/>
        </w:r>
        <w:r>
          <w:rPr>
            <w:noProof/>
            <w:webHidden/>
          </w:rPr>
          <w:instrText xml:space="preserve"> PAGEREF _Toc241865221 \h </w:instrText>
        </w:r>
        <w:r>
          <w:rPr>
            <w:noProof/>
            <w:webHidden/>
          </w:rPr>
        </w:r>
        <w:r>
          <w:rPr>
            <w:noProof/>
            <w:webHidden/>
          </w:rPr>
          <w:fldChar w:fldCharType="separate"/>
        </w:r>
        <w:r>
          <w:rPr>
            <w:noProof/>
            <w:webHidden/>
          </w:rPr>
          <w:t>196</w:t>
        </w:r>
        <w:r>
          <w:rPr>
            <w:noProof/>
            <w:webHidden/>
          </w:rPr>
          <w:fldChar w:fldCharType="end"/>
        </w:r>
      </w:hyperlink>
    </w:p>
    <w:p w14:paraId="2BCCF6E2" w14:textId="751BA1AA" w:rsidR="003D46C7" w:rsidRDefault="003D46C7">
      <w:pPr>
        <w:pStyle w:val="TableofFigures"/>
        <w:tabs>
          <w:tab w:val="right" w:leader="dot" w:pos="9350"/>
        </w:tabs>
        <w:rPr>
          <w:rFonts w:eastAsiaTheme="minorEastAsia"/>
          <w:noProof/>
          <w:lang w:val="en-US"/>
        </w:rPr>
      </w:pPr>
      <w:hyperlink w:anchor="_Toc241865222" w:history="1">
        <w:r w:rsidRPr="0063764C">
          <w:rPr>
            <w:rStyle w:val="Hyperlink"/>
            <w:rFonts w:ascii="Times New Roman" w:hAnsi="Times New Roman" w:cs="Times New Roman"/>
            <w:noProof/>
          </w:rPr>
          <w:t>Tablica 28:</w:t>
        </w:r>
        <w:r w:rsidRPr="0063764C">
          <w:rPr>
            <w:rStyle w:val="Hyperlink"/>
            <w:rFonts w:ascii="Times New Roman" w:hAnsi="Times New Roman" w:cs="Times New Roman"/>
            <w:noProof/>
            <w:kern w:val="2"/>
            <w14:ligatures w14:val="standardContextual"/>
          </w:rPr>
          <w:t xml:space="preserve"> Deskriptivni parametri financijskih i tržišnih pokazatelja poduzeća koja su prošla proces akvizicije i onih koja nisu</w:t>
        </w:r>
        <w:r>
          <w:rPr>
            <w:noProof/>
            <w:webHidden/>
          </w:rPr>
          <w:tab/>
        </w:r>
        <w:r>
          <w:rPr>
            <w:noProof/>
            <w:webHidden/>
          </w:rPr>
          <w:fldChar w:fldCharType="begin"/>
        </w:r>
        <w:r>
          <w:rPr>
            <w:noProof/>
            <w:webHidden/>
          </w:rPr>
          <w:instrText xml:space="preserve"> PAGEREF _Toc241865222 \h </w:instrText>
        </w:r>
        <w:r>
          <w:rPr>
            <w:noProof/>
            <w:webHidden/>
          </w:rPr>
        </w:r>
        <w:r>
          <w:rPr>
            <w:noProof/>
            <w:webHidden/>
          </w:rPr>
          <w:fldChar w:fldCharType="separate"/>
        </w:r>
        <w:r>
          <w:rPr>
            <w:noProof/>
            <w:webHidden/>
          </w:rPr>
          <w:t>199</w:t>
        </w:r>
        <w:r>
          <w:rPr>
            <w:noProof/>
            <w:webHidden/>
          </w:rPr>
          <w:fldChar w:fldCharType="end"/>
        </w:r>
      </w:hyperlink>
    </w:p>
    <w:p w14:paraId="7128127E" w14:textId="04DB9AC2" w:rsidR="003D46C7" w:rsidRDefault="003D46C7">
      <w:pPr>
        <w:pStyle w:val="TableofFigures"/>
        <w:tabs>
          <w:tab w:val="right" w:leader="dot" w:pos="9350"/>
        </w:tabs>
        <w:rPr>
          <w:rFonts w:eastAsiaTheme="minorEastAsia"/>
          <w:noProof/>
          <w:lang w:val="en-US"/>
        </w:rPr>
      </w:pPr>
      <w:hyperlink w:anchor="_Toc241865223" w:history="1">
        <w:r w:rsidRPr="0063764C">
          <w:rPr>
            <w:rStyle w:val="Hyperlink"/>
            <w:rFonts w:ascii="Times New Roman" w:hAnsi="Times New Roman" w:cs="Times New Roman"/>
            <w:noProof/>
          </w:rPr>
          <w:t xml:space="preserve">Tablica 29: </w:t>
        </w:r>
        <w:r w:rsidRPr="0063764C">
          <w:rPr>
            <w:rStyle w:val="Hyperlink"/>
            <w:rFonts w:ascii="Times New Roman" w:hAnsi="Times New Roman" w:cs="Times New Roman"/>
            <w:noProof/>
            <w:lang w:val="it-IT"/>
          </w:rPr>
          <w:t>Sumarni prikaz rezultata prvog ciklusa Delphi postupka s linearno ponderiranim indeksom suglasnosti</w:t>
        </w:r>
        <w:r>
          <w:rPr>
            <w:noProof/>
            <w:webHidden/>
          </w:rPr>
          <w:tab/>
        </w:r>
        <w:r>
          <w:rPr>
            <w:noProof/>
            <w:webHidden/>
          </w:rPr>
          <w:fldChar w:fldCharType="begin"/>
        </w:r>
        <w:r>
          <w:rPr>
            <w:noProof/>
            <w:webHidden/>
          </w:rPr>
          <w:instrText xml:space="preserve"> PAGEREF _Toc241865223 \h </w:instrText>
        </w:r>
        <w:r>
          <w:rPr>
            <w:noProof/>
            <w:webHidden/>
          </w:rPr>
        </w:r>
        <w:r>
          <w:rPr>
            <w:noProof/>
            <w:webHidden/>
          </w:rPr>
          <w:fldChar w:fldCharType="separate"/>
        </w:r>
        <w:r>
          <w:rPr>
            <w:noProof/>
            <w:webHidden/>
          </w:rPr>
          <w:t>221</w:t>
        </w:r>
        <w:r>
          <w:rPr>
            <w:noProof/>
            <w:webHidden/>
          </w:rPr>
          <w:fldChar w:fldCharType="end"/>
        </w:r>
      </w:hyperlink>
    </w:p>
    <w:p w14:paraId="295A562C" w14:textId="3FAEDE65" w:rsidR="003D46C7" w:rsidRDefault="003D46C7">
      <w:pPr>
        <w:pStyle w:val="TableofFigures"/>
        <w:tabs>
          <w:tab w:val="right" w:leader="dot" w:pos="9350"/>
        </w:tabs>
        <w:rPr>
          <w:rFonts w:eastAsiaTheme="minorEastAsia"/>
          <w:noProof/>
          <w:lang w:val="en-US"/>
        </w:rPr>
      </w:pPr>
      <w:hyperlink w:anchor="_Toc241865224" w:history="1">
        <w:r w:rsidRPr="0063764C">
          <w:rPr>
            <w:rStyle w:val="Hyperlink"/>
            <w:rFonts w:ascii="Times New Roman" w:hAnsi="Times New Roman" w:cs="Times New Roman"/>
            <w:noProof/>
          </w:rPr>
          <w:t>Tablica 30</w:t>
        </w:r>
        <w:r w:rsidRPr="0063764C">
          <w:rPr>
            <w:rStyle w:val="Hyperlink"/>
            <w:rFonts w:ascii="Times New Roman" w:hAnsi="Times New Roman" w:cs="Times New Roman"/>
            <w:noProof/>
            <w:lang w:val="it-IT"/>
          </w:rPr>
          <w:t>: Rezultati prvog ciklusa Delphi postupka – selekcija motiva i čimbenika za drugi ciklus</w:t>
        </w:r>
        <w:r>
          <w:rPr>
            <w:noProof/>
            <w:webHidden/>
          </w:rPr>
          <w:tab/>
        </w:r>
        <w:r>
          <w:rPr>
            <w:noProof/>
            <w:webHidden/>
          </w:rPr>
          <w:fldChar w:fldCharType="begin"/>
        </w:r>
        <w:r>
          <w:rPr>
            <w:noProof/>
            <w:webHidden/>
          </w:rPr>
          <w:instrText xml:space="preserve"> PAGEREF _Toc241865224 \h </w:instrText>
        </w:r>
        <w:r>
          <w:rPr>
            <w:noProof/>
            <w:webHidden/>
          </w:rPr>
        </w:r>
        <w:r>
          <w:rPr>
            <w:noProof/>
            <w:webHidden/>
          </w:rPr>
          <w:fldChar w:fldCharType="separate"/>
        </w:r>
        <w:r>
          <w:rPr>
            <w:noProof/>
            <w:webHidden/>
          </w:rPr>
          <w:t>233</w:t>
        </w:r>
        <w:r>
          <w:rPr>
            <w:noProof/>
            <w:webHidden/>
          </w:rPr>
          <w:fldChar w:fldCharType="end"/>
        </w:r>
      </w:hyperlink>
    </w:p>
    <w:p w14:paraId="09A8AD21" w14:textId="3C1EB77C" w:rsidR="003D46C7" w:rsidRDefault="003D46C7">
      <w:pPr>
        <w:pStyle w:val="TableofFigures"/>
        <w:tabs>
          <w:tab w:val="right" w:leader="dot" w:pos="9350"/>
        </w:tabs>
        <w:rPr>
          <w:rFonts w:eastAsiaTheme="minorEastAsia"/>
          <w:noProof/>
          <w:lang w:val="en-US"/>
        </w:rPr>
      </w:pPr>
      <w:hyperlink w:anchor="_Toc241865225" w:history="1">
        <w:r w:rsidRPr="0063764C">
          <w:rPr>
            <w:rStyle w:val="Hyperlink"/>
            <w:rFonts w:ascii="Times New Roman" w:hAnsi="Times New Roman" w:cs="Times New Roman"/>
            <w:noProof/>
          </w:rPr>
          <w:t xml:space="preserve">Tablica 31: </w:t>
        </w:r>
        <w:r w:rsidRPr="0063764C">
          <w:rPr>
            <w:rStyle w:val="Hyperlink"/>
            <w:rFonts w:ascii="Times New Roman" w:hAnsi="Times New Roman" w:cs="Times New Roman"/>
            <w:noProof/>
            <w:lang w:val="it-IT"/>
          </w:rPr>
          <w:t>Sumarni prikaz rezultata drugog ciklusa Delphi postupka – aritmetička sredina i linearno ponderirani indeks suglasnosti po fazama procesa</w:t>
        </w:r>
        <w:r>
          <w:rPr>
            <w:noProof/>
            <w:webHidden/>
          </w:rPr>
          <w:tab/>
        </w:r>
        <w:r>
          <w:rPr>
            <w:noProof/>
            <w:webHidden/>
          </w:rPr>
          <w:fldChar w:fldCharType="begin"/>
        </w:r>
        <w:r>
          <w:rPr>
            <w:noProof/>
            <w:webHidden/>
          </w:rPr>
          <w:instrText xml:space="preserve"> PAGEREF _Toc241865225 \h </w:instrText>
        </w:r>
        <w:r>
          <w:rPr>
            <w:noProof/>
            <w:webHidden/>
          </w:rPr>
        </w:r>
        <w:r>
          <w:rPr>
            <w:noProof/>
            <w:webHidden/>
          </w:rPr>
          <w:fldChar w:fldCharType="separate"/>
        </w:r>
        <w:r>
          <w:rPr>
            <w:noProof/>
            <w:webHidden/>
          </w:rPr>
          <w:t>237</w:t>
        </w:r>
        <w:r>
          <w:rPr>
            <w:noProof/>
            <w:webHidden/>
          </w:rPr>
          <w:fldChar w:fldCharType="end"/>
        </w:r>
      </w:hyperlink>
    </w:p>
    <w:p w14:paraId="270687FB" w14:textId="2AA65B48" w:rsidR="003D46C7" w:rsidRDefault="003D46C7">
      <w:pPr>
        <w:pStyle w:val="TableofFigures"/>
        <w:tabs>
          <w:tab w:val="right" w:leader="dot" w:pos="9350"/>
        </w:tabs>
        <w:rPr>
          <w:rFonts w:eastAsiaTheme="minorEastAsia"/>
          <w:noProof/>
          <w:lang w:val="en-US"/>
        </w:rPr>
      </w:pPr>
      <w:hyperlink w:anchor="_Toc241865226" w:history="1">
        <w:r w:rsidRPr="0063764C">
          <w:rPr>
            <w:rStyle w:val="Hyperlink"/>
            <w:rFonts w:ascii="Times New Roman" w:hAnsi="Times New Roman" w:cs="Times New Roman"/>
            <w:noProof/>
          </w:rPr>
          <w:t>Tablica 32: Hijerarhija motiva za pokretanje procesa spajanja i preuzimanja prema rezultatima drugog ciklusa Delphi postupka</w:t>
        </w:r>
        <w:r>
          <w:rPr>
            <w:noProof/>
            <w:webHidden/>
          </w:rPr>
          <w:tab/>
        </w:r>
        <w:r>
          <w:rPr>
            <w:noProof/>
            <w:webHidden/>
          </w:rPr>
          <w:fldChar w:fldCharType="begin"/>
        </w:r>
        <w:r>
          <w:rPr>
            <w:noProof/>
            <w:webHidden/>
          </w:rPr>
          <w:instrText xml:space="preserve"> PAGEREF _Toc241865226 \h </w:instrText>
        </w:r>
        <w:r>
          <w:rPr>
            <w:noProof/>
            <w:webHidden/>
          </w:rPr>
        </w:r>
        <w:r>
          <w:rPr>
            <w:noProof/>
            <w:webHidden/>
          </w:rPr>
          <w:fldChar w:fldCharType="separate"/>
        </w:r>
        <w:r>
          <w:rPr>
            <w:noProof/>
            <w:webHidden/>
          </w:rPr>
          <w:t>241</w:t>
        </w:r>
        <w:r>
          <w:rPr>
            <w:noProof/>
            <w:webHidden/>
          </w:rPr>
          <w:fldChar w:fldCharType="end"/>
        </w:r>
      </w:hyperlink>
    </w:p>
    <w:p w14:paraId="409B7C7A" w14:textId="4DC4E480" w:rsidR="003D46C7" w:rsidRDefault="003D46C7">
      <w:pPr>
        <w:pStyle w:val="TableofFigures"/>
        <w:tabs>
          <w:tab w:val="right" w:leader="dot" w:pos="9350"/>
        </w:tabs>
        <w:rPr>
          <w:rFonts w:eastAsiaTheme="minorEastAsia"/>
          <w:noProof/>
          <w:lang w:val="en-US"/>
        </w:rPr>
      </w:pPr>
      <w:hyperlink w:anchor="_Toc241865227" w:history="1">
        <w:r w:rsidRPr="0063764C">
          <w:rPr>
            <w:rStyle w:val="Hyperlink"/>
            <w:rFonts w:ascii="Times New Roman" w:hAnsi="Times New Roman" w:cs="Times New Roman"/>
            <w:noProof/>
          </w:rPr>
          <w:t>Tablica 33</w:t>
        </w:r>
        <w:r w:rsidRPr="0063764C">
          <w:rPr>
            <w:rStyle w:val="Hyperlink"/>
            <w:rFonts w:ascii="Times New Roman" w:hAnsi="Times New Roman" w:cs="Times New Roman"/>
            <w:noProof/>
            <w:lang w:val="it-IT"/>
          </w:rPr>
          <w:t xml:space="preserve">: </w:t>
        </w:r>
        <w:r w:rsidRPr="0063764C">
          <w:rPr>
            <w:rStyle w:val="Hyperlink"/>
            <w:rFonts w:ascii="Times New Roman" w:hAnsi="Times New Roman" w:cs="Times New Roman"/>
            <w:noProof/>
          </w:rPr>
          <w:t>Hijerarhija ključnih čimbenika uspjeha u fazi koja prethodi preuzimanju poduzeća mete prema rezultatima drugog ciklusa Delphi postupka</w:t>
        </w:r>
        <w:r>
          <w:rPr>
            <w:noProof/>
            <w:webHidden/>
          </w:rPr>
          <w:tab/>
        </w:r>
        <w:r>
          <w:rPr>
            <w:noProof/>
            <w:webHidden/>
          </w:rPr>
          <w:fldChar w:fldCharType="begin"/>
        </w:r>
        <w:r>
          <w:rPr>
            <w:noProof/>
            <w:webHidden/>
          </w:rPr>
          <w:instrText xml:space="preserve"> PAGEREF _Toc241865227 \h </w:instrText>
        </w:r>
        <w:r>
          <w:rPr>
            <w:noProof/>
            <w:webHidden/>
          </w:rPr>
        </w:r>
        <w:r>
          <w:rPr>
            <w:noProof/>
            <w:webHidden/>
          </w:rPr>
          <w:fldChar w:fldCharType="separate"/>
        </w:r>
        <w:r>
          <w:rPr>
            <w:noProof/>
            <w:webHidden/>
          </w:rPr>
          <w:t>243</w:t>
        </w:r>
        <w:r>
          <w:rPr>
            <w:noProof/>
            <w:webHidden/>
          </w:rPr>
          <w:fldChar w:fldCharType="end"/>
        </w:r>
      </w:hyperlink>
    </w:p>
    <w:p w14:paraId="28033B6C" w14:textId="341FCCC7" w:rsidR="003D46C7" w:rsidRDefault="003D46C7">
      <w:pPr>
        <w:pStyle w:val="TableofFigures"/>
        <w:tabs>
          <w:tab w:val="right" w:leader="dot" w:pos="9350"/>
        </w:tabs>
        <w:rPr>
          <w:rFonts w:eastAsiaTheme="minorEastAsia"/>
          <w:noProof/>
          <w:lang w:val="en-US"/>
        </w:rPr>
      </w:pPr>
      <w:hyperlink w:anchor="_Toc241865228" w:history="1">
        <w:r w:rsidRPr="0063764C">
          <w:rPr>
            <w:rStyle w:val="Hyperlink"/>
            <w:rFonts w:ascii="Times New Roman" w:hAnsi="Times New Roman" w:cs="Times New Roman"/>
            <w:noProof/>
          </w:rPr>
          <w:t>Tablica 34: Hijerarhija ključnih čimbenika uspjeha u fazi integracije prema rezultatima drugog ciklusa Delphi postupka</w:t>
        </w:r>
        <w:r>
          <w:rPr>
            <w:noProof/>
            <w:webHidden/>
          </w:rPr>
          <w:tab/>
        </w:r>
        <w:r>
          <w:rPr>
            <w:noProof/>
            <w:webHidden/>
          </w:rPr>
          <w:fldChar w:fldCharType="begin"/>
        </w:r>
        <w:r>
          <w:rPr>
            <w:noProof/>
            <w:webHidden/>
          </w:rPr>
          <w:instrText xml:space="preserve"> PAGEREF _Toc241865228 \h </w:instrText>
        </w:r>
        <w:r>
          <w:rPr>
            <w:noProof/>
            <w:webHidden/>
          </w:rPr>
        </w:r>
        <w:r>
          <w:rPr>
            <w:noProof/>
            <w:webHidden/>
          </w:rPr>
          <w:fldChar w:fldCharType="separate"/>
        </w:r>
        <w:r>
          <w:rPr>
            <w:noProof/>
            <w:webHidden/>
          </w:rPr>
          <w:t>247</w:t>
        </w:r>
        <w:r>
          <w:rPr>
            <w:noProof/>
            <w:webHidden/>
          </w:rPr>
          <w:fldChar w:fldCharType="end"/>
        </w:r>
      </w:hyperlink>
    </w:p>
    <w:p w14:paraId="1F0B75AE" w14:textId="34E3176B" w:rsidR="003D46C7" w:rsidRDefault="003D46C7">
      <w:pPr>
        <w:pStyle w:val="TableofFigures"/>
        <w:tabs>
          <w:tab w:val="right" w:leader="dot" w:pos="9350"/>
        </w:tabs>
        <w:rPr>
          <w:rFonts w:eastAsiaTheme="minorEastAsia"/>
          <w:noProof/>
          <w:lang w:val="en-US"/>
        </w:rPr>
      </w:pPr>
      <w:hyperlink w:anchor="_Toc241865229" w:history="1">
        <w:r w:rsidRPr="0063764C">
          <w:rPr>
            <w:rStyle w:val="Hyperlink"/>
            <w:rFonts w:ascii="Times New Roman" w:hAnsi="Times New Roman" w:cs="Times New Roman"/>
            <w:noProof/>
          </w:rPr>
          <w:t>Tablica 35: Hijerarhija ključnih čimbenika uspjeha u postakvizicijskoj fazi prema rezultatima drugog ciklusa Delphi postupka</w:t>
        </w:r>
        <w:r>
          <w:rPr>
            <w:noProof/>
            <w:webHidden/>
          </w:rPr>
          <w:tab/>
        </w:r>
        <w:r>
          <w:rPr>
            <w:noProof/>
            <w:webHidden/>
          </w:rPr>
          <w:fldChar w:fldCharType="begin"/>
        </w:r>
        <w:r>
          <w:rPr>
            <w:noProof/>
            <w:webHidden/>
          </w:rPr>
          <w:instrText xml:space="preserve"> PAGEREF _Toc241865229 \h </w:instrText>
        </w:r>
        <w:r>
          <w:rPr>
            <w:noProof/>
            <w:webHidden/>
          </w:rPr>
        </w:r>
        <w:r>
          <w:rPr>
            <w:noProof/>
            <w:webHidden/>
          </w:rPr>
          <w:fldChar w:fldCharType="separate"/>
        </w:r>
        <w:r>
          <w:rPr>
            <w:noProof/>
            <w:webHidden/>
          </w:rPr>
          <w:t>251</w:t>
        </w:r>
        <w:r>
          <w:rPr>
            <w:noProof/>
            <w:webHidden/>
          </w:rPr>
          <w:fldChar w:fldCharType="end"/>
        </w:r>
      </w:hyperlink>
    </w:p>
    <w:p w14:paraId="15AE46B7" w14:textId="50FBCE1D" w:rsidR="003D46C7" w:rsidRDefault="003D46C7">
      <w:pPr>
        <w:pStyle w:val="TableofFigures"/>
        <w:tabs>
          <w:tab w:val="right" w:leader="dot" w:pos="9350"/>
        </w:tabs>
        <w:rPr>
          <w:rFonts w:eastAsiaTheme="minorEastAsia"/>
          <w:noProof/>
          <w:lang w:val="en-US"/>
        </w:rPr>
      </w:pPr>
      <w:hyperlink w:anchor="_Toc241865230" w:history="1">
        <w:r w:rsidRPr="0063764C">
          <w:rPr>
            <w:rStyle w:val="Hyperlink"/>
            <w:rFonts w:ascii="Times New Roman" w:hAnsi="Times New Roman" w:cs="Times New Roman"/>
            <w:noProof/>
          </w:rPr>
          <w:t>Tablica 36: Motivi i čimbenici uključeni u anketni upitnik na temelju rezultata drugog ciklusa Delphi postupka</w:t>
        </w:r>
        <w:r>
          <w:rPr>
            <w:noProof/>
            <w:webHidden/>
          </w:rPr>
          <w:tab/>
        </w:r>
        <w:r>
          <w:rPr>
            <w:noProof/>
            <w:webHidden/>
          </w:rPr>
          <w:fldChar w:fldCharType="begin"/>
        </w:r>
        <w:r>
          <w:rPr>
            <w:noProof/>
            <w:webHidden/>
          </w:rPr>
          <w:instrText xml:space="preserve"> PAGEREF _Toc241865230 \h </w:instrText>
        </w:r>
        <w:r>
          <w:rPr>
            <w:noProof/>
            <w:webHidden/>
          </w:rPr>
        </w:r>
        <w:r>
          <w:rPr>
            <w:noProof/>
            <w:webHidden/>
          </w:rPr>
          <w:fldChar w:fldCharType="separate"/>
        </w:r>
        <w:r>
          <w:rPr>
            <w:noProof/>
            <w:webHidden/>
          </w:rPr>
          <w:t>255</w:t>
        </w:r>
        <w:r>
          <w:rPr>
            <w:noProof/>
            <w:webHidden/>
          </w:rPr>
          <w:fldChar w:fldCharType="end"/>
        </w:r>
      </w:hyperlink>
    </w:p>
    <w:p w14:paraId="59DB9E4A" w14:textId="143A6FD3" w:rsidR="003D46C7" w:rsidRDefault="003D46C7">
      <w:pPr>
        <w:pStyle w:val="TableofFigures"/>
        <w:tabs>
          <w:tab w:val="right" w:leader="dot" w:pos="9350"/>
        </w:tabs>
        <w:rPr>
          <w:rFonts w:eastAsiaTheme="minorEastAsia"/>
          <w:noProof/>
          <w:lang w:val="en-US"/>
        </w:rPr>
      </w:pPr>
      <w:hyperlink w:anchor="_Toc241865231" w:history="1">
        <w:r w:rsidRPr="0063764C">
          <w:rPr>
            <w:rStyle w:val="Hyperlink"/>
            <w:rFonts w:ascii="Times New Roman" w:hAnsi="Times New Roman" w:cs="Times New Roman"/>
            <w:noProof/>
          </w:rPr>
          <w:t>Tablica 37: Hijerarhija motiva spajanja i preuzimanja prema procjenama ispitanika iz hotelskih poduzeća</w:t>
        </w:r>
        <w:r>
          <w:rPr>
            <w:noProof/>
            <w:webHidden/>
          </w:rPr>
          <w:tab/>
        </w:r>
        <w:r>
          <w:rPr>
            <w:noProof/>
            <w:webHidden/>
          </w:rPr>
          <w:fldChar w:fldCharType="begin"/>
        </w:r>
        <w:r>
          <w:rPr>
            <w:noProof/>
            <w:webHidden/>
          </w:rPr>
          <w:instrText xml:space="preserve"> PAGEREF _Toc241865231 \h </w:instrText>
        </w:r>
        <w:r>
          <w:rPr>
            <w:noProof/>
            <w:webHidden/>
          </w:rPr>
        </w:r>
        <w:r>
          <w:rPr>
            <w:noProof/>
            <w:webHidden/>
          </w:rPr>
          <w:fldChar w:fldCharType="separate"/>
        </w:r>
        <w:r>
          <w:rPr>
            <w:noProof/>
            <w:webHidden/>
          </w:rPr>
          <w:t>258</w:t>
        </w:r>
        <w:r>
          <w:rPr>
            <w:noProof/>
            <w:webHidden/>
          </w:rPr>
          <w:fldChar w:fldCharType="end"/>
        </w:r>
      </w:hyperlink>
    </w:p>
    <w:p w14:paraId="5954657B" w14:textId="6A663188" w:rsidR="003D46C7" w:rsidRDefault="003D46C7">
      <w:pPr>
        <w:pStyle w:val="TableofFigures"/>
        <w:tabs>
          <w:tab w:val="right" w:leader="dot" w:pos="9350"/>
        </w:tabs>
        <w:rPr>
          <w:rFonts w:eastAsiaTheme="minorEastAsia"/>
          <w:noProof/>
          <w:lang w:val="en-US"/>
        </w:rPr>
      </w:pPr>
      <w:hyperlink w:anchor="_Toc241865232" w:history="1">
        <w:r w:rsidRPr="0063764C">
          <w:rPr>
            <w:rStyle w:val="Hyperlink"/>
            <w:rFonts w:ascii="Times New Roman" w:hAnsi="Times New Roman" w:cs="Times New Roman"/>
            <w:noProof/>
          </w:rPr>
          <w:t>Tablica 38: Hijerarhija ključnih čimbenika uspjeha prije faze integracije prema procjenama ispitanika iz hotelskih poduzeća</w:t>
        </w:r>
        <w:r>
          <w:rPr>
            <w:noProof/>
            <w:webHidden/>
          </w:rPr>
          <w:tab/>
        </w:r>
        <w:r>
          <w:rPr>
            <w:noProof/>
            <w:webHidden/>
          </w:rPr>
          <w:fldChar w:fldCharType="begin"/>
        </w:r>
        <w:r>
          <w:rPr>
            <w:noProof/>
            <w:webHidden/>
          </w:rPr>
          <w:instrText xml:space="preserve"> PAGEREF _Toc241865232 \h </w:instrText>
        </w:r>
        <w:r>
          <w:rPr>
            <w:noProof/>
            <w:webHidden/>
          </w:rPr>
        </w:r>
        <w:r>
          <w:rPr>
            <w:noProof/>
            <w:webHidden/>
          </w:rPr>
          <w:fldChar w:fldCharType="separate"/>
        </w:r>
        <w:r>
          <w:rPr>
            <w:noProof/>
            <w:webHidden/>
          </w:rPr>
          <w:t>259</w:t>
        </w:r>
        <w:r>
          <w:rPr>
            <w:noProof/>
            <w:webHidden/>
          </w:rPr>
          <w:fldChar w:fldCharType="end"/>
        </w:r>
      </w:hyperlink>
    </w:p>
    <w:p w14:paraId="15C60F68" w14:textId="032C27F2" w:rsidR="003D46C7" w:rsidRDefault="003D46C7">
      <w:pPr>
        <w:pStyle w:val="TableofFigures"/>
        <w:tabs>
          <w:tab w:val="right" w:leader="dot" w:pos="9350"/>
        </w:tabs>
        <w:rPr>
          <w:rFonts w:eastAsiaTheme="minorEastAsia"/>
          <w:noProof/>
          <w:lang w:val="en-US"/>
        </w:rPr>
      </w:pPr>
      <w:hyperlink w:anchor="_Toc241865233" w:history="1">
        <w:r w:rsidRPr="0063764C">
          <w:rPr>
            <w:rStyle w:val="Hyperlink"/>
            <w:rFonts w:ascii="Times New Roman" w:hAnsi="Times New Roman" w:cs="Times New Roman"/>
            <w:noProof/>
          </w:rPr>
          <w:t>Tablica 39: Hijerarhija ključnih čimbenika uspjeha u fazi integracije prema procjenama ispitanika iz hotelskih poduzeća</w:t>
        </w:r>
        <w:r>
          <w:rPr>
            <w:noProof/>
            <w:webHidden/>
          </w:rPr>
          <w:tab/>
        </w:r>
        <w:r>
          <w:rPr>
            <w:noProof/>
            <w:webHidden/>
          </w:rPr>
          <w:fldChar w:fldCharType="begin"/>
        </w:r>
        <w:r>
          <w:rPr>
            <w:noProof/>
            <w:webHidden/>
          </w:rPr>
          <w:instrText xml:space="preserve"> PAGEREF _Toc241865233 \h </w:instrText>
        </w:r>
        <w:r>
          <w:rPr>
            <w:noProof/>
            <w:webHidden/>
          </w:rPr>
        </w:r>
        <w:r>
          <w:rPr>
            <w:noProof/>
            <w:webHidden/>
          </w:rPr>
          <w:fldChar w:fldCharType="separate"/>
        </w:r>
        <w:r>
          <w:rPr>
            <w:noProof/>
            <w:webHidden/>
          </w:rPr>
          <w:t>263</w:t>
        </w:r>
        <w:r>
          <w:rPr>
            <w:noProof/>
            <w:webHidden/>
          </w:rPr>
          <w:fldChar w:fldCharType="end"/>
        </w:r>
      </w:hyperlink>
    </w:p>
    <w:p w14:paraId="6A49B596" w14:textId="74A458F8" w:rsidR="003D46C7" w:rsidRDefault="003D46C7">
      <w:pPr>
        <w:pStyle w:val="TableofFigures"/>
        <w:tabs>
          <w:tab w:val="right" w:leader="dot" w:pos="9350"/>
        </w:tabs>
        <w:rPr>
          <w:rFonts w:eastAsiaTheme="minorEastAsia"/>
          <w:noProof/>
          <w:lang w:val="en-US"/>
        </w:rPr>
      </w:pPr>
      <w:hyperlink w:anchor="_Toc241865234" w:history="1">
        <w:r w:rsidRPr="0063764C">
          <w:rPr>
            <w:rStyle w:val="Hyperlink"/>
            <w:rFonts w:ascii="Times New Roman" w:hAnsi="Times New Roman" w:cs="Times New Roman"/>
            <w:noProof/>
          </w:rPr>
          <w:t>Tablica 40</w:t>
        </w:r>
        <w:r w:rsidRPr="0063764C">
          <w:rPr>
            <w:rStyle w:val="Hyperlink"/>
            <w:rFonts w:ascii="Times New Roman" w:hAnsi="Times New Roman" w:cs="Times New Roman"/>
            <w:noProof/>
            <w:lang w:val="it-IT"/>
          </w:rPr>
          <w:t>: Hijerarhija ključnih čimbenika uspjeha nakon integracije (u postakvizicijskoj fazi) prema procjenama ispitanika iz hotelskih poduzeća</w:t>
        </w:r>
        <w:r>
          <w:rPr>
            <w:noProof/>
            <w:webHidden/>
          </w:rPr>
          <w:tab/>
        </w:r>
        <w:r>
          <w:rPr>
            <w:noProof/>
            <w:webHidden/>
          </w:rPr>
          <w:fldChar w:fldCharType="begin"/>
        </w:r>
        <w:r>
          <w:rPr>
            <w:noProof/>
            <w:webHidden/>
          </w:rPr>
          <w:instrText xml:space="preserve"> PAGEREF _Toc241865234 \h </w:instrText>
        </w:r>
        <w:r>
          <w:rPr>
            <w:noProof/>
            <w:webHidden/>
          </w:rPr>
        </w:r>
        <w:r>
          <w:rPr>
            <w:noProof/>
            <w:webHidden/>
          </w:rPr>
          <w:fldChar w:fldCharType="separate"/>
        </w:r>
        <w:r>
          <w:rPr>
            <w:noProof/>
            <w:webHidden/>
          </w:rPr>
          <w:t>266</w:t>
        </w:r>
        <w:r>
          <w:rPr>
            <w:noProof/>
            <w:webHidden/>
          </w:rPr>
          <w:fldChar w:fldCharType="end"/>
        </w:r>
      </w:hyperlink>
    </w:p>
    <w:p w14:paraId="28C82D29" w14:textId="59B87B7B" w:rsidR="003D46C7" w:rsidRDefault="003D46C7">
      <w:pPr>
        <w:pStyle w:val="TableofFigures"/>
        <w:tabs>
          <w:tab w:val="right" w:leader="dot" w:pos="9350"/>
        </w:tabs>
        <w:rPr>
          <w:rFonts w:eastAsiaTheme="minorEastAsia"/>
          <w:noProof/>
          <w:lang w:val="en-US"/>
        </w:rPr>
      </w:pPr>
      <w:hyperlink w:anchor="_Toc241865235" w:history="1">
        <w:r w:rsidRPr="0063764C">
          <w:rPr>
            <w:rStyle w:val="Hyperlink"/>
            <w:rFonts w:ascii="Times New Roman" w:hAnsi="Times New Roman" w:cs="Times New Roman"/>
            <w:noProof/>
          </w:rPr>
          <w:t>Tablica 41: Sumarni prikaz procjena ispitanika iz hotelskih poduzeća – aritmetička sredina i linearno ponderirani indeks suglasnosti po fazama procesa spajanja i preuzimanja</w:t>
        </w:r>
        <w:r>
          <w:rPr>
            <w:noProof/>
            <w:webHidden/>
          </w:rPr>
          <w:tab/>
        </w:r>
        <w:r>
          <w:rPr>
            <w:noProof/>
            <w:webHidden/>
          </w:rPr>
          <w:fldChar w:fldCharType="begin"/>
        </w:r>
        <w:r>
          <w:rPr>
            <w:noProof/>
            <w:webHidden/>
          </w:rPr>
          <w:instrText xml:space="preserve"> PAGEREF _Toc241865235 \h </w:instrText>
        </w:r>
        <w:r>
          <w:rPr>
            <w:noProof/>
            <w:webHidden/>
          </w:rPr>
        </w:r>
        <w:r>
          <w:rPr>
            <w:noProof/>
            <w:webHidden/>
          </w:rPr>
          <w:fldChar w:fldCharType="separate"/>
        </w:r>
        <w:r>
          <w:rPr>
            <w:noProof/>
            <w:webHidden/>
          </w:rPr>
          <w:t>271</w:t>
        </w:r>
        <w:r>
          <w:rPr>
            <w:noProof/>
            <w:webHidden/>
          </w:rPr>
          <w:fldChar w:fldCharType="end"/>
        </w:r>
      </w:hyperlink>
    </w:p>
    <w:p w14:paraId="2279466D" w14:textId="5D2B0C88" w:rsidR="003D46C7" w:rsidRDefault="003D46C7">
      <w:pPr>
        <w:pStyle w:val="TableofFigures"/>
        <w:tabs>
          <w:tab w:val="right" w:leader="dot" w:pos="9350"/>
        </w:tabs>
        <w:rPr>
          <w:rFonts w:eastAsiaTheme="minorEastAsia"/>
          <w:noProof/>
          <w:lang w:val="en-US"/>
        </w:rPr>
      </w:pPr>
      <w:hyperlink w:anchor="_Toc241865236" w:history="1">
        <w:r w:rsidRPr="0063764C">
          <w:rPr>
            <w:rStyle w:val="Hyperlink"/>
            <w:rFonts w:ascii="Times New Roman" w:hAnsi="Times New Roman" w:cs="Times New Roman"/>
            <w:noProof/>
          </w:rPr>
          <w:t>Tablica 42: Usporedni prikaz ekspertne i menadžerske procjene ključnih motiva i čimbenika uspjeha procesa spajanja i preuzimanja</w:t>
        </w:r>
        <w:r>
          <w:rPr>
            <w:noProof/>
            <w:webHidden/>
          </w:rPr>
          <w:tab/>
        </w:r>
        <w:r>
          <w:rPr>
            <w:noProof/>
            <w:webHidden/>
          </w:rPr>
          <w:fldChar w:fldCharType="begin"/>
        </w:r>
        <w:r>
          <w:rPr>
            <w:noProof/>
            <w:webHidden/>
          </w:rPr>
          <w:instrText xml:space="preserve"> PAGEREF _Toc241865236 \h </w:instrText>
        </w:r>
        <w:r>
          <w:rPr>
            <w:noProof/>
            <w:webHidden/>
          </w:rPr>
        </w:r>
        <w:r>
          <w:rPr>
            <w:noProof/>
            <w:webHidden/>
          </w:rPr>
          <w:fldChar w:fldCharType="separate"/>
        </w:r>
        <w:r>
          <w:rPr>
            <w:noProof/>
            <w:webHidden/>
          </w:rPr>
          <w:t>273</w:t>
        </w:r>
        <w:r>
          <w:rPr>
            <w:noProof/>
            <w:webHidden/>
          </w:rPr>
          <w:fldChar w:fldCharType="end"/>
        </w:r>
      </w:hyperlink>
    </w:p>
    <w:p w14:paraId="218F96D8" w14:textId="64DE9BC7" w:rsidR="003D46C7" w:rsidRDefault="003D46C7">
      <w:pPr>
        <w:pStyle w:val="TableofFigures"/>
        <w:tabs>
          <w:tab w:val="right" w:leader="dot" w:pos="9350"/>
        </w:tabs>
        <w:rPr>
          <w:rFonts w:eastAsiaTheme="minorEastAsia"/>
          <w:noProof/>
          <w:lang w:val="en-US"/>
        </w:rPr>
      </w:pPr>
      <w:hyperlink w:anchor="_Toc241865237" w:history="1">
        <w:r w:rsidRPr="0063764C">
          <w:rPr>
            <w:rStyle w:val="Hyperlink"/>
            <w:rFonts w:ascii="Times New Roman" w:hAnsi="Times New Roman" w:cs="Times New Roman"/>
            <w:noProof/>
          </w:rPr>
          <w:t>Tablica 43</w:t>
        </w:r>
        <w:r w:rsidRPr="0063764C">
          <w:rPr>
            <w:rStyle w:val="Hyperlink"/>
            <w:rFonts w:ascii="Times New Roman" w:hAnsi="Times New Roman" w:cs="Times New Roman"/>
            <w:bCs/>
            <w:noProof/>
          </w:rPr>
          <w:t>: Najviše rangirani čimbenici uspjeha u fazi prije preuzimanja – usporedba ekspertne i menadžerske procjene</w:t>
        </w:r>
        <w:r>
          <w:rPr>
            <w:noProof/>
            <w:webHidden/>
          </w:rPr>
          <w:tab/>
        </w:r>
        <w:r>
          <w:rPr>
            <w:noProof/>
            <w:webHidden/>
          </w:rPr>
          <w:fldChar w:fldCharType="begin"/>
        </w:r>
        <w:r>
          <w:rPr>
            <w:noProof/>
            <w:webHidden/>
          </w:rPr>
          <w:instrText xml:space="preserve"> PAGEREF _Toc241865237 \h </w:instrText>
        </w:r>
        <w:r>
          <w:rPr>
            <w:noProof/>
            <w:webHidden/>
          </w:rPr>
        </w:r>
        <w:r>
          <w:rPr>
            <w:noProof/>
            <w:webHidden/>
          </w:rPr>
          <w:fldChar w:fldCharType="separate"/>
        </w:r>
        <w:r>
          <w:rPr>
            <w:noProof/>
            <w:webHidden/>
          </w:rPr>
          <w:t>275</w:t>
        </w:r>
        <w:r>
          <w:rPr>
            <w:noProof/>
            <w:webHidden/>
          </w:rPr>
          <w:fldChar w:fldCharType="end"/>
        </w:r>
      </w:hyperlink>
    </w:p>
    <w:p w14:paraId="1C9AAEBE" w14:textId="1EE19ECE" w:rsidR="003D46C7" w:rsidRDefault="003D46C7">
      <w:pPr>
        <w:pStyle w:val="TableofFigures"/>
        <w:tabs>
          <w:tab w:val="right" w:leader="dot" w:pos="9350"/>
        </w:tabs>
        <w:rPr>
          <w:rFonts w:eastAsiaTheme="minorEastAsia"/>
          <w:noProof/>
          <w:lang w:val="en-US"/>
        </w:rPr>
      </w:pPr>
      <w:hyperlink w:anchor="_Toc241865238" w:history="1">
        <w:r w:rsidRPr="0063764C">
          <w:rPr>
            <w:rStyle w:val="Hyperlink"/>
            <w:rFonts w:ascii="Times New Roman" w:hAnsi="Times New Roman" w:cs="Times New Roman"/>
            <w:noProof/>
          </w:rPr>
          <w:t>Tablica 44: Najviše rangirani čimbenici uspjeha u fazi integracije – usporedba ekspertne i menadžerske procjene</w:t>
        </w:r>
        <w:r>
          <w:rPr>
            <w:noProof/>
            <w:webHidden/>
          </w:rPr>
          <w:tab/>
        </w:r>
        <w:r>
          <w:rPr>
            <w:noProof/>
            <w:webHidden/>
          </w:rPr>
          <w:fldChar w:fldCharType="begin"/>
        </w:r>
        <w:r>
          <w:rPr>
            <w:noProof/>
            <w:webHidden/>
          </w:rPr>
          <w:instrText xml:space="preserve"> PAGEREF _Toc241865238 \h </w:instrText>
        </w:r>
        <w:r>
          <w:rPr>
            <w:noProof/>
            <w:webHidden/>
          </w:rPr>
        </w:r>
        <w:r>
          <w:rPr>
            <w:noProof/>
            <w:webHidden/>
          </w:rPr>
          <w:fldChar w:fldCharType="separate"/>
        </w:r>
        <w:r>
          <w:rPr>
            <w:noProof/>
            <w:webHidden/>
          </w:rPr>
          <w:t>276</w:t>
        </w:r>
        <w:r>
          <w:rPr>
            <w:noProof/>
            <w:webHidden/>
          </w:rPr>
          <w:fldChar w:fldCharType="end"/>
        </w:r>
      </w:hyperlink>
    </w:p>
    <w:p w14:paraId="752E736E" w14:textId="515995FB" w:rsidR="003D46C7" w:rsidRDefault="003D46C7">
      <w:pPr>
        <w:pStyle w:val="TableofFigures"/>
        <w:tabs>
          <w:tab w:val="right" w:leader="dot" w:pos="9350"/>
        </w:tabs>
        <w:rPr>
          <w:rFonts w:eastAsiaTheme="minorEastAsia"/>
          <w:noProof/>
          <w:lang w:val="en-US"/>
        </w:rPr>
      </w:pPr>
      <w:hyperlink w:anchor="_Toc241865239" w:history="1">
        <w:r w:rsidRPr="0063764C">
          <w:rPr>
            <w:rStyle w:val="Hyperlink"/>
            <w:rFonts w:ascii="Times New Roman" w:hAnsi="Times New Roman" w:cs="Times New Roman"/>
            <w:noProof/>
          </w:rPr>
          <w:t>Tablica 45: Usporedba ukupnih linearno ponderiranih indeksa suglasnosti ekspertne i menadžerske procjene</w:t>
        </w:r>
        <w:r>
          <w:rPr>
            <w:noProof/>
            <w:webHidden/>
          </w:rPr>
          <w:tab/>
        </w:r>
        <w:r>
          <w:rPr>
            <w:noProof/>
            <w:webHidden/>
          </w:rPr>
          <w:fldChar w:fldCharType="begin"/>
        </w:r>
        <w:r>
          <w:rPr>
            <w:noProof/>
            <w:webHidden/>
          </w:rPr>
          <w:instrText xml:space="preserve"> PAGEREF _Toc241865239 \h </w:instrText>
        </w:r>
        <w:r>
          <w:rPr>
            <w:noProof/>
            <w:webHidden/>
          </w:rPr>
        </w:r>
        <w:r>
          <w:rPr>
            <w:noProof/>
            <w:webHidden/>
          </w:rPr>
          <w:fldChar w:fldCharType="separate"/>
        </w:r>
        <w:r>
          <w:rPr>
            <w:noProof/>
            <w:webHidden/>
          </w:rPr>
          <w:t>277</w:t>
        </w:r>
        <w:r>
          <w:rPr>
            <w:noProof/>
            <w:webHidden/>
          </w:rPr>
          <w:fldChar w:fldCharType="end"/>
        </w:r>
      </w:hyperlink>
    </w:p>
    <w:p w14:paraId="120F3CF3" w14:textId="6E1C536E" w:rsidR="003D46C7" w:rsidRDefault="003D46C7">
      <w:pPr>
        <w:pStyle w:val="TableofFigures"/>
        <w:tabs>
          <w:tab w:val="right" w:leader="dot" w:pos="9350"/>
        </w:tabs>
        <w:rPr>
          <w:rFonts w:eastAsiaTheme="minorEastAsia"/>
          <w:noProof/>
          <w:lang w:val="en-US"/>
        </w:rPr>
      </w:pPr>
      <w:hyperlink w:anchor="_Toc241865240" w:history="1">
        <w:r w:rsidRPr="0063764C">
          <w:rPr>
            <w:rStyle w:val="Hyperlink"/>
            <w:rFonts w:ascii="Times New Roman" w:hAnsi="Times New Roman" w:cs="Times New Roman"/>
            <w:noProof/>
          </w:rPr>
          <w:t>Tablica 46</w:t>
        </w:r>
        <w:r w:rsidRPr="0063764C">
          <w:rPr>
            <w:rStyle w:val="Hyperlink"/>
            <w:rFonts w:ascii="Times New Roman" w:hAnsi="Times New Roman" w:cs="Times New Roman"/>
            <w:noProof/>
            <w:kern w:val="2"/>
            <w14:ligatures w14:val="standardContextual"/>
          </w:rPr>
          <w:t>: Testiranje razlike u EBITDA-i prije i nakon procesa preuzimanja poduzeća</w:t>
        </w:r>
        <w:r>
          <w:rPr>
            <w:noProof/>
            <w:webHidden/>
          </w:rPr>
          <w:tab/>
        </w:r>
        <w:r>
          <w:rPr>
            <w:noProof/>
            <w:webHidden/>
          </w:rPr>
          <w:fldChar w:fldCharType="begin"/>
        </w:r>
        <w:r>
          <w:rPr>
            <w:noProof/>
            <w:webHidden/>
          </w:rPr>
          <w:instrText xml:space="preserve"> PAGEREF _Toc241865240 \h </w:instrText>
        </w:r>
        <w:r>
          <w:rPr>
            <w:noProof/>
            <w:webHidden/>
          </w:rPr>
        </w:r>
        <w:r>
          <w:rPr>
            <w:noProof/>
            <w:webHidden/>
          </w:rPr>
          <w:fldChar w:fldCharType="separate"/>
        </w:r>
        <w:r>
          <w:rPr>
            <w:noProof/>
            <w:webHidden/>
          </w:rPr>
          <w:t>278</w:t>
        </w:r>
        <w:r>
          <w:rPr>
            <w:noProof/>
            <w:webHidden/>
          </w:rPr>
          <w:fldChar w:fldCharType="end"/>
        </w:r>
      </w:hyperlink>
    </w:p>
    <w:p w14:paraId="6DA1DEA9" w14:textId="7EDBEB5C" w:rsidR="003D46C7" w:rsidRDefault="003D46C7">
      <w:pPr>
        <w:pStyle w:val="TableofFigures"/>
        <w:tabs>
          <w:tab w:val="right" w:leader="dot" w:pos="9350"/>
        </w:tabs>
        <w:rPr>
          <w:rFonts w:eastAsiaTheme="minorEastAsia"/>
          <w:noProof/>
          <w:lang w:val="en-US"/>
        </w:rPr>
      </w:pPr>
      <w:hyperlink w:anchor="_Toc241865241" w:history="1">
        <w:r w:rsidRPr="0063764C">
          <w:rPr>
            <w:rStyle w:val="Hyperlink"/>
            <w:rFonts w:ascii="Times New Roman" w:hAnsi="Times New Roman" w:cs="Times New Roman"/>
            <w:noProof/>
          </w:rPr>
          <w:t>Tablica 47</w:t>
        </w:r>
        <w:r w:rsidRPr="0063764C">
          <w:rPr>
            <w:rStyle w:val="Hyperlink"/>
            <w:rFonts w:ascii="Times New Roman" w:hAnsi="Times New Roman" w:cs="Times New Roman"/>
            <w:noProof/>
            <w:kern w:val="2"/>
            <w14:ligatures w14:val="standardContextual"/>
          </w:rPr>
          <w:t>: Testiranje razlike u ROA-i prije i nakon procesa preuzimanja poduzeća</w:t>
        </w:r>
        <w:r>
          <w:rPr>
            <w:noProof/>
            <w:webHidden/>
          </w:rPr>
          <w:tab/>
        </w:r>
        <w:r>
          <w:rPr>
            <w:noProof/>
            <w:webHidden/>
          </w:rPr>
          <w:fldChar w:fldCharType="begin"/>
        </w:r>
        <w:r>
          <w:rPr>
            <w:noProof/>
            <w:webHidden/>
          </w:rPr>
          <w:instrText xml:space="preserve"> PAGEREF _Toc241865241 \h </w:instrText>
        </w:r>
        <w:r>
          <w:rPr>
            <w:noProof/>
            <w:webHidden/>
          </w:rPr>
        </w:r>
        <w:r>
          <w:rPr>
            <w:noProof/>
            <w:webHidden/>
          </w:rPr>
          <w:fldChar w:fldCharType="separate"/>
        </w:r>
        <w:r>
          <w:rPr>
            <w:noProof/>
            <w:webHidden/>
          </w:rPr>
          <w:t>279</w:t>
        </w:r>
        <w:r>
          <w:rPr>
            <w:noProof/>
            <w:webHidden/>
          </w:rPr>
          <w:fldChar w:fldCharType="end"/>
        </w:r>
      </w:hyperlink>
    </w:p>
    <w:p w14:paraId="75E7F5EC" w14:textId="2FDBDCFF" w:rsidR="003D46C7" w:rsidRDefault="003D46C7">
      <w:pPr>
        <w:pStyle w:val="TableofFigures"/>
        <w:tabs>
          <w:tab w:val="right" w:leader="dot" w:pos="9350"/>
        </w:tabs>
        <w:rPr>
          <w:rFonts w:eastAsiaTheme="minorEastAsia"/>
          <w:noProof/>
          <w:lang w:val="en-US"/>
        </w:rPr>
      </w:pPr>
      <w:hyperlink w:anchor="_Toc241865242" w:history="1">
        <w:r w:rsidRPr="0063764C">
          <w:rPr>
            <w:rStyle w:val="Hyperlink"/>
            <w:rFonts w:ascii="Times New Roman" w:hAnsi="Times New Roman" w:cs="Times New Roman"/>
            <w:noProof/>
          </w:rPr>
          <w:t>Tablica 48</w:t>
        </w:r>
        <w:r w:rsidRPr="0063764C">
          <w:rPr>
            <w:rStyle w:val="Hyperlink"/>
            <w:rFonts w:ascii="Times New Roman" w:hAnsi="Times New Roman" w:cs="Times New Roman"/>
            <w:noProof/>
            <w:kern w:val="2"/>
            <w14:ligatures w14:val="standardContextual"/>
          </w:rPr>
          <w:t>: Testiranje razlike u ROE-i prije i nakon procesa preuzimanja poduzeća</w:t>
        </w:r>
        <w:r>
          <w:rPr>
            <w:noProof/>
            <w:webHidden/>
          </w:rPr>
          <w:tab/>
        </w:r>
        <w:r>
          <w:rPr>
            <w:noProof/>
            <w:webHidden/>
          </w:rPr>
          <w:fldChar w:fldCharType="begin"/>
        </w:r>
        <w:r>
          <w:rPr>
            <w:noProof/>
            <w:webHidden/>
          </w:rPr>
          <w:instrText xml:space="preserve"> PAGEREF _Toc241865242 \h </w:instrText>
        </w:r>
        <w:r>
          <w:rPr>
            <w:noProof/>
            <w:webHidden/>
          </w:rPr>
        </w:r>
        <w:r>
          <w:rPr>
            <w:noProof/>
            <w:webHidden/>
          </w:rPr>
          <w:fldChar w:fldCharType="separate"/>
        </w:r>
        <w:r>
          <w:rPr>
            <w:noProof/>
            <w:webHidden/>
          </w:rPr>
          <w:t>280</w:t>
        </w:r>
        <w:r>
          <w:rPr>
            <w:noProof/>
            <w:webHidden/>
          </w:rPr>
          <w:fldChar w:fldCharType="end"/>
        </w:r>
      </w:hyperlink>
    </w:p>
    <w:p w14:paraId="5ED25ABD" w14:textId="5418725E" w:rsidR="003D46C7" w:rsidRDefault="003D46C7">
      <w:pPr>
        <w:pStyle w:val="TableofFigures"/>
        <w:tabs>
          <w:tab w:val="right" w:leader="dot" w:pos="9350"/>
        </w:tabs>
        <w:rPr>
          <w:rFonts w:eastAsiaTheme="minorEastAsia"/>
          <w:noProof/>
          <w:lang w:val="en-US"/>
        </w:rPr>
      </w:pPr>
      <w:hyperlink w:anchor="_Toc241865243" w:history="1">
        <w:r w:rsidRPr="0063764C">
          <w:rPr>
            <w:rStyle w:val="Hyperlink"/>
            <w:rFonts w:ascii="Times New Roman" w:hAnsi="Times New Roman" w:cs="Times New Roman"/>
            <w:noProof/>
          </w:rPr>
          <w:t>Tablica 49</w:t>
        </w:r>
        <w:r w:rsidRPr="0063764C">
          <w:rPr>
            <w:rStyle w:val="Hyperlink"/>
            <w:rFonts w:ascii="Times New Roman" w:hAnsi="Times New Roman" w:cs="Times New Roman"/>
            <w:noProof/>
            <w:kern w:val="2"/>
            <w14:ligatures w14:val="standardContextual"/>
          </w:rPr>
          <w:t>: Testiranje razlike u bruto profitnoj marži prije i nakon procesa preuzimanja poduzeća</w:t>
        </w:r>
        <w:r>
          <w:rPr>
            <w:noProof/>
            <w:webHidden/>
          </w:rPr>
          <w:tab/>
        </w:r>
        <w:r>
          <w:rPr>
            <w:noProof/>
            <w:webHidden/>
          </w:rPr>
          <w:fldChar w:fldCharType="begin"/>
        </w:r>
        <w:r>
          <w:rPr>
            <w:noProof/>
            <w:webHidden/>
          </w:rPr>
          <w:instrText xml:space="preserve"> PAGEREF _Toc241865243 \h </w:instrText>
        </w:r>
        <w:r>
          <w:rPr>
            <w:noProof/>
            <w:webHidden/>
          </w:rPr>
        </w:r>
        <w:r>
          <w:rPr>
            <w:noProof/>
            <w:webHidden/>
          </w:rPr>
          <w:fldChar w:fldCharType="separate"/>
        </w:r>
        <w:r>
          <w:rPr>
            <w:noProof/>
            <w:webHidden/>
          </w:rPr>
          <w:t>281</w:t>
        </w:r>
        <w:r>
          <w:rPr>
            <w:noProof/>
            <w:webHidden/>
          </w:rPr>
          <w:fldChar w:fldCharType="end"/>
        </w:r>
      </w:hyperlink>
    </w:p>
    <w:p w14:paraId="46EFF62D" w14:textId="021B30C6" w:rsidR="003D46C7" w:rsidRDefault="003D46C7">
      <w:pPr>
        <w:pStyle w:val="TableofFigures"/>
        <w:tabs>
          <w:tab w:val="right" w:leader="dot" w:pos="9350"/>
        </w:tabs>
        <w:rPr>
          <w:rFonts w:eastAsiaTheme="minorEastAsia"/>
          <w:noProof/>
          <w:lang w:val="en-US"/>
        </w:rPr>
      </w:pPr>
      <w:hyperlink w:anchor="_Toc241865244" w:history="1">
        <w:r w:rsidRPr="0063764C">
          <w:rPr>
            <w:rStyle w:val="Hyperlink"/>
            <w:rFonts w:ascii="Times New Roman" w:hAnsi="Times New Roman" w:cs="Times New Roman"/>
            <w:noProof/>
          </w:rPr>
          <w:t>Tablica 50</w:t>
        </w:r>
        <w:r w:rsidRPr="0063764C">
          <w:rPr>
            <w:rStyle w:val="Hyperlink"/>
            <w:rFonts w:ascii="Times New Roman" w:hAnsi="Times New Roman" w:cs="Times New Roman"/>
            <w:noProof/>
            <w:kern w:val="2"/>
            <w14:ligatures w14:val="standardContextual"/>
          </w:rPr>
          <w:t>: Testiranje razlike u neto profitnoj marži prije i nakon procesa preuzimanja poduzeća</w:t>
        </w:r>
        <w:r>
          <w:rPr>
            <w:noProof/>
            <w:webHidden/>
          </w:rPr>
          <w:tab/>
        </w:r>
        <w:r>
          <w:rPr>
            <w:noProof/>
            <w:webHidden/>
          </w:rPr>
          <w:fldChar w:fldCharType="begin"/>
        </w:r>
        <w:r>
          <w:rPr>
            <w:noProof/>
            <w:webHidden/>
          </w:rPr>
          <w:instrText xml:space="preserve"> PAGEREF _Toc241865244 \h </w:instrText>
        </w:r>
        <w:r>
          <w:rPr>
            <w:noProof/>
            <w:webHidden/>
          </w:rPr>
        </w:r>
        <w:r>
          <w:rPr>
            <w:noProof/>
            <w:webHidden/>
          </w:rPr>
          <w:fldChar w:fldCharType="separate"/>
        </w:r>
        <w:r>
          <w:rPr>
            <w:noProof/>
            <w:webHidden/>
          </w:rPr>
          <w:t>282</w:t>
        </w:r>
        <w:r>
          <w:rPr>
            <w:noProof/>
            <w:webHidden/>
          </w:rPr>
          <w:fldChar w:fldCharType="end"/>
        </w:r>
      </w:hyperlink>
    </w:p>
    <w:p w14:paraId="7EC3FD4D" w14:textId="124EBC95" w:rsidR="003D46C7" w:rsidRDefault="003D46C7">
      <w:pPr>
        <w:pStyle w:val="TableofFigures"/>
        <w:tabs>
          <w:tab w:val="right" w:leader="dot" w:pos="9350"/>
        </w:tabs>
        <w:rPr>
          <w:rFonts w:eastAsiaTheme="minorEastAsia"/>
          <w:noProof/>
          <w:lang w:val="en-US"/>
        </w:rPr>
      </w:pPr>
      <w:hyperlink w:anchor="_Toc241865245" w:history="1">
        <w:r w:rsidRPr="0063764C">
          <w:rPr>
            <w:rStyle w:val="Hyperlink"/>
            <w:rFonts w:ascii="Times New Roman" w:hAnsi="Times New Roman" w:cs="Times New Roman"/>
            <w:noProof/>
          </w:rPr>
          <w:t>Tablica 51</w:t>
        </w:r>
        <w:r w:rsidRPr="0063764C">
          <w:rPr>
            <w:rStyle w:val="Hyperlink"/>
            <w:rFonts w:ascii="Times New Roman" w:hAnsi="Times New Roman" w:cs="Times New Roman"/>
            <w:noProof/>
            <w:kern w:val="2"/>
            <w14:ligatures w14:val="standardContextual"/>
          </w:rPr>
          <w:t>: Testiranje razlike u pokazatelju tekuće likvidnosti prije i nakon procesa preuzimanja poduzeća</w:t>
        </w:r>
        <w:r>
          <w:rPr>
            <w:noProof/>
            <w:webHidden/>
          </w:rPr>
          <w:tab/>
        </w:r>
        <w:r>
          <w:rPr>
            <w:noProof/>
            <w:webHidden/>
          </w:rPr>
          <w:fldChar w:fldCharType="begin"/>
        </w:r>
        <w:r>
          <w:rPr>
            <w:noProof/>
            <w:webHidden/>
          </w:rPr>
          <w:instrText xml:space="preserve"> PAGEREF _Toc241865245 \h </w:instrText>
        </w:r>
        <w:r>
          <w:rPr>
            <w:noProof/>
            <w:webHidden/>
          </w:rPr>
        </w:r>
        <w:r>
          <w:rPr>
            <w:noProof/>
            <w:webHidden/>
          </w:rPr>
          <w:fldChar w:fldCharType="separate"/>
        </w:r>
        <w:r>
          <w:rPr>
            <w:noProof/>
            <w:webHidden/>
          </w:rPr>
          <w:t>283</w:t>
        </w:r>
        <w:r>
          <w:rPr>
            <w:noProof/>
            <w:webHidden/>
          </w:rPr>
          <w:fldChar w:fldCharType="end"/>
        </w:r>
      </w:hyperlink>
    </w:p>
    <w:p w14:paraId="3FD974D3" w14:textId="7D4FAD99" w:rsidR="003D46C7" w:rsidRDefault="003D46C7">
      <w:pPr>
        <w:pStyle w:val="TableofFigures"/>
        <w:tabs>
          <w:tab w:val="right" w:leader="dot" w:pos="9350"/>
        </w:tabs>
        <w:rPr>
          <w:rFonts w:eastAsiaTheme="minorEastAsia"/>
          <w:noProof/>
          <w:lang w:val="en-US"/>
        </w:rPr>
      </w:pPr>
      <w:hyperlink w:anchor="_Toc241865246" w:history="1">
        <w:r w:rsidRPr="0063764C">
          <w:rPr>
            <w:rStyle w:val="Hyperlink"/>
            <w:rFonts w:ascii="Times New Roman" w:hAnsi="Times New Roman" w:cs="Times New Roman"/>
            <w:noProof/>
          </w:rPr>
          <w:t>Tablica 52</w:t>
        </w:r>
        <w:r w:rsidRPr="0063764C">
          <w:rPr>
            <w:rStyle w:val="Hyperlink"/>
            <w:rFonts w:ascii="Times New Roman" w:hAnsi="Times New Roman" w:cs="Times New Roman"/>
            <w:noProof/>
            <w:kern w:val="2"/>
            <w14:ligatures w14:val="standardContextual"/>
          </w:rPr>
          <w:t>: Testiranje razlike u pokazatelju financijske stabilnosti prije i nakon procesa preuzimanja poduzeća</w:t>
        </w:r>
        <w:r>
          <w:rPr>
            <w:noProof/>
            <w:webHidden/>
          </w:rPr>
          <w:tab/>
        </w:r>
        <w:r>
          <w:rPr>
            <w:noProof/>
            <w:webHidden/>
          </w:rPr>
          <w:fldChar w:fldCharType="begin"/>
        </w:r>
        <w:r>
          <w:rPr>
            <w:noProof/>
            <w:webHidden/>
          </w:rPr>
          <w:instrText xml:space="preserve"> PAGEREF _Toc241865246 \h </w:instrText>
        </w:r>
        <w:r>
          <w:rPr>
            <w:noProof/>
            <w:webHidden/>
          </w:rPr>
        </w:r>
        <w:r>
          <w:rPr>
            <w:noProof/>
            <w:webHidden/>
          </w:rPr>
          <w:fldChar w:fldCharType="separate"/>
        </w:r>
        <w:r>
          <w:rPr>
            <w:noProof/>
            <w:webHidden/>
          </w:rPr>
          <w:t>284</w:t>
        </w:r>
        <w:r>
          <w:rPr>
            <w:noProof/>
            <w:webHidden/>
          </w:rPr>
          <w:fldChar w:fldCharType="end"/>
        </w:r>
      </w:hyperlink>
    </w:p>
    <w:p w14:paraId="14639441" w14:textId="24817236" w:rsidR="003D46C7" w:rsidRDefault="003D46C7">
      <w:pPr>
        <w:pStyle w:val="TableofFigures"/>
        <w:tabs>
          <w:tab w:val="right" w:leader="dot" w:pos="9350"/>
        </w:tabs>
        <w:rPr>
          <w:rFonts w:eastAsiaTheme="minorEastAsia"/>
          <w:noProof/>
          <w:lang w:val="en-US"/>
        </w:rPr>
      </w:pPr>
      <w:hyperlink w:anchor="_Toc241865247" w:history="1">
        <w:r w:rsidRPr="0063764C">
          <w:rPr>
            <w:rStyle w:val="Hyperlink"/>
            <w:rFonts w:ascii="Times New Roman" w:hAnsi="Times New Roman" w:cs="Times New Roman"/>
            <w:noProof/>
          </w:rPr>
          <w:t>Tablica 53</w:t>
        </w:r>
        <w:r w:rsidRPr="0063764C">
          <w:rPr>
            <w:rStyle w:val="Hyperlink"/>
            <w:rFonts w:ascii="Times New Roman" w:hAnsi="Times New Roman" w:cs="Times New Roman"/>
            <w:noProof/>
            <w:kern w:val="2"/>
            <w14:ligatures w14:val="standardContextual"/>
          </w:rPr>
          <w:t>: Testiranje razlike u koeficijentu zaduženosti prije i nakon procesa preuzimanja poduzeća</w:t>
        </w:r>
        <w:r>
          <w:rPr>
            <w:noProof/>
            <w:webHidden/>
          </w:rPr>
          <w:tab/>
        </w:r>
        <w:r>
          <w:rPr>
            <w:noProof/>
            <w:webHidden/>
          </w:rPr>
          <w:fldChar w:fldCharType="begin"/>
        </w:r>
        <w:r>
          <w:rPr>
            <w:noProof/>
            <w:webHidden/>
          </w:rPr>
          <w:instrText xml:space="preserve"> PAGEREF _Toc241865247 \h </w:instrText>
        </w:r>
        <w:r>
          <w:rPr>
            <w:noProof/>
            <w:webHidden/>
          </w:rPr>
        </w:r>
        <w:r>
          <w:rPr>
            <w:noProof/>
            <w:webHidden/>
          </w:rPr>
          <w:fldChar w:fldCharType="separate"/>
        </w:r>
        <w:r>
          <w:rPr>
            <w:noProof/>
            <w:webHidden/>
          </w:rPr>
          <w:t>285</w:t>
        </w:r>
        <w:r>
          <w:rPr>
            <w:noProof/>
            <w:webHidden/>
          </w:rPr>
          <w:fldChar w:fldCharType="end"/>
        </w:r>
      </w:hyperlink>
    </w:p>
    <w:p w14:paraId="4B3B2DAC" w14:textId="4D59FA49" w:rsidR="003D46C7" w:rsidRDefault="003D46C7">
      <w:pPr>
        <w:pStyle w:val="TableofFigures"/>
        <w:tabs>
          <w:tab w:val="right" w:leader="dot" w:pos="9350"/>
        </w:tabs>
        <w:rPr>
          <w:rFonts w:eastAsiaTheme="minorEastAsia"/>
          <w:noProof/>
          <w:lang w:val="en-US"/>
        </w:rPr>
      </w:pPr>
      <w:hyperlink w:anchor="_Toc241865248" w:history="1">
        <w:r w:rsidRPr="0063764C">
          <w:rPr>
            <w:rStyle w:val="Hyperlink"/>
            <w:rFonts w:ascii="Times New Roman" w:hAnsi="Times New Roman" w:cs="Times New Roman"/>
            <w:noProof/>
          </w:rPr>
          <w:t>Tablica 54</w:t>
        </w:r>
        <w:r w:rsidRPr="0063764C">
          <w:rPr>
            <w:rStyle w:val="Hyperlink"/>
            <w:rFonts w:ascii="Times New Roman" w:hAnsi="Times New Roman" w:cs="Times New Roman"/>
            <w:noProof/>
            <w:kern w:val="2"/>
            <w14:ligatures w14:val="standardContextual"/>
          </w:rPr>
          <w:t>: Testiranje razlike u tržišnoj vrijednosti dionica prije i nakon procesa preuzimanja poduzeća</w:t>
        </w:r>
        <w:r>
          <w:rPr>
            <w:noProof/>
            <w:webHidden/>
          </w:rPr>
          <w:tab/>
        </w:r>
        <w:r>
          <w:rPr>
            <w:noProof/>
            <w:webHidden/>
          </w:rPr>
          <w:fldChar w:fldCharType="begin"/>
        </w:r>
        <w:r>
          <w:rPr>
            <w:noProof/>
            <w:webHidden/>
          </w:rPr>
          <w:instrText xml:space="preserve"> PAGEREF _Toc241865248 \h </w:instrText>
        </w:r>
        <w:r>
          <w:rPr>
            <w:noProof/>
            <w:webHidden/>
          </w:rPr>
        </w:r>
        <w:r>
          <w:rPr>
            <w:noProof/>
            <w:webHidden/>
          </w:rPr>
          <w:fldChar w:fldCharType="separate"/>
        </w:r>
        <w:r>
          <w:rPr>
            <w:noProof/>
            <w:webHidden/>
          </w:rPr>
          <w:t>286</w:t>
        </w:r>
        <w:r>
          <w:rPr>
            <w:noProof/>
            <w:webHidden/>
          </w:rPr>
          <w:fldChar w:fldCharType="end"/>
        </w:r>
      </w:hyperlink>
    </w:p>
    <w:p w14:paraId="3853F1D5" w14:textId="70509954" w:rsidR="003D46C7" w:rsidRDefault="003D46C7">
      <w:pPr>
        <w:pStyle w:val="TableofFigures"/>
        <w:tabs>
          <w:tab w:val="right" w:leader="dot" w:pos="9350"/>
        </w:tabs>
        <w:rPr>
          <w:rFonts w:eastAsiaTheme="minorEastAsia"/>
          <w:noProof/>
          <w:lang w:val="en-US"/>
        </w:rPr>
      </w:pPr>
      <w:hyperlink w:anchor="_Toc241865249" w:history="1">
        <w:r w:rsidRPr="0063764C">
          <w:rPr>
            <w:rStyle w:val="Hyperlink"/>
            <w:rFonts w:ascii="Times New Roman" w:hAnsi="Times New Roman" w:cs="Times New Roman"/>
            <w:noProof/>
          </w:rPr>
          <w:t>Tablica 55</w:t>
        </w:r>
        <w:r w:rsidRPr="0063764C">
          <w:rPr>
            <w:rStyle w:val="Hyperlink"/>
            <w:rFonts w:ascii="Times New Roman" w:hAnsi="Times New Roman" w:cs="Times New Roman"/>
            <w:noProof/>
            <w:kern w:val="2"/>
            <w14:ligatures w14:val="standardContextual"/>
          </w:rPr>
          <w:t>: Testiranje razlike u dobiti po dionici prije i nakon procesa preuzimanja poduzeća</w:t>
        </w:r>
        <w:r>
          <w:rPr>
            <w:noProof/>
            <w:webHidden/>
          </w:rPr>
          <w:tab/>
        </w:r>
        <w:r>
          <w:rPr>
            <w:noProof/>
            <w:webHidden/>
          </w:rPr>
          <w:fldChar w:fldCharType="begin"/>
        </w:r>
        <w:r>
          <w:rPr>
            <w:noProof/>
            <w:webHidden/>
          </w:rPr>
          <w:instrText xml:space="preserve"> PAGEREF _Toc241865249 \h </w:instrText>
        </w:r>
        <w:r>
          <w:rPr>
            <w:noProof/>
            <w:webHidden/>
          </w:rPr>
        </w:r>
        <w:r>
          <w:rPr>
            <w:noProof/>
            <w:webHidden/>
          </w:rPr>
          <w:fldChar w:fldCharType="separate"/>
        </w:r>
        <w:r>
          <w:rPr>
            <w:noProof/>
            <w:webHidden/>
          </w:rPr>
          <w:t>287</w:t>
        </w:r>
        <w:r>
          <w:rPr>
            <w:noProof/>
            <w:webHidden/>
          </w:rPr>
          <w:fldChar w:fldCharType="end"/>
        </w:r>
      </w:hyperlink>
    </w:p>
    <w:p w14:paraId="077143C3" w14:textId="7796E0BB" w:rsidR="003D46C7" w:rsidRDefault="003D46C7">
      <w:pPr>
        <w:pStyle w:val="TableofFigures"/>
        <w:tabs>
          <w:tab w:val="right" w:leader="dot" w:pos="9350"/>
        </w:tabs>
        <w:rPr>
          <w:rFonts w:eastAsiaTheme="minorEastAsia"/>
          <w:noProof/>
          <w:lang w:val="en-US"/>
        </w:rPr>
      </w:pPr>
      <w:hyperlink w:anchor="_Toc241865250" w:history="1">
        <w:r w:rsidRPr="0063764C">
          <w:rPr>
            <w:rStyle w:val="Hyperlink"/>
            <w:rFonts w:ascii="Times New Roman" w:hAnsi="Times New Roman" w:cs="Times New Roman"/>
            <w:noProof/>
          </w:rPr>
          <w:t>Tablica 56</w:t>
        </w:r>
        <w:r w:rsidRPr="0063764C">
          <w:rPr>
            <w:rStyle w:val="Hyperlink"/>
            <w:rFonts w:ascii="Times New Roman" w:hAnsi="Times New Roman" w:cs="Times New Roman"/>
            <w:noProof/>
            <w:kern w:val="2"/>
            <w14:ligatures w14:val="standardContextual"/>
          </w:rPr>
          <w:t>: Testiranje razlike u dividendi po dionici prije i nakon procesa preuzimanja poduzeća</w:t>
        </w:r>
        <w:r>
          <w:rPr>
            <w:noProof/>
            <w:webHidden/>
          </w:rPr>
          <w:tab/>
        </w:r>
        <w:r>
          <w:rPr>
            <w:noProof/>
            <w:webHidden/>
          </w:rPr>
          <w:fldChar w:fldCharType="begin"/>
        </w:r>
        <w:r>
          <w:rPr>
            <w:noProof/>
            <w:webHidden/>
          </w:rPr>
          <w:instrText xml:space="preserve"> PAGEREF _Toc241865250 \h </w:instrText>
        </w:r>
        <w:r>
          <w:rPr>
            <w:noProof/>
            <w:webHidden/>
          </w:rPr>
        </w:r>
        <w:r>
          <w:rPr>
            <w:noProof/>
            <w:webHidden/>
          </w:rPr>
          <w:fldChar w:fldCharType="separate"/>
        </w:r>
        <w:r>
          <w:rPr>
            <w:noProof/>
            <w:webHidden/>
          </w:rPr>
          <w:t>288</w:t>
        </w:r>
        <w:r>
          <w:rPr>
            <w:noProof/>
            <w:webHidden/>
          </w:rPr>
          <w:fldChar w:fldCharType="end"/>
        </w:r>
      </w:hyperlink>
    </w:p>
    <w:p w14:paraId="1F4138FA" w14:textId="5AF5B9F8" w:rsidR="003D46C7" w:rsidRDefault="003D46C7">
      <w:pPr>
        <w:pStyle w:val="TableofFigures"/>
        <w:tabs>
          <w:tab w:val="right" w:leader="dot" w:pos="9350"/>
        </w:tabs>
        <w:rPr>
          <w:rFonts w:eastAsiaTheme="minorEastAsia"/>
          <w:noProof/>
          <w:lang w:val="en-US"/>
        </w:rPr>
      </w:pPr>
      <w:hyperlink w:anchor="_Toc241865251" w:history="1">
        <w:r w:rsidRPr="0063764C">
          <w:rPr>
            <w:rStyle w:val="Hyperlink"/>
            <w:rFonts w:ascii="Times New Roman" w:hAnsi="Times New Roman" w:cs="Times New Roman"/>
            <w:noProof/>
          </w:rPr>
          <w:t>Tablica 57</w:t>
        </w:r>
        <w:r w:rsidRPr="0063764C">
          <w:rPr>
            <w:rStyle w:val="Hyperlink"/>
            <w:rFonts w:ascii="Times New Roman" w:hAnsi="Times New Roman" w:cs="Times New Roman"/>
            <w:noProof/>
            <w:kern w:val="2"/>
            <w14:ligatures w14:val="standardContextual"/>
          </w:rPr>
          <w:t>: Testiranje razlike u tržišnom udjelu prije i nakon procesa preuzimanja poduzeća</w:t>
        </w:r>
        <w:r>
          <w:rPr>
            <w:noProof/>
            <w:webHidden/>
          </w:rPr>
          <w:tab/>
        </w:r>
        <w:r>
          <w:rPr>
            <w:noProof/>
            <w:webHidden/>
          </w:rPr>
          <w:fldChar w:fldCharType="begin"/>
        </w:r>
        <w:r>
          <w:rPr>
            <w:noProof/>
            <w:webHidden/>
          </w:rPr>
          <w:instrText xml:space="preserve"> PAGEREF _Toc241865251 \h </w:instrText>
        </w:r>
        <w:r>
          <w:rPr>
            <w:noProof/>
            <w:webHidden/>
          </w:rPr>
        </w:r>
        <w:r>
          <w:rPr>
            <w:noProof/>
            <w:webHidden/>
          </w:rPr>
          <w:fldChar w:fldCharType="separate"/>
        </w:r>
        <w:r>
          <w:rPr>
            <w:noProof/>
            <w:webHidden/>
          </w:rPr>
          <w:t>289</w:t>
        </w:r>
        <w:r>
          <w:rPr>
            <w:noProof/>
            <w:webHidden/>
          </w:rPr>
          <w:fldChar w:fldCharType="end"/>
        </w:r>
      </w:hyperlink>
    </w:p>
    <w:p w14:paraId="24339DF2" w14:textId="2365FF87" w:rsidR="003D46C7" w:rsidRDefault="003D46C7">
      <w:pPr>
        <w:pStyle w:val="TableofFigures"/>
        <w:tabs>
          <w:tab w:val="right" w:leader="dot" w:pos="9350"/>
        </w:tabs>
        <w:rPr>
          <w:rFonts w:eastAsiaTheme="minorEastAsia"/>
          <w:noProof/>
          <w:lang w:val="en-US"/>
        </w:rPr>
      </w:pPr>
      <w:hyperlink w:anchor="_Toc241865252" w:history="1">
        <w:r w:rsidRPr="0063764C">
          <w:rPr>
            <w:rStyle w:val="Hyperlink"/>
            <w:rFonts w:ascii="Times New Roman" w:hAnsi="Times New Roman" w:cs="Times New Roman"/>
            <w:noProof/>
          </w:rPr>
          <w:t>Tablica 58</w:t>
        </w:r>
        <w:r w:rsidRPr="0063764C">
          <w:rPr>
            <w:rStyle w:val="Hyperlink"/>
            <w:rFonts w:ascii="Times New Roman" w:hAnsi="Times New Roman" w:cs="Times New Roman"/>
            <w:noProof/>
            <w:kern w:val="2"/>
            <w14:ligatures w14:val="standardContextual"/>
          </w:rPr>
          <w:t>: Testiranje razlike u MVA-i prije i nakon procesa preuzimanja poduzeća</w:t>
        </w:r>
        <w:r>
          <w:rPr>
            <w:noProof/>
            <w:webHidden/>
          </w:rPr>
          <w:tab/>
        </w:r>
        <w:r>
          <w:rPr>
            <w:noProof/>
            <w:webHidden/>
          </w:rPr>
          <w:fldChar w:fldCharType="begin"/>
        </w:r>
        <w:r>
          <w:rPr>
            <w:noProof/>
            <w:webHidden/>
          </w:rPr>
          <w:instrText xml:space="preserve"> PAGEREF _Toc241865252 \h </w:instrText>
        </w:r>
        <w:r>
          <w:rPr>
            <w:noProof/>
            <w:webHidden/>
          </w:rPr>
        </w:r>
        <w:r>
          <w:rPr>
            <w:noProof/>
            <w:webHidden/>
          </w:rPr>
          <w:fldChar w:fldCharType="separate"/>
        </w:r>
        <w:r>
          <w:rPr>
            <w:noProof/>
            <w:webHidden/>
          </w:rPr>
          <w:t>290</w:t>
        </w:r>
        <w:r>
          <w:rPr>
            <w:noProof/>
            <w:webHidden/>
          </w:rPr>
          <w:fldChar w:fldCharType="end"/>
        </w:r>
      </w:hyperlink>
    </w:p>
    <w:p w14:paraId="6B3F1F8F" w14:textId="601E7821" w:rsidR="003D46C7" w:rsidRDefault="003D46C7">
      <w:pPr>
        <w:pStyle w:val="TableofFigures"/>
        <w:tabs>
          <w:tab w:val="right" w:leader="dot" w:pos="9350"/>
        </w:tabs>
        <w:rPr>
          <w:rFonts w:eastAsiaTheme="minorEastAsia"/>
          <w:noProof/>
          <w:lang w:val="en-US"/>
        </w:rPr>
      </w:pPr>
      <w:hyperlink w:anchor="_Toc241865253" w:history="1">
        <w:r w:rsidRPr="0063764C">
          <w:rPr>
            <w:rStyle w:val="Hyperlink"/>
            <w:rFonts w:ascii="Times New Roman" w:hAnsi="Times New Roman" w:cs="Times New Roman"/>
            <w:noProof/>
          </w:rPr>
          <w:t>Tablica 59</w:t>
        </w:r>
        <w:r w:rsidRPr="0063764C">
          <w:rPr>
            <w:rStyle w:val="Hyperlink"/>
            <w:rFonts w:ascii="Times New Roman" w:hAnsi="Times New Roman" w:cs="Times New Roman"/>
            <w:noProof/>
            <w:kern w:val="2"/>
            <w14:ligatures w14:val="standardContextual"/>
          </w:rPr>
          <w:t>: Testiranje razlike u EBITDA-i između poduzeća preuzimatelja i nepreuzimatelja</w:t>
        </w:r>
        <w:r>
          <w:rPr>
            <w:noProof/>
            <w:webHidden/>
          </w:rPr>
          <w:tab/>
        </w:r>
        <w:r>
          <w:rPr>
            <w:noProof/>
            <w:webHidden/>
          </w:rPr>
          <w:fldChar w:fldCharType="begin"/>
        </w:r>
        <w:r>
          <w:rPr>
            <w:noProof/>
            <w:webHidden/>
          </w:rPr>
          <w:instrText xml:space="preserve"> PAGEREF _Toc241865253 \h </w:instrText>
        </w:r>
        <w:r>
          <w:rPr>
            <w:noProof/>
            <w:webHidden/>
          </w:rPr>
        </w:r>
        <w:r>
          <w:rPr>
            <w:noProof/>
            <w:webHidden/>
          </w:rPr>
          <w:fldChar w:fldCharType="separate"/>
        </w:r>
        <w:r>
          <w:rPr>
            <w:noProof/>
            <w:webHidden/>
          </w:rPr>
          <w:t>291</w:t>
        </w:r>
        <w:r>
          <w:rPr>
            <w:noProof/>
            <w:webHidden/>
          </w:rPr>
          <w:fldChar w:fldCharType="end"/>
        </w:r>
      </w:hyperlink>
    </w:p>
    <w:p w14:paraId="6FAA9833" w14:textId="0F9312CD" w:rsidR="003D46C7" w:rsidRDefault="003D46C7">
      <w:pPr>
        <w:pStyle w:val="TableofFigures"/>
        <w:tabs>
          <w:tab w:val="right" w:leader="dot" w:pos="9350"/>
        </w:tabs>
        <w:rPr>
          <w:rFonts w:eastAsiaTheme="minorEastAsia"/>
          <w:noProof/>
          <w:lang w:val="en-US"/>
        </w:rPr>
      </w:pPr>
      <w:hyperlink w:anchor="_Toc241865254" w:history="1">
        <w:r w:rsidRPr="0063764C">
          <w:rPr>
            <w:rStyle w:val="Hyperlink"/>
            <w:rFonts w:ascii="Times New Roman" w:hAnsi="Times New Roman" w:cs="Times New Roman"/>
            <w:noProof/>
          </w:rPr>
          <w:t>Tablica 60</w:t>
        </w:r>
        <w:r w:rsidRPr="0063764C">
          <w:rPr>
            <w:rStyle w:val="Hyperlink"/>
            <w:rFonts w:ascii="Times New Roman" w:hAnsi="Times New Roman" w:cs="Times New Roman"/>
            <w:noProof/>
            <w:kern w:val="2"/>
            <w14:ligatures w14:val="standardContextual"/>
          </w:rPr>
          <w:t>: Testiranje razlike u ROA-i između poduzeća preuzimatelja i nepreuzimatelja</w:t>
        </w:r>
        <w:r>
          <w:rPr>
            <w:noProof/>
            <w:webHidden/>
          </w:rPr>
          <w:tab/>
        </w:r>
        <w:r>
          <w:rPr>
            <w:noProof/>
            <w:webHidden/>
          </w:rPr>
          <w:fldChar w:fldCharType="begin"/>
        </w:r>
        <w:r>
          <w:rPr>
            <w:noProof/>
            <w:webHidden/>
          </w:rPr>
          <w:instrText xml:space="preserve"> PAGEREF _Toc241865254 \h </w:instrText>
        </w:r>
        <w:r>
          <w:rPr>
            <w:noProof/>
            <w:webHidden/>
          </w:rPr>
        </w:r>
        <w:r>
          <w:rPr>
            <w:noProof/>
            <w:webHidden/>
          </w:rPr>
          <w:fldChar w:fldCharType="separate"/>
        </w:r>
        <w:r>
          <w:rPr>
            <w:noProof/>
            <w:webHidden/>
          </w:rPr>
          <w:t>292</w:t>
        </w:r>
        <w:r>
          <w:rPr>
            <w:noProof/>
            <w:webHidden/>
          </w:rPr>
          <w:fldChar w:fldCharType="end"/>
        </w:r>
      </w:hyperlink>
    </w:p>
    <w:p w14:paraId="7E9DC20D" w14:textId="3D9924A0" w:rsidR="003D46C7" w:rsidRDefault="003D46C7">
      <w:pPr>
        <w:pStyle w:val="TableofFigures"/>
        <w:tabs>
          <w:tab w:val="right" w:leader="dot" w:pos="9350"/>
        </w:tabs>
        <w:rPr>
          <w:rFonts w:eastAsiaTheme="minorEastAsia"/>
          <w:noProof/>
          <w:lang w:val="en-US"/>
        </w:rPr>
      </w:pPr>
      <w:hyperlink w:anchor="_Toc241865255" w:history="1">
        <w:r w:rsidRPr="0063764C">
          <w:rPr>
            <w:rStyle w:val="Hyperlink"/>
            <w:rFonts w:ascii="Times New Roman" w:hAnsi="Times New Roman" w:cs="Times New Roman"/>
            <w:noProof/>
          </w:rPr>
          <w:t>Tablica 61</w:t>
        </w:r>
        <w:r w:rsidRPr="0063764C">
          <w:rPr>
            <w:rStyle w:val="Hyperlink"/>
            <w:rFonts w:ascii="Times New Roman" w:hAnsi="Times New Roman" w:cs="Times New Roman"/>
            <w:noProof/>
            <w:kern w:val="2"/>
            <w14:ligatures w14:val="standardContextual"/>
          </w:rPr>
          <w:t>: Testiranje razlike u ROE-u između poduzeća preuzimatelja i nepreuzimatelja</w:t>
        </w:r>
        <w:r>
          <w:rPr>
            <w:noProof/>
            <w:webHidden/>
          </w:rPr>
          <w:tab/>
        </w:r>
        <w:r>
          <w:rPr>
            <w:noProof/>
            <w:webHidden/>
          </w:rPr>
          <w:fldChar w:fldCharType="begin"/>
        </w:r>
        <w:r>
          <w:rPr>
            <w:noProof/>
            <w:webHidden/>
          </w:rPr>
          <w:instrText xml:space="preserve"> PAGEREF _Toc241865255 \h </w:instrText>
        </w:r>
        <w:r>
          <w:rPr>
            <w:noProof/>
            <w:webHidden/>
          </w:rPr>
        </w:r>
        <w:r>
          <w:rPr>
            <w:noProof/>
            <w:webHidden/>
          </w:rPr>
          <w:fldChar w:fldCharType="separate"/>
        </w:r>
        <w:r>
          <w:rPr>
            <w:noProof/>
            <w:webHidden/>
          </w:rPr>
          <w:t>293</w:t>
        </w:r>
        <w:r>
          <w:rPr>
            <w:noProof/>
            <w:webHidden/>
          </w:rPr>
          <w:fldChar w:fldCharType="end"/>
        </w:r>
      </w:hyperlink>
    </w:p>
    <w:p w14:paraId="052A71B9" w14:textId="23D3F46E" w:rsidR="003D46C7" w:rsidRDefault="003D46C7">
      <w:pPr>
        <w:pStyle w:val="TableofFigures"/>
        <w:tabs>
          <w:tab w:val="right" w:leader="dot" w:pos="9350"/>
        </w:tabs>
        <w:rPr>
          <w:rFonts w:eastAsiaTheme="minorEastAsia"/>
          <w:noProof/>
          <w:lang w:val="en-US"/>
        </w:rPr>
      </w:pPr>
      <w:hyperlink w:anchor="_Toc241865256" w:history="1">
        <w:r w:rsidRPr="0063764C">
          <w:rPr>
            <w:rStyle w:val="Hyperlink"/>
            <w:rFonts w:ascii="Times New Roman" w:hAnsi="Times New Roman" w:cs="Times New Roman"/>
            <w:noProof/>
          </w:rPr>
          <w:t>Tablica 62</w:t>
        </w:r>
        <w:r w:rsidRPr="0063764C">
          <w:rPr>
            <w:rStyle w:val="Hyperlink"/>
            <w:rFonts w:ascii="Times New Roman" w:hAnsi="Times New Roman" w:cs="Times New Roman"/>
            <w:noProof/>
            <w:kern w:val="2"/>
            <w14:ligatures w14:val="standardContextual"/>
          </w:rPr>
          <w:t>: Testiranje razlike u bruto profitnoj marži između poduzeća preuzimatelja i nepreuzimatelja</w:t>
        </w:r>
        <w:r>
          <w:rPr>
            <w:noProof/>
            <w:webHidden/>
          </w:rPr>
          <w:tab/>
        </w:r>
        <w:r>
          <w:rPr>
            <w:noProof/>
            <w:webHidden/>
          </w:rPr>
          <w:fldChar w:fldCharType="begin"/>
        </w:r>
        <w:r>
          <w:rPr>
            <w:noProof/>
            <w:webHidden/>
          </w:rPr>
          <w:instrText xml:space="preserve"> PAGEREF _Toc241865256 \h </w:instrText>
        </w:r>
        <w:r>
          <w:rPr>
            <w:noProof/>
            <w:webHidden/>
          </w:rPr>
        </w:r>
        <w:r>
          <w:rPr>
            <w:noProof/>
            <w:webHidden/>
          </w:rPr>
          <w:fldChar w:fldCharType="separate"/>
        </w:r>
        <w:r>
          <w:rPr>
            <w:noProof/>
            <w:webHidden/>
          </w:rPr>
          <w:t>294</w:t>
        </w:r>
        <w:r>
          <w:rPr>
            <w:noProof/>
            <w:webHidden/>
          </w:rPr>
          <w:fldChar w:fldCharType="end"/>
        </w:r>
      </w:hyperlink>
    </w:p>
    <w:p w14:paraId="48598991" w14:textId="03015B76" w:rsidR="003D46C7" w:rsidRDefault="003D46C7">
      <w:pPr>
        <w:pStyle w:val="TableofFigures"/>
        <w:tabs>
          <w:tab w:val="right" w:leader="dot" w:pos="9350"/>
        </w:tabs>
        <w:rPr>
          <w:rFonts w:eastAsiaTheme="minorEastAsia"/>
          <w:noProof/>
          <w:lang w:val="en-US"/>
        </w:rPr>
      </w:pPr>
      <w:hyperlink w:anchor="_Toc241865257" w:history="1">
        <w:r w:rsidRPr="0063764C">
          <w:rPr>
            <w:rStyle w:val="Hyperlink"/>
            <w:rFonts w:ascii="Times New Roman" w:hAnsi="Times New Roman" w:cs="Times New Roman"/>
            <w:noProof/>
          </w:rPr>
          <w:t>Tablica 63</w:t>
        </w:r>
        <w:r w:rsidRPr="0063764C">
          <w:rPr>
            <w:rStyle w:val="Hyperlink"/>
            <w:rFonts w:ascii="Times New Roman" w:hAnsi="Times New Roman" w:cs="Times New Roman"/>
            <w:noProof/>
            <w:kern w:val="2"/>
            <w14:ligatures w14:val="standardContextual"/>
          </w:rPr>
          <w:t>: Testiranje razlike u neto profitnoj marži između poduzeća preuzimatelja i nepreuzimatelja</w:t>
        </w:r>
        <w:r>
          <w:rPr>
            <w:noProof/>
            <w:webHidden/>
          </w:rPr>
          <w:tab/>
        </w:r>
        <w:r>
          <w:rPr>
            <w:noProof/>
            <w:webHidden/>
          </w:rPr>
          <w:fldChar w:fldCharType="begin"/>
        </w:r>
        <w:r>
          <w:rPr>
            <w:noProof/>
            <w:webHidden/>
          </w:rPr>
          <w:instrText xml:space="preserve"> PAGEREF _Toc241865257 \h </w:instrText>
        </w:r>
        <w:r>
          <w:rPr>
            <w:noProof/>
            <w:webHidden/>
          </w:rPr>
        </w:r>
        <w:r>
          <w:rPr>
            <w:noProof/>
            <w:webHidden/>
          </w:rPr>
          <w:fldChar w:fldCharType="separate"/>
        </w:r>
        <w:r>
          <w:rPr>
            <w:noProof/>
            <w:webHidden/>
          </w:rPr>
          <w:t>295</w:t>
        </w:r>
        <w:r>
          <w:rPr>
            <w:noProof/>
            <w:webHidden/>
          </w:rPr>
          <w:fldChar w:fldCharType="end"/>
        </w:r>
      </w:hyperlink>
    </w:p>
    <w:p w14:paraId="2DFF64D5" w14:textId="231B234D" w:rsidR="003D46C7" w:rsidRDefault="003D46C7">
      <w:pPr>
        <w:pStyle w:val="TableofFigures"/>
        <w:tabs>
          <w:tab w:val="right" w:leader="dot" w:pos="9350"/>
        </w:tabs>
        <w:rPr>
          <w:rFonts w:eastAsiaTheme="minorEastAsia"/>
          <w:noProof/>
          <w:lang w:val="en-US"/>
        </w:rPr>
      </w:pPr>
      <w:hyperlink w:anchor="_Toc241865258" w:history="1">
        <w:r w:rsidRPr="0063764C">
          <w:rPr>
            <w:rStyle w:val="Hyperlink"/>
            <w:rFonts w:ascii="Times New Roman" w:hAnsi="Times New Roman" w:cs="Times New Roman"/>
            <w:noProof/>
          </w:rPr>
          <w:t>Tablica 64</w:t>
        </w:r>
        <w:r w:rsidRPr="0063764C">
          <w:rPr>
            <w:rStyle w:val="Hyperlink"/>
            <w:rFonts w:ascii="Times New Roman" w:hAnsi="Times New Roman" w:cs="Times New Roman"/>
            <w:noProof/>
            <w:kern w:val="2"/>
            <w14:ligatures w14:val="standardContextual"/>
          </w:rPr>
          <w:t>: Testiranje razlike u pokazatelju tekuće likvidnosti između poduzeća preuzimatelja i nepreuzimatelja</w:t>
        </w:r>
        <w:r>
          <w:rPr>
            <w:noProof/>
            <w:webHidden/>
          </w:rPr>
          <w:tab/>
        </w:r>
        <w:r>
          <w:rPr>
            <w:noProof/>
            <w:webHidden/>
          </w:rPr>
          <w:fldChar w:fldCharType="begin"/>
        </w:r>
        <w:r>
          <w:rPr>
            <w:noProof/>
            <w:webHidden/>
          </w:rPr>
          <w:instrText xml:space="preserve"> PAGEREF _Toc241865258 \h </w:instrText>
        </w:r>
        <w:r>
          <w:rPr>
            <w:noProof/>
            <w:webHidden/>
          </w:rPr>
        </w:r>
        <w:r>
          <w:rPr>
            <w:noProof/>
            <w:webHidden/>
          </w:rPr>
          <w:fldChar w:fldCharType="separate"/>
        </w:r>
        <w:r>
          <w:rPr>
            <w:noProof/>
            <w:webHidden/>
          </w:rPr>
          <w:t>296</w:t>
        </w:r>
        <w:r>
          <w:rPr>
            <w:noProof/>
            <w:webHidden/>
          </w:rPr>
          <w:fldChar w:fldCharType="end"/>
        </w:r>
      </w:hyperlink>
    </w:p>
    <w:p w14:paraId="39CBFB19" w14:textId="19776462" w:rsidR="003D46C7" w:rsidRDefault="003D46C7">
      <w:pPr>
        <w:pStyle w:val="TableofFigures"/>
        <w:tabs>
          <w:tab w:val="right" w:leader="dot" w:pos="9350"/>
        </w:tabs>
        <w:rPr>
          <w:rFonts w:eastAsiaTheme="minorEastAsia"/>
          <w:noProof/>
          <w:lang w:val="en-US"/>
        </w:rPr>
      </w:pPr>
      <w:hyperlink w:anchor="_Toc241865259" w:history="1">
        <w:r w:rsidRPr="0063764C">
          <w:rPr>
            <w:rStyle w:val="Hyperlink"/>
            <w:rFonts w:ascii="Times New Roman" w:hAnsi="Times New Roman" w:cs="Times New Roman"/>
            <w:noProof/>
          </w:rPr>
          <w:t>Tablica 65</w:t>
        </w:r>
        <w:r w:rsidRPr="0063764C">
          <w:rPr>
            <w:rStyle w:val="Hyperlink"/>
            <w:rFonts w:ascii="Times New Roman" w:hAnsi="Times New Roman" w:cs="Times New Roman"/>
            <w:noProof/>
            <w:kern w:val="2"/>
            <w14:ligatures w14:val="standardContextual"/>
          </w:rPr>
          <w:t>: Testiranje razlike u pokazatelju financijske stabilnosti između poduzeća preuzimatelja i nepreuzimatelja</w:t>
        </w:r>
        <w:r>
          <w:rPr>
            <w:noProof/>
            <w:webHidden/>
          </w:rPr>
          <w:tab/>
        </w:r>
        <w:r>
          <w:rPr>
            <w:noProof/>
            <w:webHidden/>
          </w:rPr>
          <w:fldChar w:fldCharType="begin"/>
        </w:r>
        <w:r>
          <w:rPr>
            <w:noProof/>
            <w:webHidden/>
          </w:rPr>
          <w:instrText xml:space="preserve"> PAGEREF _Toc241865259 \h </w:instrText>
        </w:r>
        <w:r>
          <w:rPr>
            <w:noProof/>
            <w:webHidden/>
          </w:rPr>
        </w:r>
        <w:r>
          <w:rPr>
            <w:noProof/>
            <w:webHidden/>
          </w:rPr>
          <w:fldChar w:fldCharType="separate"/>
        </w:r>
        <w:r>
          <w:rPr>
            <w:noProof/>
            <w:webHidden/>
          </w:rPr>
          <w:t>297</w:t>
        </w:r>
        <w:r>
          <w:rPr>
            <w:noProof/>
            <w:webHidden/>
          </w:rPr>
          <w:fldChar w:fldCharType="end"/>
        </w:r>
      </w:hyperlink>
    </w:p>
    <w:p w14:paraId="616CBF01" w14:textId="0C612CE6" w:rsidR="003D46C7" w:rsidRDefault="003D46C7">
      <w:pPr>
        <w:pStyle w:val="TableofFigures"/>
        <w:tabs>
          <w:tab w:val="right" w:leader="dot" w:pos="9350"/>
        </w:tabs>
        <w:rPr>
          <w:rFonts w:eastAsiaTheme="minorEastAsia"/>
          <w:noProof/>
          <w:lang w:val="en-US"/>
        </w:rPr>
      </w:pPr>
      <w:hyperlink w:anchor="_Toc241865260" w:history="1">
        <w:r w:rsidRPr="0063764C">
          <w:rPr>
            <w:rStyle w:val="Hyperlink"/>
            <w:rFonts w:ascii="Times New Roman" w:hAnsi="Times New Roman" w:cs="Times New Roman"/>
            <w:noProof/>
          </w:rPr>
          <w:t>Tablica 66</w:t>
        </w:r>
        <w:r w:rsidRPr="0063764C">
          <w:rPr>
            <w:rStyle w:val="Hyperlink"/>
            <w:rFonts w:ascii="Times New Roman" w:hAnsi="Times New Roman" w:cs="Times New Roman"/>
            <w:noProof/>
            <w:kern w:val="2"/>
            <w14:ligatures w14:val="standardContextual"/>
          </w:rPr>
          <w:t>: Testiranje razlike u koeficijentu zaduženosti između poduzeća preuzimatelja i nepreuzimatelja</w:t>
        </w:r>
        <w:r>
          <w:rPr>
            <w:noProof/>
            <w:webHidden/>
          </w:rPr>
          <w:tab/>
        </w:r>
        <w:r>
          <w:rPr>
            <w:noProof/>
            <w:webHidden/>
          </w:rPr>
          <w:fldChar w:fldCharType="begin"/>
        </w:r>
        <w:r>
          <w:rPr>
            <w:noProof/>
            <w:webHidden/>
          </w:rPr>
          <w:instrText xml:space="preserve"> PAGEREF _Toc241865260 \h </w:instrText>
        </w:r>
        <w:r>
          <w:rPr>
            <w:noProof/>
            <w:webHidden/>
          </w:rPr>
        </w:r>
        <w:r>
          <w:rPr>
            <w:noProof/>
            <w:webHidden/>
          </w:rPr>
          <w:fldChar w:fldCharType="separate"/>
        </w:r>
        <w:r>
          <w:rPr>
            <w:noProof/>
            <w:webHidden/>
          </w:rPr>
          <w:t>298</w:t>
        </w:r>
        <w:r>
          <w:rPr>
            <w:noProof/>
            <w:webHidden/>
          </w:rPr>
          <w:fldChar w:fldCharType="end"/>
        </w:r>
      </w:hyperlink>
    </w:p>
    <w:p w14:paraId="23E869CC" w14:textId="411217F1" w:rsidR="003D46C7" w:rsidRDefault="003D46C7">
      <w:pPr>
        <w:pStyle w:val="TableofFigures"/>
        <w:tabs>
          <w:tab w:val="right" w:leader="dot" w:pos="9350"/>
        </w:tabs>
        <w:rPr>
          <w:rFonts w:eastAsiaTheme="minorEastAsia"/>
          <w:noProof/>
          <w:lang w:val="en-US"/>
        </w:rPr>
      </w:pPr>
      <w:hyperlink w:anchor="_Toc241865261" w:history="1">
        <w:r w:rsidRPr="0063764C">
          <w:rPr>
            <w:rStyle w:val="Hyperlink"/>
            <w:rFonts w:ascii="Times New Roman" w:hAnsi="Times New Roman" w:cs="Times New Roman"/>
            <w:noProof/>
          </w:rPr>
          <w:t>Tablica 67</w:t>
        </w:r>
        <w:r w:rsidRPr="0063764C">
          <w:rPr>
            <w:rStyle w:val="Hyperlink"/>
            <w:rFonts w:ascii="Times New Roman" w:hAnsi="Times New Roman" w:cs="Times New Roman"/>
            <w:noProof/>
            <w:kern w:val="2"/>
            <w14:ligatures w14:val="standardContextual"/>
          </w:rPr>
          <w:t>: Testiranje razlike u tržišnoj vrijednosti dionica između poduzeća preuzimatelja i nepreuzimatelja</w:t>
        </w:r>
        <w:r>
          <w:rPr>
            <w:noProof/>
            <w:webHidden/>
          </w:rPr>
          <w:tab/>
        </w:r>
        <w:r>
          <w:rPr>
            <w:noProof/>
            <w:webHidden/>
          </w:rPr>
          <w:fldChar w:fldCharType="begin"/>
        </w:r>
        <w:r>
          <w:rPr>
            <w:noProof/>
            <w:webHidden/>
          </w:rPr>
          <w:instrText xml:space="preserve"> PAGEREF _Toc241865261 \h </w:instrText>
        </w:r>
        <w:r>
          <w:rPr>
            <w:noProof/>
            <w:webHidden/>
          </w:rPr>
        </w:r>
        <w:r>
          <w:rPr>
            <w:noProof/>
            <w:webHidden/>
          </w:rPr>
          <w:fldChar w:fldCharType="separate"/>
        </w:r>
        <w:r>
          <w:rPr>
            <w:noProof/>
            <w:webHidden/>
          </w:rPr>
          <w:t>299</w:t>
        </w:r>
        <w:r>
          <w:rPr>
            <w:noProof/>
            <w:webHidden/>
          </w:rPr>
          <w:fldChar w:fldCharType="end"/>
        </w:r>
      </w:hyperlink>
    </w:p>
    <w:p w14:paraId="262F882F" w14:textId="386ED74E" w:rsidR="003D46C7" w:rsidRDefault="003D46C7">
      <w:pPr>
        <w:pStyle w:val="TableofFigures"/>
        <w:tabs>
          <w:tab w:val="right" w:leader="dot" w:pos="9350"/>
        </w:tabs>
        <w:rPr>
          <w:rFonts w:eastAsiaTheme="minorEastAsia"/>
          <w:noProof/>
          <w:lang w:val="en-US"/>
        </w:rPr>
      </w:pPr>
      <w:hyperlink w:anchor="_Toc241865262" w:history="1">
        <w:r w:rsidRPr="0063764C">
          <w:rPr>
            <w:rStyle w:val="Hyperlink"/>
            <w:rFonts w:ascii="Times New Roman" w:hAnsi="Times New Roman" w:cs="Times New Roman"/>
            <w:noProof/>
          </w:rPr>
          <w:t>Tablica 68</w:t>
        </w:r>
        <w:r w:rsidRPr="0063764C">
          <w:rPr>
            <w:rStyle w:val="Hyperlink"/>
            <w:rFonts w:ascii="Times New Roman" w:hAnsi="Times New Roman" w:cs="Times New Roman"/>
            <w:noProof/>
            <w:kern w:val="2"/>
            <w14:ligatures w14:val="standardContextual"/>
          </w:rPr>
          <w:t>: Testiranje razlike u dobiti po dionici između poduzeća preuzimatelja i nepreuzimatelja</w:t>
        </w:r>
        <w:r>
          <w:rPr>
            <w:noProof/>
            <w:webHidden/>
          </w:rPr>
          <w:tab/>
        </w:r>
        <w:r>
          <w:rPr>
            <w:noProof/>
            <w:webHidden/>
          </w:rPr>
          <w:fldChar w:fldCharType="begin"/>
        </w:r>
        <w:r>
          <w:rPr>
            <w:noProof/>
            <w:webHidden/>
          </w:rPr>
          <w:instrText xml:space="preserve"> PAGEREF _Toc241865262 \h </w:instrText>
        </w:r>
        <w:r>
          <w:rPr>
            <w:noProof/>
            <w:webHidden/>
          </w:rPr>
        </w:r>
        <w:r>
          <w:rPr>
            <w:noProof/>
            <w:webHidden/>
          </w:rPr>
          <w:fldChar w:fldCharType="separate"/>
        </w:r>
        <w:r>
          <w:rPr>
            <w:noProof/>
            <w:webHidden/>
          </w:rPr>
          <w:t>300</w:t>
        </w:r>
        <w:r>
          <w:rPr>
            <w:noProof/>
            <w:webHidden/>
          </w:rPr>
          <w:fldChar w:fldCharType="end"/>
        </w:r>
      </w:hyperlink>
    </w:p>
    <w:p w14:paraId="08883B16" w14:textId="7633DD3D" w:rsidR="003D46C7" w:rsidRDefault="003D46C7">
      <w:pPr>
        <w:pStyle w:val="TableofFigures"/>
        <w:tabs>
          <w:tab w:val="right" w:leader="dot" w:pos="9350"/>
        </w:tabs>
        <w:rPr>
          <w:rFonts w:eastAsiaTheme="minorEastAsia"/>
          <w:noProof/>
          <w:lang w:val="en-US"/>
        </w:rPr>
      </w:pPr>
      <w:hyperlink w:anchor="_Toc241865263" w:history="1">
        <w:r w:rsidRPr="0063764C">
          <w:rPr>
            <w:rStyle w:val="Hyperlink"/>
            <w:rFonts w:ascii="Times New Roman" w:hAnsi="Times New Roman" w:cs="Times New Roman"/>
            <w:noProof/>
          </w:rPr>
          <w:t>Tablica 69</w:t>
        </w:r>
        <w:r w:rsidRPr="0063764C">
          <w:rPr>
            <w:rStyle w:val="Hyperlink"/>
            <w:rFonts w:ascii="Times New Roman" w:hAnsi="Times New Roman" w:cs="Times New Roman"/>
            <w:noProof/>
            <w:kern w:val="2"/>
            <w14:ligatures w14:val="standardContextual"/>
          </w:rPr>
          <w:t>: Testiranje razlike u dividendi po dionici između poduzeća preuzimatelja i nepreuzimatelja</w:t>
        </w:r>
        <w:r>
          <w:rPr>
            <w:noProof/>
            <w:webHidden/>
          </w:rPr>
          <w:tab/>
        </w:r>
        <w:r>
          <w:rPr>
            <w:noProof/>
            <w:webHidden/>
          </w:rPr>
          <w:fldChar w:fldCharType="begin"/>
        </w:r>
        <w:r>
          <w:rPr>
            <w:noProof/>
            <w:webHidden/>
          </w:rPr>
          <w:instrText xml:space="preserve"> PAGEREF _Toc241865263 \h </w:instrText>
        </w:r>
        <w:r>
          <w:rPr>
            <w:noProof/>
            <w:webHidden/>
          </w:rPr>
        </w:r>
        <w:r>
          <w:rPr>
            <w:noProof/>
            <w:webHidden/>
          </w:rPr>
          <w:fldChar w:fldCharType="separate"/>
        </w:r>
        <w:r>
          <w:rPr>
            <w:noProof/>
            <w:webHidden/>
          </w:rPr>
          <w:t>301</w:t>
        </w:r>
        <w:r>
          <w:rPr>
            <w:noProof/>
            <w:webHidden/>
          </w:rPr>
          <w:fldChar w:fldCharType="end"/>
        </w:r>
      </w:hyperlink>
    </w:p>
    <w:p w14:paraId="6D4F5D75" w14:textId="62963629" w:rsidR="003D46C7" w:rsidRDefault="003D46C7">
      <w:pPr>
        <w:pStyle w:val="TableofFigures"/>
        <w:tabs>
          <w:tab w:val="right" w:leader="dot" w:pos="9350"/>
        </w:tabs>
        <w:rPr>
          <w:rFonts w:eastAsiaTheme="minorEastAsia"/>
          <w:noProof/>
          <w:lang w:val="en-US"/>
        </w:rPr>
      </w:pPr>
      <w:hyperlink w:anchor="_Toc241865264" w:history="1">
        <w:r w:rsidRPr="0063764C">
          <w:rPr>
            <w:rStyle w:val="Hyperlink"/>
            <w:rFonts w:ascii="Times New Roman" w:hAnsi="Times New Roman" w:cs="Times New Roman"/>
            <w:noProof/>
          </w:rPr>
          <w:t>Tablica 70</w:t>
        </w:r>
        <w:r w:rsidRPr="0063764C">
          <w:rPr>
            <w:rStyle w:val="Hyperlink"/>
            <w:rFonts w:ascii="Times New Roman" w:hAnsi="Times New Roman" w:cs="Times New Roman"/>
            <w:noProof/>
            <w:kern w:val="2"/>
            <w14:ligatures w14:val="standardContextual"/>
          </w:rPr>
          <w:t>: Testiranje razlike u tržišnom udjelu između poduzeća preuzimatelja i nepreuzimatelja</w:t>
        </w:r>
        <w:r>
          <w:rPr>
            <w:noProof/>
            <w:webHidden/>
          </w:rPr>
          <w:tab/>
        </w:r>
        <w:r>
          <w:rPr>
            <w:noProof/>
            <w:webHidden/>
          </w:rPr>
          <w:fldChar w:fldCharType="begin"/>
        </w:r>
        <w:r>
          <w:rPr>
            <w:noProof/>
            <w:webHidden/>
          </w:rPr>
          <w:instrText xml:space="preserve"> PAGEREF _Toc241865264 \h </w:instrText>
        </w:r>
        <w:r>
          <w:rPr>
            <w:noProof/>
            <w:webHidden/>
          </w:rPr>
        </w:r>
        <w:r>
          <w:rPr>
            <w:noProof/>
            <w:webHidden/>
          </w:rPr>
          <w:fldChar w:fldCharType="separate"/>
        </w:r>
        <w:r>
          <w:rPr>
            <w:noProof/>
            <w:webHidden/>
          </w:rPr>
          <w:t>302</w:t>
        </w:r>
        <w:r>
          <w:rPr>
            <w:noProof/>
            <w:webHidden/>
          </w:rPr>
          <w:fldChar w:fldCharType="end"/>
        </w:r>
      </w:hyperlink>
    </w:p>
    <w:p w14:paraId="18C140A0" w14:textId="46991E43" w:rsidR="003D46C7" w:rsidRDefault="003D46C7">
      <w:pPr>
        <w:pStyle w:val="TableofFigures"/>
        <w:tabs>
          <w:tab w:val="right" w:leader="dot" w:pos="9350"/>
        </w:tabs>
        <w:rPr>
          <w:rFonts w:eastAsiaTheme="minorEastAsia"/>
          <w:noProof/>
          <w:lang w:val="en-US"/>
        </w:rPr>
      </w:pPr>
      <w:hyperlink w:anchor="_Toc241865265" w:history="1">
        <w:r w:rsidRPr="0063764C">
          <w:rPr>
            <w:rStyle w:val="Hyperlink"/>
            <w:rFonts w:ascii="Times New Roman" w:hAnsi="Times New Roman" w:cs="Times New Roman"/>
            <w:noProof/>
          </w:rPr>
          <w:t>Tablica 71</w:t>
        </w:r>
        <w:r w:rsidRPr="0063764C">
          <w:rPr>
            <w:rStyle w:val="Hyperlink"/>
            <w:rFonts w:ascii="Times New Roman" w:hAnsi="Times New Roman" w:cs="Times New Roman"/>
            <w:noProof/>
            <w:kern w:val="2"/>
            <w14:ligatures w14:val="standardContextual"/>
          </w:rPr>
          <w:t>: Testiranje razlike u MVA-i između poduzeća preuzimatelja i nepreuzimatelja</w:t>
        </w:r>
        <w:r>
          <w:rPr>
            <w:noProof/>
            <w:webHidden/>
          </w:rPr>
          <w:tab/>
        </w:r>
        <w:r>
          <w:rPr>
            <w:noProof/>
            <w:webHidden/>
          </w:rPr>
          <w:fldChar w:fldCharType="begin"/>
        </w:r>
        <w:r>
          <w:rPr>
            <w:noProof/>
            <w:webHidden/>
          </w:rPr>
          <w:instrText xml:space="preserve"> PAGEREF _Toc241865265 \h </w:instrText>
        </w:r>
        <w:r>
          <w:rPr>
            <w:noProof/>
            <w:webHidden/>
          </w:rPr>
        </w:r>
        <w:r>
          <w:rPr>
            <w:noProof/>
            <w:webHidden/>
          </w:rPr>
          <w:fldChar w:fldCharType="separate"/>
        </w:r>
        <w:r>
          <w:rPr>
            <w:noProof/>
            <w:webHidden/>
          </w:rPr>
          <w:t>303</w:t>
        </w:r>
        <w:r>
          <w:rPr>
            <w:noProof/>
            <w:webHidden/>
          </w:rPr>
          <w:fldChar w:fldCharType="end"/>
        </w:r>
      </w:hyperlink>
    </w:p>
    <w:p w14:paraId="48D8FBFD" w14:textId="5E9C7E7E" w:rsidR="003D46C7" w:rsidRDefault="003D46C7">
      <w:pPr>
        <w:pStyle w:val="TableofFigures"/>
        <w:tabs>
          <w:tab w:val="right" w:leader="dot" w:pos="9350"/>
        </w:tabs>
        <w:rPr>
          <w:rFonts w:eastAsiaTheme="minorEastAsia"/>
          <w:noProof/>
          <w:lang w:val="en-US"/>
        </w:rPr>
      </w:pPr>
      <w:hyperlink w:anchor="_Toc241865266" w:history="1">
        <w:r w:rsidRPr="0063764C">
          <w:rPr>
            <w:rStyle w:val="Hyperlink"/>
            <w:rFonts w:ascii="Times New Roman" w:hAnsi="Times New Roman" w:cs="Times New Roman"/>
            <w:noProof/>
          </w:rPr>
          <w:t>Tablica 72</w:t>
        </w:r>
        <w:r w:rsidRPr="0063764C">
          <w:rPr>
            <w:rStyle w:val="Hyperlink"/>
            <w:rFonts w:ascii="Times New Roman" w:hAnsi="Times New Roman" w:cs="Times New Roman"/>
            <w:noProof/>
            <w:lang w:val="it-IT"/>
          </w:rPr>
          <w:t xml:space="preserve">: </w:t>
        </w:r>
        <w:r w:rsidRPr="0063764C">
          <w:rPr>
            <w:rStyle w:val="Hyperlink"/>
            <w:rFonts w:ascii="Times New Roman" w:hAnsi="Times New Roman" w:cs="Times New Roman"/>
            <w:noProof/>
          </w:rPr>
          <w:t>Sinteza motiva i čimbenika uspjeha spajanja i preuzimanja po fazama</w:t>
        </w:r>
        <w:r>
          <w:rPr>
            <w:noProof/>
            <w:webHidden/>
          </w:rPr>
          <w:tab/>
        </w:r>
        <w:r>
          <w:rPr>
            <w:noProof/>
            <w:webHidden/>
          </w:rPr>
          <w:fldChar w:fldCharType="begin"/>
        </w:r>
        <w:r>
          <w:rPr>
            <w:noProof/>
            <w:webHidden/>
          </w:rPr>
          <w:instrText xml:space="preserve"> PAGEREF _Toc241865266 \h </w:instrText>
        </w:r>
        <w:r>
          <w:rPr>
            <w:noProof/>
            <w:webHidden/>
          </w:rPr>
        </w:r>
        <w:r>
          <w:rPr>
            <w:noProof/>
            <w:webHidden/>
          </w:rPr>
          <w:fldChar w:fldCharType="separate"/>
        </w:r>
        <w:r>
          <w:rPr>
            <w:noProof/>
            <w:webHidden/>
          </w:rPr>
          <w:t>318</w:t>
        </w:r>
        <w:r>
          <w:rPr>
            <w:noProof/>
            <w:webHidden/>
          </w:rPr>
          <w:fldChar w:fldCharType="end"/>
        </w:r>
      </w:hyperlink>
    </w:p>
    <w:p w14:paraId="4747E5C9" w14:textId="22B47B8A" w:rsidR="003D46C7" w:rsidRDefault="003D46C7">
      <w:pPr>
        <w:pStyle w:val="TableofFigures"/>
        <w:tabs>
          <w:tab w:val="right" w:leader="dot" w:pos="9350"/>
        </w:tabs>
        <w:rPr>
          <w:rFonts w:eastAsiaTheme="minorEastAsia"/>
          <w:noProof/>
          <w:lang w:val="en-US"/>
        </w:rPr>
      </w:pPr>
      <w:hyperlink w:anchor="_Toc241865267" w:history="1">
        <w:r w:rsidRPr="0063764C">
          <w:rPr>
            <w:rStyle w:val="Hyperlink"/>
            <w:rFonts w:ascii="Times New Roman" w:hAnsi="Times New Roman" w:cs="Times New Roman"/>
            <w:noProof/>
          </w:rPr>
          <w:t>Tablica 73: Usporedni prikaz ključnih obilježja procesa spajanja i preuzimanja po pojedinim fazama</w:t>
        </w:r>
        <w:r>
          <w:rPr>
            <w:noProof/>
            <w:webHidden/>
          </w:rPr>
          <w:tab/>
        </w:r>
        <w:r>
          <w:rPr>
            <w:noProof/>
            <w:webHidden/>
          </w:rPr>
          <w:fldChar w:fldCharType="begin"/>
        </w:r>
        <w:r>
          <w:rPr>
            <w:noProof/>
            <w:webHidden/>
          </w:rPr>
          <w:instrText xml:space="preserve"> PAGEREF _Toc241865267 \h </w:instrText>
        </w:r>
        <w:r>
          <w:rPr>
            <w:noProof/>
            <w:webHidden/>
          </w:rPr>
        </w:r>
        <w:r>
          <w:rPr>
            <w:noProof/>
            <w:webHidden/>
          </w:rPr>
          <w:fldChar w:fldCharType="separate"/>
        </w:r>
        <w:r>
          <w:rPr>
            <w:noProof/>
            <w:webHidden/>
          </w:rPr>
          <w:t>319</w:t>
        </w:r>
        <w:r>
          <w:rPr>
            <w:noProof/>
            <w:webHidden/>
          </w:rPr>
          <w:fldChar w:fldCharType="end"/>
        </w:r>
      </w:hyperlink>
    </w:p>
    <w:p w14:paraId="2C4737CC" w14:textId="4A687E39" w:rsidR="003D46C7" w:rsidRDefault="003D46C7">
      <w:pPr>
        <w:pStyle w:val="TableofFigures"/>
        <w:tabs>
          <w:tab w:val="right" w:leader="dot" w:pos="9350"/>
        </w:tabs>
        <w:rPr>
          <w:rFonts w:eastAsiaTheme="minorEastAsia"/>
          <w:noProof/>
          <w:lang w:val="en-US"/>
        </w:rPr>
      </w:pPr>
      <w:hyperlink w:anchor="_Toc241865268" w:history="1">
        <w:r w:rsidRPr="0063764C">
          <w:rPr>
            <w:rStyle w:val="Hyperlink"/>
            <w:rFonts w:ascii="Times New Roman" w:hAnsi="Times New Roman" w:cs="Times New Roman"/>
            <w:noProof/>
          </w:rPr>
          <w:t>Tablica 74: Sintezni prikaz učinaka spajanja i preuzimanja na operativnu, financijsku i tržišnu uspješnost hotelskih poduzeća (H3 i H4)</w:t>
        </w:r>
        <w:r>
          <w:rPr>
            <w:noProof/>
            <w:webHidden/>
          </w:rPr>
          <w:tab/>
        </w:r>
        <w:r>
          <w:rPr>
            <w:noProof/>
            <w:webHidden/>
          </w:rPr>
          <w:fldChar w:fldCharType="begin"/>
        </w:r>
        <w:r>
          <w:rPr>
            <w:noProof/>
            <w:webHidden/>
          </w:rPr>
          <w:instrText xml:space="preserve"> PAGEREF _Toc241865268 \h </w:instrText>
        </w:r>
        <w:r>
          <w:rPr>
            <w:noProof/>
            <w:webHidden/>
          </w:rPr>
        </w:r>
        <w:r>
          <w:rPr>
            <w:noProof/>
            <w:webHidden/>
          </w:rPr>
          <w:fldChar w:fldCharType="separate"/>
        </w:r>
        <w:r>
          <w:rPr>
            <w:noProof/>
            <w:webHidden/>
          </w:rPr>
          <w:t>329</w:t>
        </w:r>
        <w:r>
          <w:rPr>
            <w:noProof/>
            <w:webHidden/>
          </w:rPr>
          <w:fldChar w:fldCharType="end"/>
        </w:r>
      </w:hyperlink>
    </w:p>
    <w:p w14:paraId="4530E64A" w14:textId="4C53FE9A" w:rsidR="00844E98" w:rsidRPr="003D46C7" w:rsidRDefault="00044BF6">
      <w:pPr>
        <w:rPr>
          <w:rFonts w:ascii="Times New Roman" w:hAnsi="Times New Roman" w:cs="Times New Roman"/>
          <w:sz w:val="24"/>
          <w:szCs w:val="24"/>
        </w:rPr>
      </w:pPr>
      <w:r w:rsidRPr="003D46C7">
        <w:rPr>
          <w:rFonts w:ascii="Times New Roman" w:hAnsi="Times New Roman" w:cs="Times New Roman"/>
          <w:sz w:val="24"/>
          <w:szCs w:val="24"/>
        </w:rPr>
        <w:fldChar w:fldCharType="end"/>
      </w:r>
    </w:p>
    <w:p w14:paraId="49AD924B" w14:textId="22D212B3" w:rsidR="00044BF6" w:rsidRDefault="00044BF6">
      <w:pPr>
        <w:rPr>
          <w:rFonts w:ascii="Times New Roman" w:hAnsi="Times New Roman" w:cs="Times New Roman"/>
        </w:rPr>
      </w:pPr>
    </w:p>
    <w:p w14:paraId="7024337E" w14:textId="37D85A24" w:rsidR="00044BF6" w:rsidRDefault="00044BF6">
      <w:pPr>
        <w:rPr>
          <w:rFonts w:ascii="Times New Roman" w:hAnsi="Times New Roman" w:cs="Times New Roman"/>
        </w:rPr>
      </w:pPr>
    </w:p>
    <w:p w14:paraId="0206EA2D" w14:textId="5554B8B9" w:rsidR="00044BF6" w:rsidRPr="006463E5" w:rsidRDefault="00044BF6" w:rsidP="006463E5">
      <w:pPr>
        <w:pStyle w:val="Heading1"/>
        <w:rPr>
          <w:rFonts w:ascii="Times New Roman" w:hAnsi="Times New Roman" w:cs="Times New Roman"/>
        </w:rPr>
      </w:pPr>
      <w:bookmarkStart w:id="283" w:name="_Toc241865193"/>
      <w:r w:rsidRPr="006463E5">
        <w:rPr>
          <w:rFonts w:ascii="Times New Roman" w:hAnsi="Times New Roman" w:cs="Times New Roman"/>
        </w:rPr>
        <w:t>POPIS PRIKAZA</w:t>
      </w:r>
      <w:bookmarkEnd w:id="283"/>
      <w:r w:rsidRPr="006463E5">
        <w:rPr>
          <w:rFonts w:ascii="Times New Roman" w:hAnsi="Times New Roman" w:cs="Times New Roman"/>
        </w:rPr>
        <w:t xml:space="preserve"> </w:t>
      </w:r>
    </w:p>
    <w:p w14:paraId="3CC94EE1" w14:textId="11E3D273" w:rsidR="00044BF6" w:rsidRDefault="00044BF6">
      <w:pPr>
        <w:rPr>
          <w:rFonts w:ascii="Times New Roman" w:hAnsi="Times New Roman" w:cs="Times New Roman"/>
        </w:rPr>
      </w:pPr>
    </w:p>
    <w:p w14:paraId="73DFA7AD" w14:textId="5C6672A3" w:rsidR="003D46C7" w:rsidRDefault="00044BF6">
      <w:pPr>
        <w:pStyle w:val="TableofFigures"/>
        <w:tabs>
          <w:tab w:val="right" w:leader="dot" w:pos="9350"/>
        </w:tabs>
        <w:rPr>
          <w:rFonts w:eastAsiaTheme="minorEastAsia"/>
          <w:noProof/>
          <w:lang w:val="en-US"/>
        </w:rPr>
      </w:pPr>
      <w:r w:rsidRPr="003D46C7">
        <w:rPr>
          <w:rFonts w:ascii="Times New Roman" w:hAnsi="Times New Roman" w:cs="Times New Roman"/>
          <w:sz w:val="24"/>
          <w:szCs w:val="24"/>
        </w:rPr>
        <w:fldChar w:fldCharType="begin"/>
      </w:r>
      <w:r w:rsidRPr="003D46C7">
        <w:rPr>
          <w:rFonts w:ascii="Times New Roman" w:hAnsi="Times New Roman" w:cs="Times New Roman"/>
          <w:sz w:val="24"/>
          <w:szCs w:val="24"/>
        </w:rPr>
        <w:instrText xml:space="preserve"> TOC \h \z \c "Prikaz" </w:instrText>
      </w:r>
      <w:r w:rsidRPr="003D46C7">
        <w:rPr>
          <w:rFonts w:ascii="Times New Roman" w:hAnsi="Times New Roman" w:cs="Times New Roman"/>
          <w:sz w:val="24"/>
          <w:szCs w:val="24"/>
        </w:rPr>
        <w:fldChar w:fldCharType="separate"/>
      </w:r>
      <w:hyperlink w:anchor="_Toc241865269" w:history="1">
        <w:r w:rsidR="003D46C7" w:rsidRPr="00D32C8D">
          <w:rPr>
            <w:rStyle w:val="Hyperlink"/>
            <w:rFonts w:ascii="Times New Roman" w:hAnsi="Times New Roman" w:cs="Times New Roman"/>
            <w:noProof/>
          </w:rPr>
          <w:t>Prikaz 1: Povijesni razvoj hotelijerstva: od Antike do Suvremenog doba</w:t>
        </w:r>
        <w:r w:rsidR="003D46C7">
          <w:rPr>
            <w:noProof/>
            <w:webHidden/>
          </w:rPr>
          <w:tab/>
        </w:r>
        <w:r w:rsidR="003D46C7">
          <w:rPr>
            <w:noProof/>
            <w:webHidden/>
          </w:rPr>
          <w:fldChar w:fldCharType="begin"/>
        </w:r>
        <w:r w:rsidR="003D46C7">
          <w:rPr>
            <w:noProof/>
            <w:webHidden/>
          </w:rPr>
          <w:instrText xml:space="preserve"> PAGEREF _Toc241865269 \h </w:instrText>
        </w:r>
        <w:r w:rsidR="003D46C7">
          <w:rPr>
            <w:noProof/>
            <w:webHidden/>
          </w:rPr>
        </w:r>
        <w:r w:rsidR="003D46C7">
          <w:rPr>
            <w:noProof/>
            <w:webHidden/>
          </w:rPr>
          <w:fldChar w:fldCharType="separate"/>
        </w:r>
        <w:r w:rsidR="003D46C7">
          <w:rPr>
            <w:noProof/>
            <w:webHidden/>
          </w:rPr>
          <w:t>28</w:t>
        </w:r>
        <w:r w:rsidR="003D46C7">
          <w:rPr>
            <w:noProof/>
            <w:webHidden/>
          </w:rPr>
          <w:fldChar w:fldCharType="end"/>
        </w:r>
      </w:hyperlink>
    </w:p>
    <w:p w14:paraId="66308B9C" w14:textId="74886750" w:rsidR="003D46C7" w:rsidRDefault="003D46C7">
      <w:pPr>
        <w:pStyle w:val="TableofFigures"/>
        <w:tabs>
          <w:tab w:val="right" w:leader="dot" w:pos="9350"/>
        </w:tabs>
        <w:rPr>
          <w:rFonts w:eastAsiaTheme="minorEastAsia"/>
          <w:noProof/>
          <w:lang w:val="en-US"/>
        </w:rPr>
      </w:pPr>
      <w:hyperlink w:anchor="_Toc241865270" w:history="1">
        <w:r w:rsidRPr="00D32C8D">
          <w:rPr>
            <w:rStyle w:val="Hyperlink"/>
            <w:rFonts w:ascii="Times New Roman" w:hAnsi="Times New Roman" w:cs="Times New Roman"/>
            <w:noProof/>
          </w:rPr>
          <w:t>Prikaz 2: Marriotove prepoznatljive marke</w:t>
        </w:r>
        <w:r>
          <w:rPr>
            <w:noProof/>
            <w:webHidden/>
          </w:rPr>
          <w:tab/>
        </w:r>
        <w:r>
          <w:rPr>
            <w:noProof/>
            <w:webHidden/>
          </w:rPr>
          <w:fldChar w:fldCharType="begin"/>
        </w:r>
        <w:r>
          <w:rPr>
            <w:noProof/>
            <w:webHidden/>
          </w:rPr>
          <w:instrText xml:space="preserve"> PAGEREF _Toc241865270 \h </w:instrText>
        </w:r>
        <w:r>
          <w:rPr>
            <w:noProof/>
            <w:webHidden/>
          </w:rPr>
        </w:r>
        <w:r>
          <w:rPr>
            <w:noProof/>
            <w:webHidden/>
          </w:rPr>
          <w:fldChar w:fldCharType="separate"/>
        </w:r>
        <w:r>
          <w:rPr>
            <w:noProof/>
            <w:webHidden/>
          </w:rPr>
          <w:t>31</w:t>
        </w:r>
        <w:r>
          <w:rPr>
            <w:noProof/>
            <w:webHidden/>
          </w:rPr>
          <w:fldChar w:fldCharType="end"/>
        </w:r>
      </w:hyperlink>
    </w:p>
    <w:p w14:paraId="6F68D1EF" w14:textId="01C6A842" w:rsidR="003D46C7" w:rsidRDefault="003D46C7">
      <w:pPr>
        <w:pStyle w:val="TableofFigures"/>
        <w:tabs>
          <w:tab w:val="right" w:leader="dot" w:pos="9350"/>
        </w:tabs>
        <w:rPr>
          <w:rFonts w:eastAsiaTheme="minorEastAsia"/>
          <w:noProof/>
          <w:lang w:val="en-US"/>
        </w:rPr>
      </w:pPr>
      <w:hyperlink w:anchor="_Toc241865271" w:history="1">
        <w:r w:rsidRPr="00D32C8D">
          <w:rPr>
            <w:rStyle w:val="Hyperlink"/>
            <w:rFonts w:ascii="Times New Roman" w:hAnsi="Times New Roman" w:cs="Times New Roman"/>
            <w:noProof/>
          </w:rPr>
          <w:t>Prikaz 3: Hiltonove prepoznatljive marke</w:t>
        </w:r>
        <w:r>
          <w:rPr>
            <w:noProof/>
            <w:webHidden/>
          </w:rPr>
          <w:tab/>
        </w:r>
        <w:r>
          <w:rPr>
            <w:noProof/>
            <w:webHidden/>
          </w:rPr>
          <w:fldChar w:fldCharType="begin"/>
        </w:r>
        <w:r>
          <w:rPr>
            <w:noProof/>
            <w:webHidden/>
          </w:rPr>
          <w:instrText xml:space="preserve"> PAGEREF _Toc241865271 \h </w:instrText>
        </w:r>
        <w:r>
          <w:rPr>
            <w:noProof/>
            <w:webHidden/>
          </w:rPr>
        </w:r>
        <w:r>
          <w:rPr>
            <w:noProof/>
            <w:webHidden/>
          </w:rPr>
          <w:fldChar w:fldCharType="separate"/>
        </w:r>
        <w:r>
          <w:rPr>
            <w:noProof/>
            <w:webHidden/>
          </w:rPr>
          <w:t>32</w:t>
        </w:r>
        <w:r>
          <w:rPr>
            <w:noProof/>
            <w:webHidden/>
          </w:rPr>
          <w:fldChar w:fldCharType="end"/>
        </w:r>
      </w:hyperlink>
    </w:p>
    <w:p w14:paraId="234ABE1B" w14:textId="42FF3985" w:rsidR="003D46C7" w:rsidRDefault="003D46C7">
      <w:pPr>
        <w:pStyle w:val="TableofFigures"/>
        <w:tabs>
          <w:tab w:val="right" w:leader="dot" w:pos="9350"/>
        </w:tabs>
        <w:rPr>
          <w:rFonts w:eastAsiaTheme="minorEastAsia"/>
          <w:noProof/>
          <w:lang w:val="en-US"/>
        </w:rPr>
      </w:pPr>
      <w:hyperlink w:anchor="_Toc241865272" w:history="1">
        <w:r w:rsidRPr="00D32C8D">
          <w:rPr>
            <w:rStyle w:val="Hyperlink"/>
            <w:rFonts w:ascii="Times New Roman" w:hAnsi="Times New Roman" w:cs="Times New Roman"/>
            <w:noProof/>
          </w:rPr>
          <w:t>Prikaz 4: Luksuzne Accorove marke</w:t>
        </w:r>
        <w:r>
          <w:rPr>
            <w:noProof/>
            <w:webHidden/>
          </w:rPr>
          <w:tab/>
        </w:r>
        <w:r>
          <w:rPr>
            <w:noProof/>
            <w:webHidden/>
          </w:rPr>
          <w:fldChar w:fldCharType="begin"/>
        </w:r>
        <w:r>
          <w:rPr>
            <w:noProof/>
            <w:webHidden/>
          </w:rPr>
          <w:instrText xml:space="preserve"> PAGEREF _Toc241865272 \h </w:instrText>
        </w:r>
        <w:r>
          <w:rPr>
            <w:noProof/>
            <w:webHidden/>
          </w:rPr>
        </w:r>
        <w:r>
          <w:rPr>
            <w:noProof/>
            <w:webHidden/>
          </w:rPr>
          <w:fldChar w:fldCharType="separate"/>
        </w:r>
        <w:r>
          <w:rPr>
            <w:noProof/>
            <w:webHidden/>
          </w:rPr>
          <w:t>32</w:t>
        </w:r>
        <w:r>
          <w:rPr>
            <w:noProof/>
            <w:webHidden/>
          </w:rPr>
          <w:fldChar w:fldCharType="end"/>
        </w:r>
      </w:hyperlink>
    </w:p>
    <w:p w14:paraId="056BC417" w14:textId="79838465" w:rsidR="003D46C7" w:rsidRDefault="003D46C7">
      <w:pPr>
        <w:pStyle w:val="TableofFigures"/>
        <w:tabs>
          <w:tab w:val="right" w:leader="dot" w:pos="9350"/>
        </w:tabs>
        <w:rPr>
          <w:rFonts w:eastAsiaTheme="minorEastAsia"/>
          <w:noProof/>
          <w:lang w:val="en-US"/>
        </w:rPr>
      </w:pPr>
      <w:hyperlink w:anchor="_Toc241865273" w:history="1">
        <w:r w:rsidRPr="00D32C8D">
          <w:rPr>
            <w:rStyle w:val="Hyperlink"/>
            <w:rFonts w:ascii="Times New Roman" w:hAnsi="Times New Roman" w:cs="Times New Roman"/>
            <w:noProof/>
          </w:rPr>
          <w:t>Prikaz 5: Najveća hotelska poduzeća prema broju objekata u portfelju</w:t>
        </w:r>
        <w:r>
          <w:rPr>
            <w:noProof/>
            <w:webHidden/>
          </w:rPr>
          <w:tab/>
        </w:r>
        <w:r>
          <w:rPr>
            <w:noProof/>
            <w:webHidden/>
          </w:rPr>
          <w:fldChar w:fldCharType="begin"/>
        </w:r>
        <w:r>
          <w:rPr>
            <w:noProof/>
            <w:webHidden/>
          </w:rPr>
          <w:instrText xml:space="preserve"> PAGEREF _Toc241865273 \h </w:instrText>
        </w:r>
        <w:r>
          <w:rPr>
            <w:noProof/>
            <w:webHidden/>
          </w:rPr>
        </w:r>
        <w:r>
          <w:rPr>
            <w:noProof/>
            <w:webHidden/>
          </w:rPr>
          <w:fldChar w:fldCharType="separate"/>
        </w:r>
        <w:r>
          <w:rPr>
            <w:noProof/>
            <w:webHidden/>
          </w:rPr>
          <w:t>37</w:t>
        </w:r>
        <w:r>
          <w:rPr>
            <w:noProof/>
            <w:webHidden/>
          </w:rPr>
          <w:fldChar w:fldCharType="end"/>
        </w:r>
      </w:hyperlink>
    </w:p>
    <w:p w14:paraId="124E5544" w14:textId="455285BE" w:rsidR="003D46C7" w:rsidRDefault="003D46C7">
      <w:pPr>
        <w:pStyle w:val="TableofFigures"/>
        <w:tabs>
          <w:tab w:val="right" w:leader="dot" w:pos="9350"/>
        </w:tabs>
        <w:rPr>
          <w:rFonts w:eastAsiaTheme="minorEastAsia"/>
          <w:noProof/>
          <w:lang w:val="en-US"/>
        </w:rPr>
      </w:pPr>
      <w:hyperlink w:anchor="_Toc241865274" w:history="1">
        <w:r w:rsidRPr="00D32C8D">
          <w:rPr>
            <w:rStyle w:val="Hyperlink"/>
            <w:rFonts w:ascii="Times New Roman" w:hAnsi="Times New Roman" w:cs="Times New Roman"/>
            <w:noProof/>
          </w:rPr>
          <w:t>Prikaz 6: Smještajni kapaciteti u Republici Hrvatskoj od 2019. do 2023. godine</w:t>
        </w:r>
        <w:r>
          <w:rPr>
            <w:noProof/>
            <w:webHidden/>
          </w:rPr>
          <w:tab/>
        </w:r>
        <w:r>
          <w:rPr>
            <w:noProof/>
            <w:webHidden/>
          </w:rPr>
          <w:fldChar w:fldCharType="begin"/>
        </w:r>
        <w:r>
          <w:rPr>
            <w:noProof/>
            <w:webHidden/>
          </w:rPr>
          <w:instrText xml:space="preserve"> PAGEREF _Toc241865274 \h </w:instrText>
        </w:r>
        <w:r>
          <w:rPr>
            <w:noProof/>
            <w:webHidden/>
          </w:rPr>
        </w:r>
        <w:r>
          <w:rPr>
            <w:noProof/>
            <w:webHidden/>
          </w:rPr>
          <w:fldChar w:fldCharType="separate"/>
        </w:r>
        <w:r>
          <w:rPr>
            <w:noProof/>
            <w:webHidden/>
          </w:rPr>
          <w:t>39</w:t>
        </w:r>
        <w:r>
          <w:rPr>
            <w:noProof/>
            <w:webHidden/>
          </w:rPr>
          <w:fldChar w:fldCharType="end"/>
        </w:r>
      </w:hyperlink>
    </w:p>
    <w:p w14:paraId="6229B9F0" w14:textId="7F47FDDF" w:rsidR="003D46C7" w:rsidRDefault="003D46C7">
      <w:pPr>
        <w:pStyle w:val="TableofFigures"/>
        <w:tabs>
          <w:tab w:val="right" w:leader="dot" w:pos="9350"/>
        </w:tabs>
        <w:rPr>
          <w:rFonts w:eastAsiaTheme="minorEastAsia"/>
          <w:noProof/>
          <w:lang w:val="en-US"/>
        </w:rPr>
      </w:pPr>
      <w:hyperlink w:anchor="_Toc241865275" w:history="1">
        <w:r w:rsidRPr="00D32C8D">
          <w:rPr>
            <w:rStyle w:val="Hyperlink"/>
            <w:rFonts w:ascii="Times New Roman" w:hAnsi="Times New Roman" w:cs="Times New Roman"/>
            <w:noProof/>
          </w:rPr>
          <w:t>Prikaz 7: Ukupan broj kreveta prema vrstama smještajnih kapaciteta (razlika 2019. – 2023.)</w:t>
        </w:r>
        <w:r>
          <w:rPr>
            <w:noProof/>
            <w:webHidden/>
          </w:rPr>
          <w:tab/>
        </w:r>
        <w:r>
          <w:rPr>
            <w:noProof/>
            <w:webHidden/>
          </w:rPr>
          <w:fldChar w:fldCharType="begin"/>
        </w:r>
        <w:r>
          <w:rPr>
            <w:noProof/>
            <w:webHidden/>
          </w:rPr>
          <w:instrText xml:space="preserve"> PAGEREF _Toc241865275 \h </w:instrText>
        </w:r>
        <w:r>
          <w:rPr>
            <w:noProof/>
            <w:webHidden/>
          </w:rPr>
        </w:r>
        <w:r>
          <w:rPr>
            <w:noProof/>
            <w:webHidden/>
          </w:rPr>
          <w:fldChar w:fldCharType="separate"/>
        </w:r>
        <w:r>
          <w:rPr>
            <w:noProof/>
            <w:webHidden/>
          </w:rPr>
          <w:t>40</w:t>
        </w:r>
        <w:r>
          <w:rPr>
            <w:noProof/>
            <w:webHidden/>
          </w:rPr>
          <w:fldChar w:fldCharType="end"/>
        </w:r>
      </w:hyperlink>
    </w:p>
    <w:p w14:paraId="75CF1AC7" w14:textId="490452E0" w:rsidR="003D46C7" w:rsidRDefault="003D46C7">
      <w:pPr>
        <w:pStyle w:val="TableofFigures"/>
        <w:tabs>
          <w:tab w:val="right" w:leader="dot" w:pos="9350"/>
        </w:tabs>
        <w:rPr>
          <w:rFonts w:eastAsiaTheme="minorEastAsia"/>
          <w:noProof/>
          <w:lang w:val="en-US"/>
        </w:rPr>
      </w:pPr>
      <w:hyperlink w:anchor="_Toc241865276" w:history="1">
        <w:r w:rsidRPr="00D32C8D">
          <w:rPr>
            <w:rStyle w:val="Hyperlink"/>
            <w:rFonts w:ascii="Times New Roman" w:hAnsi="Times New Roman" w:cs="Times New Roman"/>
            <w:noProof/>
          </w:rPr>
          <w:t>Prikaz 8: Ukupni prihodi, dobit prije poreza, kamata i amortizacije (EBITDA) i dobit razdoblja najvećih deset hrvatskih hotelskih poduzeća u 2023. godini</w:t>
        </w:r>
        <w:r>
          <w:rPr>
            <w:noProof/>
            <w:webHidden/>
          </w:rPr>
          <w:tab/>
        </w:r>
        <w:r>
          <w:rPr>
            <w:noProof/>
            <w:webHidden/>
          </w:rPr>
          <w:fldChar w:fldCharType="begin"/>
        </w:r>
        <w:r>
          <w:rPr>
            <w:noProof/>
            <w:webHidden/>
          </w:rPr>
          <w:instrText xml:space="preserve"> PAGEREF _Toc241865276 \h </w:instrText>
        </w:r>
        <w:r>
          <w:rPr>
            <w:noProof/>
            <w:webHidden/>
          </w:rPr>
        </w:r>
        <w:r>
          <w:rPr>
            <w:noProof/>
            <w:webHidden/>
          </w:rPr>
          <w:fldChar w:fldCharType="separate"/>
        </w:r>
        <w:r>
          <w:rPr>
            <w:noProof/>
            <w:webHidden/>
          </w:rPr>
          <w:t>42</w:t>
        </w:r>
        <w:r>
          <w:rPr>
            <w:noProof/>
            <w:webHidden/>
          </w:rPr>
          <w:fldChar w:fldCharType="end"/>
        </w:r>
      </w:hyperlink>
    </w:p>
    <w:p w14:paraId="25434865" w14:textId="7B4227A2" w:rsidR="003D46C7" w:rsidRDefault="003D46C7">
      <w:pPr>
        <w:pStyle w:val="TableofFigures"/>
        <w:tabs>
          <w:tab w:val="right" w:leader="dot" w:pos="9350"/>
        </w:tabs>
        <w:rPr>
          <w:rFonts w:eastAsiaTheme="minorEastAsia"/>
          <w:noProof/>
          <w:lang w:val="en-US"/>
        </w:rPr>
      </w:pPr>
      <w:hyperlink w:anchor="_Toc241865277" w:history="1">
        <w:r w:rsidRPr="00D32C8D">
          <w:rPr>
            <w:rStyle w:val="Hyperlink"/>
            <w:rFonts w:ascii="Times New Roman" w:hAnsi="Times New Roman" w:cs="Times New Roman"/>
            <w:noProof/>
          </w:rPr>
          <w:t>Prikaz 9: Bruto investicije u dugotrajnu imovinu najvećih 10 hrvatskih hotelskih poduzeća u 2023. godini</w:t>
        </w:r>
        <w:r>
          <w:rPr>
            <w:noProof/>
            <w:webHidden/>
          </w:rPr>
          <w:tab/>
        </w:r>
        <w:r>
          <w:rPr>
            <w:noProof/>
            <w:webHidden/>
          </w:rPr>
          <w:fldChar w:fldCharType="begin"/>
        </w:r>
        <w:r>
          <w:rPr>
            <w:noProof/>
            <w:webHidden/>
          </w:rPr>
          <w:instrText xml:space="preserve"> PAGEREF _Toc241865277 \h </w:instrText>
        </w:r>
        <w:r>
          <w:rPr>
            <w:noProof/>
            <w:webHidden/>
          </w:rPr>
        </w:r>
        <w:r>
          <w:rPr>
            <w:noProof/>
            <w:webHidden/>
          </w:rPr>
          <w:fldChar w:fldCharType="separate"/>
        </w:r>
        <w:r>
          <w:rPr>
            <w:noProof/>
            <w:webHidden/>
          </w:rPr>
          <w:t>44</w:t>
        </w:r>
        <w:r>
          <w:rPr>
            <w:noProof/>
            <w:webHidden/>
          </w:rPr>
          <w:fldChar w:fldCharType="end"/>
        </w:r>
      </w:hyperlink>
    </w:p>
    <w:p w14:paraId="213D0729" w14:textId="27577305" w:rsidR="003D46C7" w:rsidRDefault="003D46C7">
      <w:pPr>
        <w:pStyle w:val="TableofFigures"/>
        <w:tabs>
          <w:tab w:val="right" w:leader="dot" w:pos="9350"/>
        </w:tabs>
        <w:rPr>
          <w:rFonts w:eastAsiaTheme="minorEastAsia"/>
          <w:noProof/>
          <w:lang w:val="en-US"/>
        </w:rPr>
      </w:pPr>
      <w:hyperlink w:anchor="_Toc241865278" w:history="1">
        <w:r w:rsidRPr="00D32C8D">
          <w:rPr>
            <w:rStyle w:val="Hyperlink"/>
            <w:rFonts w:ascii="Times New Roman" w:hAnsi="Times New Roman" w:cs="Times New Roman"/>
            <w:noProof/>
          </w:rPr>
          <w:t>Prikaz 10: Broj zaposlenika prema satima rada deset najvećih hrvatskih hotelskih poduzeća u 2023. godini</w:t>
        </w:r>
        <w:r>
          <w:rPr>
            <w:noProof/>
            <w:webHidden/>
          </w:rPr>
          <w:tab/>
        </w:r>
        <w:r>
          <w:rPr>
            <w:noProof/>
            <w:webHidden/>
          </w:rPr>
          <w:fldChar w:fldCharType="begin"/>
        </w:r>
        <w:r>
          <w:rPr>
            <w:noProof/>
            <w:webHidden/>
          </w:rPr>
          <w:instrText xml:space="preserve"> PAGEREF _Toc241865278 \h </w:instrText>
        </w:r>
        <w:r>
          <w:rPr>
            <w:noProof/>
            <w:webHidden/>
          </w:rPr>
        </w:r>
        <w:r>
          <w:rPr>
            <w:noProof/>
            <w:webHidden/>
          </w:rPr>
          <w:fldChar w:fldCharType="separate"/>
        </w:r>
        <w:r>
          <w:rPr>
            <w:noProof/>
            <w:webHidden/>
          </w:rPr>
          <w:t>45</w:t>
        </w:r>
        <w:r>
          <w:rPr>
            <w:noProof/>
            <w:webHidden/>
          </w:rPr>
          <w:fldChar w:fldCharType="end"/>
        </w:r>
      </w:hyperlink>
    </w:p>
    <w:p w14:paraId="3D4879C6" w14:textId="5916FEBC" w:rsidR="003D46C7" w:rsidRDefault="003D46C7">
      <w:pPr>
        <w:pStyle w:val="TableofFigures"/>
        <w:tabs>
          <w:tab w:val="right" w:leader="dot" w:pos="9350"/>
        </w:tabs>
        <w:rPr>
          <w:rFonts w:eastAsiaTheme="minorEastAsia"/>
          <w:noProof/>
          <w:lang w:val="en-US"/>
        </w:rPr>
      </w:pPr>
      <w:hyperlink w:anchor="_Toc241865279" w:history="1">
        <w:r w:rsidRPr="00D32C8D">
          <w:rPr>
            <w:rStyle w:val="Hyperlink"/>
            <w:rFonts w:ascii="Times New Roman" w:hAnsi="Times New Roman" w:cs="Times New Roman"/>
            <w:noProof/>
          </w:rPr>
          <w:t>Prikaz 11:</w:t>
        </w:r>
        <w:r w:rsidRPr="00D32C8D">
          <w:rPr>
            <w:rStyle w:val="Hyperlink"/>
            <w:rFonts w:ascii="Times New Roman" w:hAnsi="Times New Roman" w:cs="Times New Roman"/>
            <w:noProof/>
            <w:kern w:val="2"/>
            <w14:ligatures w14:val="standardContextual"/>
          </w:rPr>
          <w:t xml:space="preserve"> Životni ciklus poduzeća</w:t>
        </w:r>
        <w:r>
          <w:rPr>
            <w:noProof/>
            <w:webHidden/>
          </w:rPr>
          <w:tab/>
        </w:r>
        <w:r>
          <w:rPr>
            <w:noProof/>
            <w:webHidden/>
          </w:rPr>
          <w:fldChar w:fldCharType="begin"/>
        </w:r>
        <w:r>
          <w:rPr>
            <w:noProof/>
            <w:webHidden/>
          </w:rPr>
          <w:instrText xml:space="preserve"> PAGEREF _Toc241865279 \h </w:instrText>
        </w:r>
        <w:r>
          <w:rPr>
            <w:noProof/>
            <w:webHidden/>
          </w:rPr>
        </w:r>
        <w:r>
          <w:rPr>
            <w:noProof/>
            <w:webHidden/>
          </w:rPr>
          <w:fldChar w:fldCharType="separate"/>
        </w:r>
        <w:r>
          <w:rPr>
            <w:noProof/>
            <w:webHidden/>
          </w:rPr>
          <w:t>66</w:t>
        </w:r>
        <w:r>
          <w:rPr>
            <w:noProof/>
            <w:webHidden/>
          </w:rPr>
          <w:fldChar w:fldCharType="end"/>
        </w:r>
      </w:hyperlink>
    </w:p>
    <w:p w14:paraId="20747E84" w14:textId="60B9DCFF" w:rsidR="003D46C7" w:rsidRDefault="003D46C7">
      <w:pPr>
        <w:pStyle w:val="TableofFigures"/>
        <w:tabs>
          <w:tab w:val="right" w:leader="dot" w:pos="9350"/>
        </w:tabs>
        <w:rPr>
          <w:rFonts w:eastAsiaTheme="minorEastAsia"/>
          <w:noProof/>
          <w:lang w:val="en-US"/>
        </w:rPr>
      </w:pPr>
      <w:hyperlink w:anchor="_Toc241865280" w:history="1">
        <w:r w:rsidRPr="00D32C8D">
          <w:rPr>
            <w:rStyle w:val="Hyperlink"/>
            <w:rFonts w:ascii="Times New Roman" w:hAnsi="Times New Roman" w:cs="Times New Roman"/>
            <w:noProof/>
          </w:rPr>
          <w:t>Prikaz 12</w:t>
        </w:r>
        <w:r w:rsidRPr="00D32C8D">
          <w:rPr>
            <w:rStyle w:val="Hyperlink"/>
            <w:rFonts w:ascii="Times New Roman" w:hAnsi="Times New Roman" w:cs="Times New Roman"/>
            <w:noProof/>
            <w:kern w:val="2"/>
            <w14:ligatures w14:val="standardContextual"/>
          </w:rPr>
          <w:t>: Proces strateškog menadžmenta</w:t>
        </w:r>
        <w:r>
          <w:rPr>
            <w:noProof/>
            <w:webHidden/>
          </w:rPr>
          <w:tab/>
        </w:r>
        <w:r>
          <w:rPr>
            <w:noProof/>
            <w:webHidden/>
          </w:rPr>
          <w:fldChar w:fldCharType="begin"/>
        </w:r>
        <w:r>
          <w:rPr>
            <w:noProof/>
            <w:webHidden/>
          </w:rPr>
          <w:instrText xml:space="preserve"> PAGEREF _Toc241865280 \h </w:instrText>
        </w:r>
        <w:r>
          <w:rPr>
            <w:noProof/>
            <w:webHidden/>
          </w:rPr>
        </w:r>
        <w:r>
          <w:rPr>
            <w:noProof/>
            <w:webHidden/>
          </w:rPr>
          <w:fldChar w:fldCharType="separate"/>
        </w:r>
        <w:r>
          <w:rPr>
            <w:noProof/>
            <w:webHidden/>
          </w:rPr>
          <w:t>75</w:t>
        </w:r>
        <w:r>
          <w:rPr>
            <w:noProof/>
            <w:webHidden/>
          </w:rPr>
          <w:fldChar w:fldCharType="end"/>
        </w:r>
      </w:hyperlink>
    </w:p>
    <w:p w14:paraId="302662C6" w14:textId="530D1F56" w:rsidR="003D46C7" w:rsidRDefault="003D46C7">
      <w:pPr>
        <w:pStyle w:val="TableofFigures"/>
        <w:tabs>
          <w:tab w:val="right" w:leader="dot" w:pos="9350"/>
        </w:tabs>
        <w:rPr>
          <w:rFonts w:eastAsiaTheme="minorEastAsia"/>
          <w:noProof/>
          <w:lang w:val="en-US"/>
        </w:rPr>
      </w:pPr>
      <w:hyperlink w:anchor="_Toc241865281" w:history="1">
        <w:r w:rsidRPr="00D32C8D">
          <w:rPr>
            <w:rStyle w:val="Hyperlink"/>
            <w:rFonts w:ascii="Times New Roman" w:hAnsi="Times New Roman" w:cs="Times New Roman"/>
            <w:noProof/>
          </w:rPr>
          <w:t>Prikaz 13</w:t>
        </w:r>
        <w:r w:rsidRPr="00D32C8D">
          <w:rPr>
            <w:rStyle w:val="Hyperlink"/>
            <w:rFonts w:ascii="Times New Roman" w:hAnsi="Times New Roman" w:cs="Times New Roman"/>
            <w:noProof/>
            <w:kern w:val="2"/>
            <w14:ligatures w14:val="standardContextual"/>
          </w:rPr>
          <w:t>: Osnovna pitanja u procesu formuliranja strategije</w:t>
        </w:r>
        <w:r>
          <w:rPr>
            <w:noProof/>
            <w:webHidden/>
          </w:rPr>
          <w:tab/>
        </w:r>
        <w:r>
          <w:rPr>
            <w:noProof/>
            <w:webHidden/>
          </w:rPr>
          <w:fldChar w:fldCharType="begin"/>
        </w:r>
        <w:r>
          <w:rPr>
            <w:noProof/>
            <w:webHidden/>
          </w:rPr>
          <w:instrText xml:space="preserve"> PAGEREF _Toc241865281 \h </w:instrText>
        </w:r>
        <w:r>
          <w:rPr>
            <w:noProof/>
            <w:webHidden/>
          </w:rPr>
        </w:r>
        <w:r>
          <w:rPr>
            <w:noProof/>
            <w:webHidden/>
          </w:rPr>
          <w:fldChar w:fldCharType="separate"/>
        </w:r>
        <w:r>
          <w:rPr>
            <w:noProof/>
            <w:webHidden/>
          </w:rPr>
          <w:t>79</w:t>
        </w:r>
        <w:r>
          <w:rPr>
            <w:noProof/>
            <w:webHidden/>
          </w:rPr>
          <w:fldChar w:fldCharType="end"/>
        </w:r>
      </w:hyperlink>
    </w:p>
    <w:p w14:paraId="4BA81115" w14:textId="2402D850" w:rsidR="003D46C7" w:rsidRDefault="003D46C7">
      <w:pPr>
        <w:pStyle w:val="TableofFigures"/>
        <w:tabs>
          <w:tab w:val="right" w:leader="dot" w:pos="9350"/>
        </w:tabs>
        <w:rPr>
          <w:rFonts w:eastAsiaTheme="minorEastAsia"/>
          <w:noProof/>
          <w:lang w:val="en-US"/>
        </w:rPr>
      </w:pPr>
      <w:hyperlink w:anchor="_Toc241865282" w:history="1">
        <w:r w:rsidRPr="00D32C8D">
          <w:rPr>
            <w:rStyle w:val="Hyperlink"/>
            <w:rFonts w:ascii="Times New Roman" w:hAnsi="Times New Roman" w:cs="Times New Roman"/>
            <w:noProof/>
          </w:rPr>
          <w:t>Prikaz 14</w:t>
        </w:r>
        <w:r w:rsidRPr="00D32C8D">
          <w:rPr>
            <w:rStyle w:val="Hyperlink"/>
            <w:rFonts w:ascii="Times New Roman" w:hAnsi="Times New Roman" w:cs="Times New Roman"/>
            <w:noProof/>
            <w:kern w:val="2"/>
            <w14:ligatures w14:val="standardContextual"/>
          </w:rPr>
          <w:t>: Namjeravane i strategije u nastanku</w:t>
        </w:r>
        <w:r>
          <w:rPr>
            <w:noProof/>
            <w:webHidden/>
          </w:rPr>
          <w:tab/>
        </w:r>
        <w:r>
          <w:rPr>
            <w:noProof/>
            <w:webHidden/>
          </w:rPr>
          <w:fldChar w:fldCharType="begin"/>
        </w:r>
        <w:r>
          <w:rPr>
            <w:noProof/>
            <w:webHidden/>
          </w:rPr>
          <w:instrText xml:space="preserve"> PAGEREF _Toc241865282 \h </w:instrText>
        </w:r>
        <w:r>
          <w:rPr>
            <w:noProof/>
            <w:webHidden/>
          </w:rPr>
        </w:r>
        <w:r>
          <w:rPr>
            <w:noProof/>
            <w:webHidden/>
          </w:rPr>
          <w:fldChar w:fldCharType="separate"/>
        </w:r>
        <w:r>
          <w:rPr>
            <w:noProof/>
            <w:webHidden/>
          </w:rPr>
          <w:t>80</w:t>
        </w:r>
        <w:r>
          <w:rPr>
            <w:noProof/>
            <w:webHidden/>
          </w:rPr>
          <w:fldChar w:fldCharType="end"/>
        </w:r>
      </w:hyperlink>
    </w:p>
    <w:p w14:paraId="09A43397" w14:textId="04A5959B" w:rsidR="003D46C7" w:rsidRDefault="003D46C7">
      <w:pPr>
        <w:pStyle w:val="TableofFigures"/>
        <w:tabs>
          <w:tab w:val="right" w:leader="dot" w:pos="9350"/>
        </w:tabs>
        <w:rPr>
          <w:rFonts w:eastAsiaTheme="minorEastAsia"/>
          <w:noProof/>
          <w:lang w:val="en-US"/>
        </w:rPr>
      </w:pPr>
      <w:hyperlink w:anchor="_Toc241865283" w:history="1">
        <w:r w:rsidRPr="00D32C8D">
          <w:rPr>
            <w:rStyle w:val="Hyperlink"/>
            <w:rFonts w:ascii="Times New Roman" w:hAnsi="Times New Roman" w:cs="Times New Roman"/>
            <w:noProof/>
          </w:rPr>
          <w:t>Prikaz 15</w:t>
        </w:r>
        <w:r w:rsidRPr="00D32C8D">
          <w:rPr>
            <w:rStyle w:val="Hyperlink"/>
            <w:rFonts w:ascii="Times New Roman" w:hAnsi="Times New Roman" w:cs="Times New Roman"/>
            <w:noProof/>
            <w:kern w:val="2"/>
            <w14:ligatures w14:val="standardContextual"/>
          </w:rPr>
          <w:t>: Ansoffova matrica rasta</w:t>
        </w:r>
        <w:r>
          <w:rPr>
            <w:noProof/>
            <w:webHidden/>
          </w:rPr>
          <w:tab/>
        </w:r>
        <w:r>
          <w:rPr>
            <w:noProof/>
            <w:webHidden/>
          </w:rPr>
          <w:fldChar w:fldCharType="begin"/>
        </w:r>
        <w:r>
          <w:rPr>
            <w:noProof/>
            <w:webHidden/>
          </w:rPr>
          <w:instrText xml:space="preserve"> PAGEREF _Toc241865283 \h </w:instrText>
        </w:r>
        <w:r>
          <w:rPr>
            <w:noProof/>
            <w:webHidden/>
          </w:rPr>
        </w:r>
        <w:r>
          <w:rPr>
            <w:noProof/>
            <w:webHidden/>
          </w:rPr>
          <w:fldChar w:fldCharType="separate"/>
        </w:r>
        <w:r>
          <w:rPr>
            <w:noProof/>
            <w:webHidden/>
          </w:rPr>
          <w:t>88</w:t>
        </w:r>
        <w:r>
          <w:rPr>
            <w:noProof/>
            <w:webHidden/>
          </w:rPr>
          <w:fldChar w:fldCharType="end"/>
        </w:r>
      </w:hyperlink>
    </w:p>
    <w:p w14:paraId="7B5BDCFA" w14:textId="0E82EEC9" w:rsidR="003D46C7" w:rsidRDefault="003D46C7">
      <w:pPr>
        <w:pStyle w:val="TableofFigures"/>
        <w:tabs>
          <w:tab w:val="right" w:leader="dot" w:pos="9350"/>
        </w:tabs>
        <w:rPr>
          <w:rFonts w:eastAsiaTheme="minorEastAsia"/>
          <w:noProof/>
          <w:lang w:val="en-US"/>
        </w:rPr>
      </w:pPr>
      <w:hyperlink w:anchor="_Toc241865284" w:history="1">
        <w:r w:rsidRPr="00D32C8D">
          <w:rPr>
            <w:rStyle w:val="Hyperlink"/>
            <w:rFonts w:ascii="Times New Roman" w:hAnsi="Times New Roman" w:cs="Times New Roman"/>
            <w:noProof/>
          </w:rPr>
          <w:t>Prikaz 16</w:t>
        </w:r>
        <w:r w:rsidRPr="00D32C8D">
          <w:rPr>
            <w:rStyle w:val="Hyperlink"/>
            <w:rFonts w:ascii="Times New Roman" w:hAnsi="Times New Roman" w:cs="Times New Roman"/>
            <w:noProof/>
            <w:kern w:val="2"/>
            <w14:ligatures w14:val="standardContextual"/>
          </w:rPr>
          <w:t>: Strateški razvojni pravci poduzeća</w:t>
        </w:r>
        <w:r>
          <w:rPr>
            <w:noProof/>
            <w:webHidden/>
          </w:rPr>
          <w:tab/>
        </w:r>
        <w:r>
          <w:rPr>
            <w:noProof/>
            <w:webHidden/>
          </w:rPr>
          <w:fldChar w:fldCharType="begin"/>
        </w:r>
        <w:r>
          <w:rPr>
            <w:noProof/>
            <w:webHidden/>
          </w:rPr>
          <w:instrText xml:space="preserve"> PAGEREF _Toc241865284 \h </w:instrText>
        </w:r>
        <w:r>
          <w:rPr>
            <w:noProof/>
            <w:webHidden/>
          </w:rPr>
        </w:r>
        <w:r>
          <w:rPr>
            <w:noProof/>
            <w:webHidden/>
          </w:rPr>
          <w:fldChar w:fldCharType="separate"/>
        </w:r>
        <w:r>
          <w:rPr>
            <w:noProof/>
            <w:webHidden/>
          </w:rPr>
          <w:t>90</w:t>
        </w:r>
        <w:r>
          <w:rPr>
            <w:noProof/>
            <w:webHidden/>
          </w:rPr>
          <w:fldChar w:fldCharType="end"/>
        </w:r>
      </w:hyperlink>
    </w:p>
    <w:p w14:paraId="0E395AB5" w14:textId="3A66AF98" w:rsidR="003D46C7" w:rsidRDefault="003D46C7">
      <w:pPr>
        <w:pStyle w:val="TableofFigures"/>
        <w:tabs>
          <w:tab w:val="right" w:leader="dot" w:pos="9350"/>
        </w:tabs>
        <w:rPr>
          <w:rFonts w:eastAsiaTheme="minorEastAsia"/>
          <w:noProof/>
          <w:lang w:val="en-US"/>
        </w:rPr>
      </w:pPr>
      <w:hyperlink w:anchor="_Toc241865285" w:history="1">
        <w:r w:rsidRPr="00D32C8D">
          <w:rPr>
            <w:rStyle w:val="Hyperlink"/>
            <w:rFonts w:ascii="Times New Roman" w:hAnsi="Times New Roman" w:cs="Times New Roman"/>
            <w:noProof/>
          </w:rPr>
          <w:t>Prikaz 17</w:t>
        </w:r>
        <w:r w:rsidRPr="00D32C8D">
          <w:rPr>
            <w:rStyle w:val="Hyperlink"/>
            <w:rFonts w:ascii="Times New Roman" w:hAnsi="Times New Roman" w:cs="Times New Roman"/>
            <w:noProof/>
            <w:kern w:val="2"/>
            <w14:ligatures w14:val="standardContextual"/>
          </w:rPr>
          <w:t>: Troškovi franšize</w:t>
        </w:r>
        <w:r>
          <w:rPr>
            <w:noProof/>
            <w:webHidden/>
          </w:rPr>
          <w:tab/>
        </w:r>
        <w:r>
          <w:rPr>
            <w:noProof/>
            <w:webHidden/>
          </w:rPr>
          <w:fldChar w:fldCharType="begin"/>
        </w:r>
        <w:r>
          <w:rPr>
            <w:noProof/>
            <w:webHidden/>
          </w:rPr>
          <w:instrText xml:space="preserve"> PAGEREF _Toc241865285 \h </w:instrText>
        </w:r>
        <w:r>
          <w:rPr>
            <w:noProof/>
            <w:webHidden/>
          </w:rPr>
        </w:r>
        <w:r>
          <w:rPr>
            <w:noProof/>
            <w:webHidden/>
          </w:rPr>
          <w:fldChar w:fldCharType="separate"/>
        </w:r>
        <w:r>
          <w:rPr>
            <w:noProof/>
            <w:webHidden/>
          </w:rPr>
          <w:t>111</w:t>
        </w:r>
        <w:r>
          <w:rPr>
            <w:noProof/>
            <w:webHidden/>
          </w:rPr>
          <w:fldChar w:fldCharType="end"/>
        </w:r>
      </w:hyperlink>
    </w:p>
    <w:p w14:paraId="49599D35" w14:textId="7B38F027" w:rsidR="003D46C7" w:rsidRDefault="003D46C7">
      <w:pPr>
        <w:pStyle w:val="TableofFigures"/>
        <w:tabs>
          <w:tab w:val="right" w:leader="dot" w:pos="9350"/>
        </w:tabs>
        <w:rPr>
          <w:rFonts w:eastAsiaTheme="minorEastAsia"/>
          <w:noProof/>
          <w:lang w:val="en-US"/>
        </w:rPr>
      </w:pPr>
      <w:hyperlink w:anchor="_Toc241865286" w:history="1">
        <w:r w:rsidRPr="00D32C8D">
          <w:rPr>
            <w:rStyle w:val="Hyperlink"/>
            <w:rFonts w:ascii="Times New Roman" w:hAnsi="Times New Roman" w:cs="Times New Roman"/>
            <w:noProof/>
          </w:rPr>
          <w:t>Prikaz 18</w:t>
        </w:r>
        <w:r w:rsidRPr="00D32C8D">
          <w:rPr>
            <w:rStyle w:val="Hyperlink"/>
            <w:rFonts w:ascii="Times New Roman" w:hAnsi="Times New Roman" w:cs="Times New Roman"/>
            <w:noProof/>
            <w:kern w:val="2"/>
            <w14:ligatures w14:val="standardContextual"/>
          </w:rPr>
          <w:t>: Područja sinergijskih učinaka</w:t>
        </w:r>
        <w:r>
          <w:rPr>
            <w:noProof/>
            <w:webHidden/>
          </w:rPr>
          <w:tab/>
        </w:r>
        <w:r>
          <w:rPr>
            <w:noProof/>
            <w:webHidden/>
          </w:rPr>
          <w:fldChar w:fldCharType="begin"/>
        </w:r>
        <w:r>
          <w:rPr>
            <w:noProof/>
            <w:webHidden/>
          </w:rPr>
          <w:instrText xml:space="preserve"> PAGEREF _Toc241865286 \h </w:instrText>
        </w:r>
        <w:r>
          <w:rPr>
            <w:noProof/>
            <w:webHidden/>
          </w:rPr>
        </w:r>
        <w:r>
          <w:rPr>
            <w:noProof/>
            <w:webHidden/>
          </w:rPr>
          <w:fldChar w:fldCharType="separate"/>
        </w:r>
        <w:r>
          <w:rPr>
            <w:noProof/>
            <w:webHidden/>
          </w:rPr>
          <w:t>118</w:t>
        </w:r>
        <w:r>
          <w:rPr>
            <w:noProof/>
            <w:webHidden/>
          </w:rPr>
          <w:fldChar w:fldCharType="end"/>
        </w:r>
      </w:hyperlink>
    </w:p>
    <w:p w14:paraId="0DF0D0B9" w14:textId="5A71E5CC" w:rsidR="003D46C7" w:rsidRDefault="003D46C7">
      <w:pPr>
        <w:pStyle w:val="TableofFigures"/>
        <w:tabs>
          <w:tab w:val="right" w:leader="dot" w:pos="9350"/>
        </w:tabs>
        <w:rPr>
          <w:rFonts w:eastAsiaTheme="minorEastAsia"/>
          <w:noProof/>
          <w:lang w:val="en-US"/>
        </w:rPr>
      </w:pPr>
      <w:hyperlink w:anchor="_Toc241865287" w:history="1">
        <w:r w:rsidRPr="00D32C8D">
          <w:rPr>
            <w:rStyle w:val="Hyperlink"/>
            <w:rFonts w:ascii="Times New Roman" w:hAnsi="Times New Roman" w:cs="Times New Roman"/>
            <w:noProof/>
          </w:rPr>
          <w:t>Prikaz 19: Prosječna vrijednost transakcije/sklopljenog posla na tržištu luksuznih hotela diljem Svijeta od 2016. do 2022. (u milijunima US dolara)</w:t>
        </w:r>
        <w:r>
          <w:rPr>
            <w:noProof/>
            <w:webHidden/>
          </w:rPr>
          <w:tab/>
        </w:r>
        <w:r>
          <w:rPr>
            <w:noProof/>
            <w:webHidden/>
          </w:rPr>
          <w:fldChar w:fldCharType="begin"/>
        </w:r>
        <w:r>
          <w:rPr>
            <w:noProof/>
            <w:webHidden/>
          </w:rPr>
          <w:instrText xml:space="preserve"> PAGEREF _Toc241865287 \h </w:instrText>
        </w:r>
        <w:r>
          <w:rPr>
            <w:noProof/>
            <w:webHidden/>
          </w:rPr>
        </w:r>
        <w:r>
          <w:rPr>
            <w:noProof/>
            <w:webHidden/>
          </w:rPr>
          <w:fldChar w:fldCharType="separate"/>
        </w:r>
        <w:r>
          <w:rPr>
            <w:noProof/>
            <w:webHidden/>
          </w:rPr>
          <w:t>135</w:t>
        </w:r>
        <w:r>
          <w:rPr>
            <w:noProof/>
            <w:webHidden/>
          </w:rPr>
          <w:fldChar w:fldCharType="end"/>
        </w:r>
      </w:hyperlink>
    </w:p>
    <w:p w14:paraId="6A841435" w14:textId="6372E64D" w:rsidR="003D46C7" w:rsidRDefault="003D46C7">
      <w:pPr>
        <w:pStyle w:val="TableofFigures"/>
        <w:tabs>
          <w:tab w:val="right" w:leader="dot" w:pos="9350"/>
        </w:tabs>
        <w:rPr>
          <w:rFonts w:eastAsiaTheme="minorEastAsia"/>
          <w:noProof/>
          <w:lang w:val="en-US"/>
        </w:rPr>
      </w:pPr>
      <w:hyperlink w:anchor="_Toc241865288" w:history="1">
        <w:r w:rsidRPr="00D32C8D">
          <w:rPr>
            <w:rStyle w:val="Hyperlink"/>
            <w:rFonts w:ascii="Times New Roman" w:hAnsi="Times New Roman" w:cs="Times New Roman"/>
            <w:noProof/>
          </w:rPr>
          <w:t>Prikaz 20</w:t>
        </w:r>
        <w:r w:rsidRPr="00D32C8D">
          <w:rPr>
            <w:rStyle w:val="Hyperlink"/>
            <w:rFonts w:ascii="Times New Roman" w:hAnsi="Times New Roman" w:cs="Times New Roman"/>
            <w:noProof/>
            <w:lang w:val="en-US"/>
          </w:rPr>
          <w:t>: Okvir uspješnog upravljanja spajanjima i preuzimanjima</w:t>
        </w:r>
        <w:r>
          <w:rPr>
            <w:noProof/>
            <w:webHidden/>
          </w:rPr>
          <w:tab/>
        </w:r>
        <w:r>
          <w:rPr>
            <w:noProof/>
            <w:webHidden/>
          </w:rPr>
          <w:fldChar w:fldCharType="begin"/>
        </w:r>
        <w:r>
          <w:rPr>
            <w:noProof/>
            <w:webHidden/>
          </w:rPr>
          <w:instrText xml:space="preserve"> PAGEREF _Toc241865288 \h </w:instrText>
        </w:r>
        <w:r>
          <w:rPr>
            <w:noProof/>
            <w:webHidden/>
          </w:rPr>
        </w:r>
        <w:r>
          <w:rPr>
            <w:noProof/>
            <w:webHidden/>
          </w:rPr>
          <w:fldChar w:fldCharType="separate"/>
        </w:r>
        <w:r>
          <w:rPr>
            <w:noProof/>
            <w:webHidden/>
          </w:rPr>
          <w:t>153</w:t>
        </w:r>
        <w:r>
          <w:rPr>
            <w:noProof/>
            <w:webHidden/>
          </w:rPr>
          <w:fldChar w:fldCharType="end"/>
        </w:r>
      </w:hyperlink>
    </w:p>
    <w:p w14:paraId="68082EA3" w14:textId="5674C3FC" w:rsidR="003D46C7" w:rsidRDefault="003D46C7">
      <w:pPr>
        <w:pStyle w:val="TableofFigures"/>
        <w:tabs>
          <w:tab w:val="right" w:leader="dot" w:pos="9350"/>
        </w:tabs>
        <w:rPr>
          <w:rFonts w:eastAsiaTheme="minorEastAsia"/>
          <w:noProof/>
          <w:lang w:val="en-US"/>
        </w:rPr>
      </w:pPr>
      <w:hyperlink w:anchor="_Toc241865289" w:history="1">
        <w:r w:rsidRPr="00D32C8D">
          <w:rPr>
            <w:rStyle w:val="Hyperlink"/>
            <w:rFonts w:ascii="Times New Roman" w:hAnsi="Times New Roman" w:cs="Times New Roman"/>
            <w:noProof/>
          </w:rPr>
          <w:t>Prikaz 21: Pet postintegracijskih stilova razvijenih od Angwina i Meadowsa (2014)</w:t>
        </w:r>
        <w:r>
          <w:rPr>
            <w:noProof/>
            <w:webHidden/>
          </w:rPr>
          <w:tab/>
        </w:r>
        <w:r>
          <w:rPr>
            <w:noProof/>
            <w:webHidden/>
          </w:rPr>
          <w:fldChar w:fldCharType="begin"/>
        </w:r>
        <w:r>
          <w:rPr>
            <w:noProof/>
            <w:webHidden/>
          </w:rPr>
          <w:instrText xml:space="preserve"> PAGEREF _Toc241865289 \h </w:instrText>
        </w:r>
        <w:r>
          <w:rPr>
            <w:noProof/>
            <w:webHidden/>
          </w:rPr>
        </w:r>
        <w:r>
          <w:rPr>
            <w:noProof/>
            <w:webHidden/>
          </w:rPr>
          <w:fldChar w:fldCharType="separate"/>
        </w:r>
        <w:r>
          <w:rPr>
            <w:noProof/>
            <w:webHidden/>
          </w:rPr>
          <w:t>168</w:t>
        </w:r>
        <w:r>
          <w:rPr>
            <w:noProof/>
            <w:webHidden/>
          </w:rPr>
          <w:fldChar w:fldCharType="end"/>
        </w:r>
      </w:hyperlink>
    </w:p>
    <w:p w14:paraId="1CF206F2" w14:textId="49C98DFA" w:rsidR="003D46C7" w:rsidRDefault="003D46C7">
      <w:pPr>
        <w:pStyle w:val="TableofFigures"/>
        <w:tabs>
          <w:tab w:val="right" w:leader="dot" w:pos="9350"/>
        </w:tabs>
        <w:rPr>
          <w:rFonts w:eastAsiaTheme="minorEastAsia"/>
          <w:noProof/>
          <w:lang w:val="en-US"/>
        </w:rPr>
      </w:pPr>
      <w:hyperlink w:anchor="_Toc241865290" w:history="1">
        <w:r w:rsidRPr="00D32C8D">
          <w:rPr>
            <w:rStyle w:val="Hyperlink"/>
            <w:rFonts w:ascii="Times New Roman" w:hAnsi="Times New Roman" w:cs="Times New Roman"/>
            <w:noProof/>
          </w:rPr>
          <w:t>Prikaz 22</w:t>
        </w:r>
        <w:r w:rsidRPr="00D32C8D">
          <w:rPr>
            <w:rStyle w:val="Hyperlink"/>
            <w:rFonts w:ascii="Times New Roman" w:hAnsi="Times New Roman" w:cs="Times New Roman"/>
            <w:noProof/>
            <w:lang w:val="it-IT"/>
          </w:rPr>
          <w:t xml:space="preserve">: </w:t>
        </w:r>
        <w:r w:rsidRPr="00D32C8D">
          <w:rPr>
            <w:rStyle w:val="Hyperlink"/>
            <w:rFonts w:ascii="Times New Roman" w:hAnsi="Times New Roman" w:cs="Times New Roman"/>
            <w:noProof/>
          </w:rPr>
          <w:t>Najvažniji čimbenici procesa spajanja i preuzimanja prije pokretanja procesa</w:t>
        </w:r>
        <w:r>
          <w:rPr>
            <w:noProof/>
            <w:webHidden/>
          </w:rPr>
          <w:tab/>
        </w:r>
        <w:r>
          <w:rPr>
            <w:noProof/>
            <w:webHidden/>
          </w:rPr>
          <w:fldChar w:fldCharType="begin"/>
        </w:r>
        <w:r>
          <w:rPr>
            <w:noProof/>
            <w:webHidden/>
          </w:rPr>
          <w:instrText xml:space="preserve"> PAGEREF _Toc241865290 \h </w:instrText>
        </w:r>
        <w:r>
          <w:rPr>
            <w:noProof/>
            <w:webHidden/>
          </w:rPr>
        </w:r>
        <w:r>
          <w:rPr>
            <w:noProof/>
            <w:webHidden/>
          </w:rPr>
          <w:fldChar w:fldCharType="separate"/>
        </w:r>
        <w:r>
          <w:rPr>
            <w:noProof/>
            <w:webHidden/>
          </w:rPr>
          <w:t>253</w:t>
        </w:r>
        <w:r>
          <w:rPr>
            <w:noProof/>
            <w:webHidden/>
          </w:rPr>
          <w:fldChar w:fldCharType="end"/>
        </w:r>
      </w:hyperlink>
    </w:p>
    <w:p w14:paraId="0C0142B1" w14:textId="2B94C8EE" w:rsidR="003D46C7" w:rsidRDefault="003D46C7">
      <w:pPr>
        <w:pStyle w:val="TableofFigures"/>
        <w:tabs>
          <w:tab w:val="right" w:leader="dot" w:pos="9350"/>
        </w:tabs>
        <w:rPr>
          <w:rFonts w:eastAsiaTheme="minorEastAsia"/>
          <w:noProof/>
          <w:lang w:val="en-US"/>
        </w:rPr>
      </w:pPr>
      <w:hyperlink w:anchor="_Toc241865291" w:history="1">
        <w:r w:rsidRPr="00D32C8D">
          <w:rPr>
            <w:rStyle w:val="Hyperlink"/>
            <w:rFonts w:ascii="Times New Roman" w:hAnsi="Times New Roman" w:cs="Times New Roman"/>
            <w:noProof/>
          </w:rPr>
          <w:t>Prikaz 23: Najvažniji čimbenici procesa spajanja i preuzimanja u fazi integracije</w:t>
        </w:r>
        <w:r>
          <w:rPr>
            <w:noProof/>
            <w:webHidden/>
          </w:rPr>
          <w:tab/>
        </w:r>
        <w:r>
          <w:rPr>
            <w:noProof/>
            <w:webHidden/>
          </w:rPr>
          <w:fldChar w:fldCharType="begin"/>
        </w:r>
        <w:r>
          <w:rPr>
            <w:noProof/>
            <w:webHidden/>
          </w:rPr>
          <w:instrText xml:space="preserve"> PAGEREF _Toc241865291 \h </w:instrText>
        </w:r>
        <w:r>
          <w:rPr>
            <w:noProof/>
            <w:webHidden/>
          </w:rPr>
        </w:r>
        <w:r>
          <w:rPr>
            <w:noProof/>
            <w:webHidden/>
          </w:rPr>
          <w:fldChar w:fldCharType="separate"/>
        </w:r>
        <w:r>
          <w:rPr>
            <w:noProof/>
            <w:webHidden/>
          </w:rPr>
          <w:t>253</w:t>
        </w:r>
        <w:r>
          <w:rPr>
            <w:noProof/>
            <w:webHidden/>
          </w:rPr>
          <w:fldChar w:fldCharType="end"/>
        </w:r>
      </w:hyperlink>
    </w:p>
    <w:p w14:paraId="27682C6F" w14:textId="5CBB2A99" w:rsidR="003D46C7" w:rsidRDefault="003D46C7">
      <w:pPr>
        <w:pStyle w:val="TableofFigures"/>
        <w:tabs>
          <w:tab w:val="right" w:leader="dot" w:pos="9350"/>
        </w:tabs>
        <w:rPr>
          <w:rFonts w:eastAsiaTheme="minorEastAsia"/>
          <w:noProof/>
          <w:lang w:val="en-US"/>
        </w:rPr>
      </w:pPr>
      <w:hyperlink w:anchor="_Toc241865292" w:history="1">
        <w:r w:rsidRPr="00D32C8D">
          <w:rPr>
            <w:rStyle w:val="Hyperlink"/>
            <w:rFonts w:ascii="Times New Roman" w:hAnsi="Times New Roman" w:cs="Times New Roman"/>
            <w:noProof/>
          </w:rPr>
          <w:t>Prikaz 24: Najvažniji čimbenici procesa spajanja i preuzimanja po završetku procesa</w:t>
        </w:r>
        <w:r>
          <w:rPr>
            <w:noProof/>
            <w:webHidden/>
          </w:rPr>
          <w:tab/>
        </w:r>
        <w:r>
          <w:rPr>
            <w:noProof/>
            <w:webHidden/>
          </w:rPr>
          <w:fldChar w:fldCharType="begin"/>
        </w:r>
        <w:r>
          <w:rPr>
            <w:noProof/>
            <w:webHidden/>
          </w:rPr>
          <w:instrText xml:space="preserve"> PAGEREF _Toc241865292 \h </w:instrText>
        </w:r>
        <w:r>
          <w:rPr>
            <w:noProof/>
            <w:webHidden/>
          </w:rPr>
        </w:r>
        <w:r>
          <w:rPr>
            <w:noProof/>
            <w:webHidden/>
          </w:rPr>
          <w:fldChar w:fldCharType="separate"/>
        </w:r>
        <w:r>
          <w:rPr>
            <w:noProof/>
            <w:webHidden/>
          </w:rPr>
          <w:t>254</w:t>
        </w:r>
        <w:r>
          <w:rPr>
            <w:noProof/>
            <w:webHidden/>
          </w:rPr>
          <w:fldChar w:fldCharType="end"/>
        </w:r>
      </w:hyperlink>
    </w:p>
    <w:p w14:paraId="627D77A3" w14:textId="2E704AFE" w:rsidR="003D46C7" w:rsidRDefault="003D46C7">
      <w:pPr>
        <w:pStyle w:val="TableofFigures"/>
        <w:tabs>
          <w:tab w:val="right" w:leader="dot" w:pos="9350"/>
        </w:tabs>
        <w:rPr>
          <w:rFonts w:eastAsiaTheme="minorEastAsia"/>
          <w:noProof/>
          <w:lang w:val="en-US"/>
        </w:rPr>
      </w:pPr>
      <w:hyperlink w:anchor="_Toc241865293" w:history="1">
        <w:r w:rsidRPr="00D32C8D">
          <w:rPr>
            <w:rStyle w:val="Hyperlink"/>
            <w:rFonts w:ascii="Times New Roman" w:hAnsi="Times New Roman" w:cs="Times New Roman"/>
            <w:noProof/>
          </w:rPr>
          <w:t>Prikaz 25</w:t>
        </w:r>
        <w:r w:rsidRPr="00D32C8D">
          <w:rPr>
            <w:rStyle w:val="Hyperlink"/>
            <w:rFonts w:ascii="Times New Roman" w:hAnsi="Times New Roman" w:cs="Times New Roman"/>
            <w:noProof/>
            <w:lang w:val="it-IT"/>
          </w:rPr>
          <w:t xml:space="preserve">: </w:t>
        </w:r>
        <w:r w:rsidRPr="00D32C8D">
          <w:rPr>
            <w:rStyle w:val="Hyperlink"/>
            <w:rFonts w:ascii="Times New Roman" w:hAnsi="Times New Roman" w:cs="Times New Roman"/>
            <w:noProof/>
          </w:rPr>
          <w:t>Najvažniji čimbenici procesa spajanja i preuzimanja prije pokretanja procesa spajanja i preuzimanja iz perspektive ispitanika iz poduzeća akvizitora</w:t>
        </w:r>
        <w:r>
          <w:rPr>
            <w:noProof/>
            <w:webHidden/>
          </w:rPr>
          <w:tab/>
        </w:r>
        <w:r>
          <w:rPr>
            <w:noProof/>
            <w:webHidden/>
          </w:rPr>
          <w:fldChar w:fldCharType="begin"/>
        </w:r>
        <w:r>
          <w:rPr>
            <w:noProof/>
            <w:webHidden/>
          </w:rPr>
          <w:instrText xml:space="preserve"> PAGEREF _Toc241865293 \h </w:instrText>
        </w:r>
        <w:r>
          <w:rPr>
            <w:noProof/>
            <w:webHidden/>
          </w:rPr>
        </w:r>
        <w:r>
          <w:rPr>
            <w:noProof/>
            <w:webHidden/>
          </w:rPr>
          <w:fldChar w:fldCharType="separate"/>
        </w:r>
        <w:r>
          <w:rPr>
            <w:noProof/>
            <w:webHidden/>
          </w:rPr>
          <w:t>269</w:t>
        </w:r>
        <w:r>
          <w:rPr>
            <w:noProof/>
            <w:webHidden/>
          </w:rPr>
          <w:fldChar w:fldCharType="end"/>
        </w:r>
      </w:hyperlink>
    </w:p>
    <w:p w14:paraId="026395D7" w14:textId="4E0988EF" w:rsidR="003D46C7" w:rsidRDefault="003D46C7">
      <w:pPr>
        <w:pStyle w:val="TableofFigures"/>
        <w:tabs>
          <w:tab w:val="right" w:leader="dot" w:pos="9350"/>
        </w:tabs>
        <w:rPr>
          <w:rFonts w:eastAsiaTheme="minorEastAsia"/>
          <w:noProof/>
          <w:lang w:val="en-US"/>
        </w:rPr>
      </w:pPr>
      <w:hyperlink w:anchor="_Toc241865294" w:history="1">
        <w:r w:rsidRPr="00D32C8D">
          <w:rPr>
            <w:rStyle w:val="Hyperlink"/>
            <w:rFonts w:ascii="Times New Roman" w:hAnsi="Times New Roman" w:cs="Times New Roman"/>
            <w:noProof/>
          </w:rPr>
          <w:t>Prikaz 26: Najvažniji čimbenici procesa spajanja i preuzimanja u fazi integracije iz perspektive ispitanika iz poduzeća akvizitora</w:t>
        </w:r>
        <w:r>
          <w:rPr>
            <w:noProof/>
            <w:webHidden/>
          </w:rPr>
          <w:tab/>
        </w:r>
        <w:r>
          <w:rPr>
            <w:noProof/>
            <w:webHidden/>
          </w:rPr>
          <w:fldChar w:fldCharType="begin"/>
        </w:r>
        <w:r>
          <w:rPr>
            <w:noProof/>
            <w:webHidden/>
          </w:rPr>
          <w:instrText xml:space="preserve"> PAGEREF _Toc241865294 \h </w:instrText>
        </w:r>
        <w:r>
          <w:rPr>
            <w:noProof/>
            <w:webHidden/>
          </w:rPr>
        </w:r>
        <w:r>
          <w:rPr>
            <w:noProof/>
            <w:webHidden/>
          </w:rPr>
          <w:fldChar w:fldCharType="separate"/>
        </w:r>
        <w:r>
          <w:rPr>
            <w:noProof/>
            <w:webHidden/>
          </w:rPr>
          <w:t>269</w:t>
        </w:r>
        <w:r>
          <w:rPr>
            <w:noProof/>
            <w:webHidden/>
          </w:rPr>
          <w:fldChar w:fldCharType="end"/>
        </w:r>
      </w:hyperlink>
    </w:p>
    <w:p w14:paraId="4178029E" w14:textId="05AC53F9" w:rsidR="003D46C7" w:rsidRDefault="003D46C7">
      <w:pPr>
        <w:pStyle w:val="TableofFigures"/>
        <w:tabs>
          <w:tab w:val="right" w:leader="dot" w:pos="9350"/>
        </w:tabs>
        <w:rPr>
          <w:rFonts w:eastAsiaTheme="minorEastAsia"/>
          <w:noProof/>
          <w:lang w:val="en-US"/>
        </w:rPr>
      </w:pPr>
      <w:hyperlink w:anchor="_Toc241865295" w:history="1">
        <w:r w:rsidRPr="00D32C8D">
          <w:rPr>
            <w:rStyle w:val="Hyperlink"/>
            <w:rFonts w:ascii="Times New Roman" w:hAnsi="Times New Roman" w:cs="Times New Roman"/>
            <w:noProof/>
          </w:rPr>
          <w:t>Prikaz 27: Evolucija čimbenika uspjeha procesa spajanja i preuzimanja u hrvatskom hotelijerstvu</w:t>
        </w:r>
        <w:r>
          <w:rPr>
            <w:noProof/>
            <w:webHidden/>
          </w:rPr>
          <w:tab/>
        </w:r>
        <w:r>
          <w:rPr>
            <w:noProof/>
            <w:webHidden/>
          </w:rPr>
          <w:fldChar w:fldCharType="begin"/>
        </w:r>
        <w:r>
          <w:rPr>
            <w:noProof/>
            <w:webHidden/>
          </w:rPr>
          <w:instrText xml:space="preserve"> PAGEREF _Toc241865295 \h </w:instrText>
        </w:r>
        <w:r>
          <w:rPr>
            <w:noProof/>
            <w:webHidden/>
          </w:rPr>
        </w:r>
        <w:r>
          <w:rPr>
            <w:noProof/>
            <w:webHidden/>
          </w:rPr>
          <w:fldChar w:fldCharType="separate"/>
        </w:r>
        <w:r>
          <w:rPr>
            <w:noProof/>
            <w:webHidden/>
          </w:rPr>
          <w:t>321</w:t>
        </w:r>
        <w:r>
          <w:rPr>
            <w:noProof/>
            <w:webHidden/>
          </w:rPr>
          <w:fldChar w:fldCharType="end"/>
        </w:r>
      </w:hyperlink>
    </w:p>
    <w:p w14:paraId="6C0D4EE8" w14:textId="4811F48D" w:rsidR="00044BF6" w:rsidRDefault="00044BF6">
      <w:pPr>
        <w:rPr>
          <w:rFonts w:ascii="Times New Roman" w:hAnsi="Times New Roman" w:cs="Times New Roman"/>
        </w:rPr>
      </w:pPr>
      <w:r w:rsidRPr="003D46C7">
        <w:rPr>
          <w:rFonts w:ascii="Times New Roman" w:hAnsi="Times New Roman" w:cs="Times New Roman"/>
          <w:sz w:val="24"/>
          <w:szCs w:val="24"/>
        </w:rPr>
        <w:fldChar w:fldCharType="end"/>
      </w:r>
    </w:p>
    <w:p w14:paraId="7D6B4BD0" w14:textId="646289FC" w:rsidR="006463E5" w:rsidRDefault="006463E5" w:rsidP="006463E5">
      <w:pPr>
        <w:pStyle w:val="Heading1"/>
        <w:rPr>
          <w:rFonts w:ascii="Times New Roman" w:hAnsi="Times New Roman" w:cs="Times New Roman"/>
        </w:rPr>
      </w:pPr>
      <w:bookmarkStart w:id="284" w:name="_Toc241865194"/>
      <w:r w:rsidRPr="006463E5">
        <w:rPr>
          <w:rFonts w:ascii="Times New Roman" w:hAnsi="Times New Roman" w:cs="Times New Roman"/>
        </w:rPr>
        <w:t>PRILOZI</w:t>
      </w:r>
      <w:bookmarkEnd w:id="284"/>
      <w:r w:rsidRPr="006463E5">
        <w:rPr>
          <w:rFonts w:ascii="Times New Roman" w:hAnsi="Times New Roman" w:cs="Times New Roman"/>
        </w:rPr>
        <w:t xml:space="preserve"> </w:t>
      </w:r>
    </w:p>
    <w:p w14:paraId="33547D96" w14:textId="4B62B2B1" w:rsidR="006463E5" w:rsidRDefault="006463E5" w:rsidP="006463E5"/>
    <w:p w14:paraId="00A6E15B" w14:textId="77777777" w:rsidR="006571B5" w:rsidRPr="00E2667C" w:rsidRDefault="006571B5" w:rsidP="00E2667C">
      <w:pPr>
        <w:rPr>
          <w:rFonts w:ascii="Times New Roman" w:hAnsi="Times New Roman" w:cs="Times New Roman"/>
          <w:b/>
          <w:lang w:val="it-IT"/>
        </w:rPr>
      </w:pPr>
      <w:bookmarkStart w:id="285" w:name="_Hlk219117138"/>
      <w:r w:rsidRPr="00E2667C">
        <w:rPr>
          <w:rFonts w:ascii="Times New Roman" w:hAnsi="Times New Roman" w:cs="Times New Roman"/>
          <w:b/>
          <w:lang w:val="it-IT"/>
        </w:rPr>
        <w:t>Prilog 1</w:t>
      </w:r>
    </w:p>
    <w:p w14:paraId="1D201B2E" w14:textId="77777777" w:rsidR="006571B5" w:rsidRPr="00253D60" w:rsidRDefault="006571B5" w:rsidP="00E2667C">
      <w:pPr>
        <w:rPr>
          <w:rFonts w:ascii="Times New Roman" w:hAnsi="Times New Roman" w:cs="Times New Roman"/>
        </w:rPr>
      </w:pPr>
      <w:r w:rsidRPr="00253D60">
        <w:rPr>
          <w:rFonts w:ascii="Times New Roman" w:hAnsi="Times New Roman" w:cs="Times New Roman"/>
        </w:rPr>
        <w:t>Tablica 1: Motivi i čimbenici u svim fazama procesa spajanja i preuzimanja u prvom ciklusu Delphi postupka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8709"/>
      </w:tblGrid>
      <w:tr w:rsidR="006571B5" w:rsidRPr="00E2667C" w14:paraId="4F1CD638" w14:textId="77777777" w:rsidTr="007F670E">
        <w:trPr>
          <w:trHeight w:val="676"/>
        </w:trPr>
        <w:tc>
          <w:tcPr>
            <w:tcW w:w="301" w:type="pct"/>
            <w:noWrap/>
            <w:vAlign w:val="bottom"/>
            <w:hideMark/>
          </w:tcPr>
          <w:p w14:paraId="73BF7340" w14:textId="77777777" w:rsidR="006571B5" w:rsidRPr="00E2667C" w:rsidRDefault="006571B5" w:rsidP="00E2667C">
            <w:pPr>
              <w:rPr>
                <w:rFonts w:ascii="Times New Roman" w:hAnsi="Times New Roman" w:cs="Times New Roman"/>
              </w:rPr>
            </w:pPr>
          </w:p>
        </w:tc>
        <w:tc>
          <w:tcPr>
            <w:tcW w:w="4699" w:type="pct"/>
            <w:vAlign w:val="bottom"/>
            <w:hideMark/>
          </w:tcPr>
          <w:p w14:paraId="12B544CB" w14:textId="77777777" w:rsidR="006571B5" w:rsidRPr="00E2667C" w:rsidRDefault="006571B5" w:rsidP="00E2667C">
            <w:pPr>
              <w:rPr>
                <w:rFonts w:ascii="Times New Roman" w:hAnsi="Times New Roman" w:cs="Times New Roman"/>
                <w:b/>
              </w:rPr>
            </w:pPr>
            <w:r w:rsidRPr="00E2667C">
              <w:rPr>
                <w:rFonts w:ascii="Times New Roman" w:hAnsi="Times New Roman" w:cs="Times New Roman"/>
                <w:b/>
              </w:rPr>
              <w:t>Motivi i čimbenici u svim fazama procesa spajanja i preuzimanja</w:t>
            </w:r>
          </w:p>
        </w:tc>
      </w:tr>
      <w:tr w:rsidR="006571B5" w:rsidRPr="00E2667C" w14:paraId="2AEF0542" w14:textId="77777777" w:rsidTr="00BB4209">
        <w:trPr>
          <w:trHeight w:val="300"/>
        </w:trPr>
        <w:tc>
          <w:tcPr>
            <w:tcW w:w="5000" w:type="pct"/>
            <w:gridSpan w:val="2"/>
            <w:noWrap/>
            <w:vAlign w:val="bottom"/>
          </w:tcPr>
          <w:p w14:paraId="2052FE35" w14:textId="77777777" w:rsidR="006571B5" w:rsidRPr="00E2667C" w:rsidRDefault="006571B5" w:rsidP="0071112D">
            <w:pPr>
              <w:jc w:val="center"/>
              <w:rPr>
                <w:rFonts w:ascii="Times New Roman" w:hAnsi="Times New Roman" w:cs="Times New Roman"/>
                <w:b/>
              </w:rPr>
            </w:pPr>
            <w:r w:rsidRPr="00E2667C">
              <w:rPr>
                <w:rFonts w:ascii="Times New Roman" w:hAnsi="Times New Roman" w:cs="Times New Roman"/>
                <w:b/>
              </w:rPr>
              <w:t>MOTIVI ZA POKRETANJE PROCESA SPAJANJA I PREUZIMANJA U HRVATSKOM HOTELIJERSTVU</w:t>
            </w:r>
          </w:p>
        </w:tc>
      </w:tr>
      <w:tr w:rsidR="006571B5" w:rsidRPr="00E2667C" w14:paraId="1FE1D109" w14:textId="77777777" w:rsidTr="007F670E">
        <w:trPr>
          <w:trHeight w:val="300"/>
        </w:trPr>
        <w:tc>
          <w:tcPr>
            <w:tcW w:w="301" w:type="pct"/>
            <w:noWrap/>
            <w:vAlign w:val="bottom"/>
            <w:hideMark/>
          </w:tcPr>
          <w:p w14:paraId="2EA96BD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w:t>
            </w:r>
          </w:p>
        </w:tc>
        <w:tc>
          <w:tcPr>
            <w:tcW w:w="4699" w:type="pct"/>
            <w:vAlign w:val="bottom"/>
            <w:hideMark/>
          </w:tcPr>
          <w:p w14:paraId="349A55F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Osiguranje održivog rast poduzeća preuzimatelja</w:t>
            </w:r>
          </w:p>
        </w:tc>
      </w:tr>
      <w:tr w:rsidR="006571B5" w:rsidRPr="00E2667C" w14:paraId="25B89B30" w14:textId="77777777" w:rsidTr="007F670E">
        <w:trPr>
          <w:trHeight w:val="300"/>
        </w:trPr>
        <w:tc>
          <w:tcPr>
            <w:tcW w:w="301" w:type="pct"/>
            <w:noWrap/>
            <w:vAlign w:val="bottom"/>
            <w:hideMark/>
          </w:tcPr>
          <w:p w14:paraId="351CFEF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w:t>
            </w:r>
          </w:p>
        </w:tc>
        <w:tc>
          <w:tcPr>
            <w:tcW w:w="4699" w:type="pct"/>
            <w:vAlign w:val="bottom"/>
            <w:hideMark/>
          </w:tcPr>
          <w:p w14:paraId="346F1D0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Povećanje vrijednosti (dionica) poduzeća preuzimatelja</w:t>
            </w:r>
          </w:p>
        </w:tc>
      </w:tr>
      <w:tr w:rsidR="006571B5" w:rsidRPr="00E2667C" w14:paraId="5B5FBA47" w14:textId="77777777" w:rsidTr="007F670E">
        <w:trPr>
          <w:trHeight w:val="300"/>
        </w:trPr>
        <w:tc>
          <w:tcPr>
            <w:tcW w:w="301" w:type="pct"/>
            <w:noWrap/>
            <w:vAlign w:val="bottom"/>
            <w:hideMark/>
          </w:tcPr>
          <w:p w14:paraId="3626428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w:t>
            </w:r>
          </w:p>
        </w:tc>
        <w:tc>
          <w:tcPr>
            <w:tcW w:w="4699" w:type="pct"/>
            <w:vAlign w:val="bottom"/>
            <w:hideMark/>
          </w:tcPr>
          <w:p w14:paraId="74D2F07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Ostvarivanje liderske pozicije u industriji</w:t>
            </w:r>
          </w:p>
        </w:tc>
      </w:tr>
      <w:tr w:rsidR="006571B5" w:rsidRPr="00E2667C" w14:paraId="65CAD365" w14:textId="77777777" w:rsidTr="007F670E">
        <w:trPr>
          <w:trHeight w:val="300"/>
        </w:trPr>
        <w:tc>
          <w:tcPr>
            <w:tcW w:w="301" w:type="pct"/>
            <w:noWrap/>
            <w:vAlign w:val="bottom"/>
            <w:hideMark/>
          </w:tcPr>
          <w:p w14:paraId="027A26B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lastRenderedPageBreak/>
              <w:t>4</w:t>
            </w:r>
          </w:p>
        </w:tc>
        <w:tc>
          <w:tcPr>
            <w:tcW w:w="4699" w:type="pct"/>
            <w:vAlign w:val="bottom"/>
            <w:hideMark/>
          </w:tcPr>
          <w:p w14:paraId="232BE3B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Povećanje tržišnog udjela poduzeća preuzimatelja</w:t>
            </w:r>
          </w:p>
        </w:tc>
      </w:tr>
      <w:tr w:rsidR="006571B5" w:rsidRPr="00E2667C" w14:paraId="676CE199" w14:textId="77777777" w:rsidTr="007F670E">
        <w:trPr>
          <w:trHeight w:val="600"/>
        </w:trPr>
        <w:tc>
          <w:tcPr>
            <w:tcW w:w="301" w:type="pct"/>
            <w:noWrap/>
            <w:vAlign w:val="bottom"/>
            <w:hideMark/>
          </w:tcPr>
          <w:p w14:paraId="311CAF3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w:t>
            </w:r>
          </w:p>
        </w:tc>
        <w:tc>
          <w:tcPr>
            <w:tcW w:w="4699" w:type="pct"/>
            <w:vAlign w:val="bottom"/>
            <w:hideMark/>
          </w:tcPr>
          <w:p w14:paraId="347AD5E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Proširivanje tržišnih segmenata (baze kupaca) poduzeća preuzimatelja sirenjem ponude na postojećem ili novom tržištu – destinaciji</w:t>
            </w:r>
          </w:p>
        </w:tc>
      </w:tr>
      <w:tr w:rsidR="006571B5" w:rsidRPr="00E2667C" w14:paraId="29B7FF51" w14:textId="77777777" w:rsidTr="007F670E">
        <w:trPr>
          <w:trHeight w:val="600"/>
        </w:trPr>
        <w:tc>
          <w:tcPr>
            <w:tcW w:w="301" w:type="pct"/>
            <w:noWrap/>
            <w:vAlign w:val="bottom"/>
            <w:hideMark/>
          </w:tcPr>
          <w:p w14:paraId="57178CE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w:t>
            </w:r>
          </w:p>
        </w:tc>
        <w:tc>
          <w:tcPr>
            <w:tcW w:w="4699" w:type="pct"/>
            <w:vAlign w:val="bottom"/>
            <w:hideMark/>
          </w:tcPr>
          <w:p w14:paraId="3D84C64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Povećanje kapaciteta poduzeća preuzimatelja (uz manje kapitalne i operativne troškove nego li sto bi to bilo u slučaju izgradnje novih vlastitih objekata)</w:t>
            </w:r>
          </w:p>
        </w:tc>
      </w:tr>
      <w:tr w:rsidR="006571B5" w:rsidRPr="00E2667C" w14:paraId="25EC656B" w14:textId="77777777" w:rsidTr="007F670E">
        <w:trPr>
          <w:trHeight w:val="300"/>
        </w:trPr>
        <w:tc>
          <w:tcPr>
            <w:tcW w:w="301" w:type="pct"/>
            <w:noWrap/>
            <w:vAlign w:val="bottom"/>
            <w:hideMark/>
          </w:tcPr>
          <w:p w14:paraId="12CA98A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w:t>
            </w:r>
          </w:p>
        </w:tc>
        <w:tc>
          <w:tcPr>
            <w:tcW w:w="4699" w:type="pct"/>
            <w:vAlign w:val="bottom"/>
            <w:hideMark/>
          </w:tcPr>
          <w:p w14:paraId="014DEF9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Smanjivanje troškova (racionalizacija poslovanja) spajanjem dva srodna poduzeća (učinci ekonomije obujma)</w:t>
            </w:r>
          </w:p>
        </w:tc>
      </w:tr>
      <w:tr w:rsidR="006571B5" w:rsidRPr="00E2667C" w14:paraId="6BD6D7C2" w14:textId="77777777" w:rsidTr="007F670E">
        <w:trPr>
          <w:trHeight w:val="300"/>
        </w:trPr>
        <w:tc>
          <w:tcPr>
            <w:tcW w:w="301" w:type="pct"/>
            <w:noWrap/>
            <w:vAlign w:val="bottom"/>
            <w:hideMark/>
          </w:tcPr>
          <w:p w14:paraId="78FB883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8</w:t>
            </w:r>
          </w:p>
        </w:tc>
        <w:tc>
          <w:tcPr>
            <w:tcW w:w="4699" w:type="pct"/>
            <w:vAlign w:val="bottom"/>
            <w:hideMark/>
          </w:tcPr>
          <w:p w14:paraId="64A6BE1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Jačanja marke i reputacije poduzeća preuzimatelja</w:t>
            </w:r>
          </w:p>
        </w:tc>
      </w:tr>
      <w:tr w:rsidR="006571B5" w:rsidRPr="00E2667C" w14:paraId="33B6FB42" w14:textId="77777777" w:rsidTr="007F670E">
        <w:trPr>
          <w:trHeight w:val="300"/>
        </w:trPr>
        <w:tc>
          <w:tcPr>
            <w:tcW w:w="301" w:type="pct"/>
            <w:noWrap/>
            <w:vAlign w:val="bottom"/>
            <w:hideMark/>
          </w:tcPr>
          <w:p w14:paraId="2C202D2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9</w:t>
            </w:r>
          </w:p>
        </w:tc>
        <w:tc>
          <w:tcPr>
            <w:tcW w:w="4699" w:type="pct"/>
            <w:vAlign w:val="bottom"/>
            <w:hideMark/>
          </w:tcPr>
          <w:p w14:paraId="69711EC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Poboljšanje kreditne sposobnosti novoosnovanog poduzeća</w:t>
            </w:r>
          </w:p>
        </w:tc>
      </w:tr>
      <w:tr w:rsidR="006571B5" w:rsidRPr="00E2667C" w14:paraId="182A32C0" w14:textId="77777777" w:rsidTr="007F670E">
        <w:trPr>
          <w:trHeight w:val="300"/>
        </w:trPr>
        <w:tc>
          <w:tcPr>
            <w:tcW w:w="301" w:type="pct"/>
            <w:noWrap/>
            <w:vAlign w:val="bottom"/>
            <w:hideMark/>
          </w:tcPr>
          <w:p w14:paraId="0DD1DE9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10</w:t>
            </w:r>
          </w:p>
        </w:tc>
        <w:tc>
          <w:tcPr>
            <w:tcW w:w="4699" w:type="pct"/>
            <w:vAlign w:val="bottom"/>
            <w:hideMark/>
          </w:tcPr>
          <w:p w14:paraId="4754B82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Kontrola upravljačke strukture u poduzeću meti radi utjecaja na njezino buduće poslovanje</w:t>
            </w:r>
          </w:p>
        </w:tc>
      </w:tr>
      <w:tr w:rsidR="006571B5" w:rsidRPr="00E2667C" w14:paraId="1DC60646" w14:textId="77777777" w:rsidTr="007F670E">
        <w:trPr>
          <w:trHeight w:val="300"/>
        </w:trPr>
        <w:tc>
          <w:tcPr>
            <w:tcW w:w="301" w:type="pct"/>
            <w:noWrap/>
            <w:vAlign w:val="bottom"/>
            <w:hideMark/>
          </w:tcPr>
          <w:p w14:paraId="25E99D2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11</w:t>
            </w:r>
          </w:p>
        </w:tc>
        <w:tc>
          <w:tcPr>
            <w:tcW w:w="4699" w:type="pct"/>
            <w:vAlign w:val="bottom"/>
            <w:hideMark/>
          </w:tcPr>
          <w:p w14:paraId="0E3EE43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Preuzimanje ključnih zaposlenika i talenata iz poduzeća mete</w:t>
            </w:r>
          </w:p>
        </w:tc>
      </w:tr>
      <w:tr w:rsidR="006571B5" w:rsidRPr="00E2667C" w14:paraId="4D977E47" w14:textId="77777777" w:rsidTr="007F670E">
        <w:trPr>
          <w:trHeight w:val="300"/>
        </w:trPr>
        <w:tc>
          <w:tcPr>
            <w:tcW w:w="301" w:type="pct"/>
            <w:noWrap/>
            <w:vAlign w:val="bottom"/>
            <w:hideMark/>
          </w:tcPr>
          <w:p w14:paraId="50EB5B4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12</w:t>
            </w:r>
          </w:p>
        </w:tc>
        <w:tc>
          <w:tcPr>
            <w:tcW w:w="4699" w:type="pct"/>
            <w:vAlign w:val="bottom"/>
            <w:hideMark/>
          </w:tcPr>
          <w:p w14:paraId="701AC22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Ispunjavanje osobnih ciljeva i/ili vizije izvrsnog direktora poduzeća preuzimatelja</w:t>
            </w:r>
          </w:p>
        </w:tc>
      </w:tr>
      <w:tr w:rsidR="006571B5" w:rsidRPr="00E2667C" w14:paraId="65BF102A" w14:textId="77777777" w:rsidTr="007F670E">
        <w:trPr>
          <w:trHeight w:val="300"/>
        </w:trPr>
        <w:tc>
          <w:tcPr>
            <w:tcW w:w="301" w:type="pct"/>
            <w:noWrap/>
            <w:vAlign w:val="bottom"/>
            <w:hideMark/>
          </w:tcPr>
          <w:p w14:paraId="47D44C7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13</w:t>
            </w:r>
          </w:p>
        </w:tc>
        <w:tc>
          <w:tcPr>
            <w:tcW w:w="4699" w:type="pct"/>
            <w:vAlign w:val="bottom"/>
            <w:hideMark/>
          </w:tcPr>
          <w:p w14:paraId="3686A044"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Plasiranje viska slobodnih financijskih sredstava poduzeća preuzimatelja</w:t>
            </w:r>
          </w:p>
        </w:tc>
      </w:tr>
      <w:tr w:rsidR="006571B5" w:rsidRPr="00E2667C" w14:paraId="37C86104" w14:textId="77777777" w:rsidTr="007F670E">
        <w:trPr>
          <w:trHeight w:val="300"/>
        </w:trPr>
        <w:tc>
          <w:tcPr>
            <w:tcW w:w="301" w:type="pct"/>
            <w:noWrap/>
            <w:vAlign w:val="bottom"/>
            <w:hideMark/>
          </w:tcPr>
          <w:p w14:paraId="6DDC15B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14</w:t>
            </w:r>
          </w:p>
        </w:tc>
        <w:tc>
          <w:tcPr>
            <w:tcW w:w="4699" w:type="pct"/>
            <w:vAlign w:val="bottom"/>
            <w:hideMark/>
          </w:tcPr>
          <w:p w14:paraId="2F38F98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Nemogućnost internog rasta</w:t>
            </w:r>
          </w:p>
        </w:tc>
      </w:tr>
      <w:tr w:rsidR="006571B5" w:rsidRPr="00E2667C" w14:paraId="09B8D684" w14:textId="77777777" w:rsidTr="00BB4209">
        <w:trPr>
          <w:trHeight w:val="300"/>
        </w:trPr>
        <w:tc>
          <w:tcPr>
            <w:tcW w:w="5000" w:type="pct"/>
            <w:gridSpan w:val="2"/>
            <w:noWrap/>
            <w:vAlign w:val="bottom"/>
          </w:tcPr>
          <w:p w14:paraId="1D3EB52A" w14:textId="77777777" w:rsidR="006571B5" w:rsidRPr="00E2667C" w:rsidRDefault="006571B5" w:rsidP="0071112D">
            <w:pPr>
              <w:jc w:val="center"/>
              <w:rPr>
                <w:rFonts w:ascii="Times New Roman" w:hAnsi="Times New Roman" w:cs="Times New Roman"/>
                <w:b/>
              </w:rPr>
            </w:pPr>
            <w:r w:rsidRPr="00E2667C">
              <w:rPr>
                <w:rFonts w:ascii="Times New Roman" w:hAnsi="Times New Roman" w:cs="Times New Roman"/>
                <w:b/>
              </w:rPr>
              <w:t>KLJUČNI ČIMBENICI USPJEHA PROCESA SPAJANJA I PREUZIMANJA PRIJE PREUZIMANJA PODUZEĆA METE</w:t>
            </w:r>
          </w:p>
        </w:tc>
      </w:tr>
      <w:tr w:rsidR="006571B5" w:rsidRPr="00E2667C" w14:paraId="1F2717EA" w14:textId="77777777" w:rsidTr="007F670E">
        <w:trPr>
          <w:trHeight w:val="300"/>
        </w:trPr>
        <w:tc>
          <w:tcPr>
            <w:tcW w:w="301" w:type="pct"/>
            <w:noWrap/>
            <w:vAlign w:val="bottom"/>
            <w:hideMark/>
          </w:tcPr>
          <w:p w14:paraId="130A39A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15</w:t>
            </w:r>
          </w:p>
        </w:tc>
        <w:tc>
          <w:tcPr>
            <w:tcW w:w="4699" w:type="pct"/>
            <w:vAlign w:val="bottom"/>
            <w:hideMark/>
          </w:tcPr>
          <w:p w14:paraId="0A52A24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Dobro poznavanje regulative i propisa</w:t>
            </w:r>
          </w:p>
        </w:tc>
      </w:tr>
      <w:tr w:rsidR="006571B5" w:rsidRPr="00E2667C" w14:paraId="4FF6B08F" w14:textId="77777777" w:rsidTr="007F670E">
        <w:trPr>
          <w:trHeight w:val="300"/>
        </w:trPr>
        <w:tc>
          <w:tcPr>
            <w:tcW w:w="301" w:type="pct"/>
            <w:noWrap/>
            <w:vAlign w:val="bottom"/>
            <w:hideMark/>
          </w:tcPr>
          <w:p w14:paraId="39CD3B5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16</w:t>
            </w:r>
          </w:p>
        </w:tc>
        <w:tc>
          <w:tcPr>
            <w:tcW w:w="4699" w:type="pct"/>
            <w:vAlign w:val="bottom"/>
            <w:hideMark/>
          </w:tcPr>
          <w:p w14:paraId="116AF99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Trend u operativnom novčanom toku poduzeća mete</w:t>
            </w:r>
          </w:p>
        </w:tc>
      </w:tr>
      <w:tr w:rsidR="006571B5" w:rsidRPr="00E2667C" w14:paraId="1A426400" w14:textId="77777777" w:rsidTr="007F670E">
        <w:trPr>
          <w:trHeight w:val="600"/>
        </w:trPr>
        <w:tc>
          <w:tcPr>
            <w:tcW w:w="301" w:type="pct"/>
            <w:noWrap/>
            <w:vAlign w:val="bottom"/>
            <w:hideMark/>
          </w:tcPr>
          <w:p w14:paraId="45E0447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17</w:t>
            </w:r>
          </w:p>
        </w:tc>
        <w:tc>
          <w:tcPr>
            <w:tcW w:w="4699" w:type="pct"/>
            <w:vAlign w:val="bottom"/>
            <w:hideMark/>
          </w:tcPr>
          <w:p w14:paraId="47AEDC3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Dobra procjena potencijalne operativne sinergije poduzeća mete na poduzeće preuzimatelja </w:t>
            </w:r>
            <w:r w:rsidRPr="00E2667C">
              <w:rPr>
                <w:rFonts w:ascii="Times New Roman" w:hAnsi="Times New Roman" w:cs="Times New Roman"/>
              </w:rPr>
              <w:br/>
              <w:t>(tj. poboljšanu operativnu učinkovitost)</w:t>
            </w:r>
          </w:p>
        </w:tc>
      </w:tr>
      <w:tr w:rsidR="006571B5" w:rsidRPr="00E2667C" w14:paraId="37B61E34" w14:textId="77777777" w:rsidTr="007F670E">
        <w:trPr>
          <w:trHeight w:val="300"/>
        </w:trPr>
        <w:tc>
          <w:tcPr>
            <w:tcW w:w="301" w:type="pct"/>
            <w:noWrap/>
            <w:vAlign w:val="bottom"/>
            <w:hideMark/>
          </w:tcPr>
          <w:p w14:paraId="000314D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18</w:t>
            </w:r>
          </w:p>
        </w:tc>
        <w:tc>
          <w:tcPr>
            <w:tcW w:w="4699" w:type="pct"/>
            <w:vAlign w:val="bottom"/>
            <w:hideMark/>
          </w:tcPr>
          <w:p w14:paraId="11424DF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Mjera prirasta ili razrjeđenja dionica / Gotovinski tijek / FFO</w:t>
            </w:r>
          </w:p>
        </w:tc>
      </w:tr>
      <w:tr w:rsidR="006571B5" w:rsidRPr="00E2667C" w14:paraId="796EBF0E" w14:textId="77777777" w:rsidTr="007F670E">
        <w:trPr>
          <w:trHeight w:val="300"/>
        </w:trPr>
        <w:tc>
          <w:tcPr>
            <w:tcW w:w="301" w:type="pct"/>
            <w:noWrap/>
            <w:vAlign w:val="bottom"/>
            <w:hideMark/>
          </w:tcPr>
          <w:p w14:paraId="60B182E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19</w:t>
            </w:r>
          </w:p>
        </w:tc>
        <w:tc>
          <w:tcPr>
            <w:tcW w:w="4699" w:type="pct"/>
            <w:vAlign w:val="bottom"/>
            <w:hideMark/>
          </w:tcPr>
          <w:p w14:paraId="14F7972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Reputacija poduzeća mete</w:t>
            </w:r>
          </w:p>
        </w:tc>
      </w:tr>
      <w:tr w:rsidR="006571B5" w:rsidRPr="00E2667C" w14:paraId="7F4C93D3" w14:textId="77777777" w:rsidTr="007F670E">
        <w:trPr>
          <w:trHeight w:val="300"/>
        </w:trPr>
        <w:tc>
          <w:tcPr>
            <w:tcW w:w="301" w:type="pct"/>
            <w:noWrap/>
            <w:vAlign w:val="bottom"/>
            <w:hideMark/>
          </w:tcPr>
          <w:p w14:paraId="28A4810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20</w:t>
            </w:r>
          </w:p>
        </w:tc>
        <w:tc>
          <w:tcPr>
            <w:tcW w:w="4699" w:type="pct"/>
            <w:vAlign w:val="bottom"/>
            <w:hideMark/>
          </w:tcPr>
          <w:p w14:paraId="49F60C8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Imidž turističke destinacije u kojoj posluje poduzeće meta</w:t>
            </w:r>
          </w:p>
        </w:tc>
      </w:tr>
      <w:tr w:rsidR="006571B5" w:rsidRPr="00E2667C" w14:paraId="6BA46339" w14:textId="77777777" w:rsidTr="007F670E">
        <w:trPr>
          <w:trHeight w:val="300"/>
        </w:trPr>
        <w:tc>
          <w:tcPr>
            <w:tcW w:w="301" w:type="pct"/>
            <w:noWrap/>
            <w:vAlign w:val="bottom"/>
            <w:hideMark/>
          </w:tcPr>
          <w:p w14:paraId="37D0099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21</w:t>
            </w:r>
          </w:p>
        </w:tc>
        <w:tc>
          <w:tcPr>
            <w:tcW w:w="4699" w:type="pct"/>
            <w:vAlign w:val="bottom"/>
            <w:hideMark/>
          </w:tcPr>
          <w:p w14:paraId="430D2DD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Lokacija poduzeća mete </w:t>
            </w:r>
          </w:p>
        </w:tc>
      </w:tr>
      <w:tr w:rsidR="006571B5" w:rsidRPr="00E2667C" w14:paraId="0DB4FD51" w14:textId="77777777" w:rsidTr="007F670E">
        <w:trPr>
          <w:trHeight w:val="300"/>
        </w:trPr>
        <w:tc>
          <w:tcPr>
            <w:tcW w:w="301" w:type="pct"/>
            <w:noWrap/>
            <w:vAlign w:val="bottom"/>
            <w:hideMark/>
          </w:tcPr>
          <w:p w14:paraId="1C7F84E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22</w:t>
            </w:r>
          </w:p>
        </w:tc>
        <w:tc>
          <w:tcPr>
            <w:tcW w:w="4699" w:type="pct"/>
            <w:vAlign w:val="bottom"/>
            <w:hideMark/>
          </w:tcPr>
          <w:p w14:paraId="631A943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Dubinsko snimanje poduzeća mete </w:t>
            </w:r>
          </w:p>
        </w:tc>
      </w:tr>
      <w:tr w:rsidR="006571B5" w:rsidRPr="00E2667C" w14:paraId="2EC7A157" w14:textId="77777777" w:rsidTr="007F670E">
        <w:trPr>
          <w:trHeight w:val="300"/>
        </w:trPr>
        <w:tc>
          <w:tcPr>
            <w:tcW w:w="301" w:type="pct"/>
            <w:noWrap/>
            <w:vAlign w:val="bottom"/>
            <w:hideMark/>
          </w:tcPr>
          <w:p w14:paraId="7366BF2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23</w:t>
            </w:r>
          </w:p>
        </w:tc>
        <w:tc>
          <w:tcPr>
            <w:tcW w:w="4699" w:type="pct"/>
            <w:vAlign w:val="bottom"/>
            <w:hideMark/>
          </w:tcPr>
          <w:p w14:paraId="47C013E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Vlasnička struktura poduzeća mete</w:t>
            </w:r>
          </w:p>
        </w:tc>
      </w:tr>
      <w:tr w:rsidR="006571B5" w:rsidRPr="00E2667C" w14:paraId="6A6CA4CB" w14:textId="77777777" w:rsidTr="007F670E">
        <w:trPr>
          <w:trHeight w:val="300"/>
        </w:trPr>
        <w:tc>
          <w:tcPr>
            <w:tcW w:w="301" w:type="pct"/>
            <w:noWrap/>
            <w:vAlign w:val="bottom"/>
            <w:hideMark/>
          </w:tcPr>
          <w:p w14:paraId="3B85511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24</w:t>
            </w:r>
          </w:p>
        </w:tc>
        <w:tc>
          <w:tcPr>
            <w:tcW w:w="4699" w:type="pct"/>
            <w:vAlign w:val="bottom"/>
            <w:hideMark/>
          </w:tcPr>
          <w:p w14:paraId="0484819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Preliminarni razgovori u poduzeću meti</w:t>
            </w:r>
          </w:p>
        </w:tc>
      </w:tr>
      <w:tr w:rsidR="006571B5" w:rsidRPr="00E2667C" w14:paraId="704262B9" w14:textId="77777777" w:rsidTr="007F670E">
        <w:trPr>
          <w:trHeight w:val="300"/>
        </w:trPr>
        <w:tc>
          <w:tcPr>
            <w:tcW w:w="301" w:type="pct"/>
            <w:noWrap/>
            <w:vAlign w:val="bottom"/>
            <w:hideMark/>
          </w:tcPr>
          <w:p w14:paraId="64FAF44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25</w:t>
            </w:r>
          </w:p>
        </w:tc>
        <w:tc>
          <w:tcPr>
            <w:tcW w:w="4699" w:type="pct"/>
            <w:vAlign w:val="bottom"/>
            <w:hideMark/>
          </w:tcPr>
          <w:p w14:paraId="0A79732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Razumijevanje kako će dioničari poduzeća mete reagirati na potencijalnu transakciju</w:t>
            </w:r>
          </w:p>
        </w:tc>
      </w:tr>
      <w:tr w:rsidR="006571B5" w:rsidRPr="00E2667C" w14:paraId="398A9791" w14:textId="77777777" w:rsidTr="007F670E">
        <w:trPr>
          <w:trHeight w:val="300"/>
        </w:trPr>
        <w:tc>
          <w:tcPr>
            <w:tcW w:w="301" w:type="pct"/>
            <w:noWrap/>
            <w:vAlign w:val="bottom"/>
            <w:hideMark/>
          </w:tcPr>
          <w:p w14:paraId="3DD233B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26</w:t>
            </w:r>
          </w:p>
        </w:tc>
        <w:tc>
          <w:tcPr>
            <w:tcW w:w="4699" w:type="pct"/>
            <w:vAlign w:val="bottom"/>
            <w:hideMark/>
          </w:tcPr>
          <w:p w14:paraId="4416CB8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Trend glavnih hotelskih pokazatelje uspješnosti poduzeća mete (popunjenost, RevPAR, slobodni novčani tijek i ADR)</w:t>
            </w:r>
          </w:p>
        </w:tc>
      </w:tr>
      <w:tr w:rsidR="006571B5" w:rsidRPr="00E2667C" w14:paraId="47B9BBC9" w14:textId="77777777" w:rsidTr="007F670E">
        <w:trPr>
          <w:trHeight w:val="300"/>
        </w:trPr>
        <w:tc>
          <w:tcPr>
            <w:tcW w:w="301" w:type="pct"/>
            <w:noWrap/>
            <w:vAlign w:val="bottom"/>
            <w:hideMark/>
          </w:tcPr>
          <w:p w14:paraId="14E55EE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27</w:t>
            </w:r>
          </w:p>
        </w:tc>
        <w:tc>
          <w:tcPr>
            <w:tcW w:w="4699" w:type="pct"/>
            <w:vAlign w:val="bottom"/>
            <w:hideMark/>
          </w:tcPr>
          <w:p w14:paraId="3E75C95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Trend glavnih računovodstvenih pokazatelja uspješnosti poduzeća mete </w:t>
            </w:r>
          </w:p>
        </w:tc>
      </w:tr>
      <w:tr w:rsidR="006571B5" w:rsidRPr="00E2667C" w14:paraId="3AB31CFB" w14:textId="77777777" w:rsidTr="007F670E">
        <w:trPr>
          <w:trHeight w:val="300"/>
        </w:trPr>
        <w:tc>
          <w:tcPr>
            <w:tcW w:w="301" w:type="pct"/>
            <w:noWrap/>
            <w:vAlign w:val="bottom"/>
            <w:hideMark/>
          </w:tcPr>
          <w:p w14:paraId="3B65FC2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lastRenderedPageBreak/>
              <w:t>28</w:t>
            </w:r>
          </w:p>
        </w:tc>
        <w:tc>
          <w:tcPr>
            <w:tcW w:w="4699" w:type="pct"/>
            <w:vAlign w:val="bottom"/>
            <w:hideMark/>
          </w:tcPr>
          <w:p w14:paraId="5287B18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Potreba kapitalnih izdataka kod poduzeća mete (npr. potencijalni troškovi obnove nekretnina)</w:t>
            </w:r>
          </w:p>
        </w:tc>
      </w:tr>
      <w:tr w:rsidR="006571B5" w:rsidRPr="00E2667C" w14:paraId="48C1FF52" w14:textId="77777777" w:rsidTr="007F670E">
        <w:trPr>
          <w:trHeight w:val="300"/>
        </w:trPr>
        <w:tc>
          <w:tcPr>
            <w:tcW w:w="301" w:type="pct"/>
            <w:noWrap/>
            <w:vAlign w:val="bottom"/>
            <w:hideMark/>
          </w:tcPr>
          <w:p w14:paraId="046B89D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29</w:t>
            </w:r>
          </w:p>
        </w:tc>
        <w:tc>
          <w:tcPr>
            <w:tcW w:w="4699" w:type="pct"/>
            <w:vAlign w:val="bottom"/>
            <w:hideMark/>
          </w:tcPr>
          <w:p w14:paraId="2C941A4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Potencijalni utjecaj na jačanje marke i reputacije poduzeća mete kroz stvaranje novog poduzeća</w:t>
            </w:r>
          </w:p>
        </w:tc>
      </w:tr>
      <w:tr w:rsidR="006571B5" w:rsidRPr="00E2667C" w14:paraId="4E9678FF" w14:textId="77777777" w:rsidTr="007F670E">
        <w:trPr>
          <w:trHeight w:val="300"/>
        </w:trPr>
        <w:tc>
          <w:tcPr>
            <w:tcW w:w="301" w:type="pct"/>
            <w:noWrap/>
            <w:vAlign w:val="bottom"/>
            <w:hideMark/>
          </w:tcPr>
          <w:p w14:paraId="556CD69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30</w:t>
            </w:r>
          </w:p>
        </w:tc>
        <w:tc>
          <w:tcPr>
            <w:tcW w:w="4699" w:type="pct"/>
            <w:vAlign w:val="bottom"/>
            <w:hideMark/>
          </w:tcPr>
          <w:p w14:paraId="4B71249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Potencijalni učinak na jačanje marke i reputacije poduzeća preuzimatelja</w:t>
            </w:r>
          </w:p>
        </w:tc>
      </w:tr>
      <w:tr w:rsidR="006571B5" w:rsidRPr="00E2667C" w14:paraId="7471BF20" w14:textId="77777777" w:rsidTr="007F670E">
        <w:trPr>
          <w:trHeight w:val="300"/>
        </w:trPr>
        <w:tc>
          <w:tcPr>
            <w:tcW w:w="301" w:type="pct"/>
            <w:noWrap/>
            <w:vAlign w:val="bottom"/>
            <w:hideMark/>
          </w:tcPr>
          <w:p w14:paraId="7DAC9FE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31</w:t>
            </w:r>
          </w:p>
        </w:tc>
        <w:tc>
          <w:tcPr>
            <w:tcW w:w="4699" w:type="pct"/>
            <w:vAlign w:val="bottom"/>
            <w:hideMark/>
          </w:tcPr>
          <w:p w14:paraId="628070B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Način plaćanja (tj. gotovinsko, dioničko, itd.)</w:t>
            </w:r>
          </w:p>
        </w:tc>
      </w:tr>
      <w:tr w:rsidR="006571B5" w:rsidRPr="00E2667C" w14:paraId="41557A5B" w14:textId="77777777" w:rsidTr="007F670E">
        <w:trPr>
          <w:trHeight w:val="300"/>
        </w:trPr>
        <w:tc>
          <w:tcPr>
            <w:tcW w:w="301" w:type="pct"/>
            <w:noWrap/>
            <w:vAlign w:val="bottom"/>
            <w:hideMark/>
          </w:tcPr>
          <w:p w14:paraId="4ABE1ED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32</w:t>
            </w:r>
          </w:p>
        </w:tc>
        <w:tc>
          <w:tcPr>
            <w:tcW w:w="4699" w:type="pct"/>
            <w:vAlign w:val="bottom"/>
            <w:hideMark/>
          </w:tcPr>
          <w:p w14:paraId="7AB3086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Strateška povezanost između poduzeća preuzimatelja i poduzeća mete </w:t>
            </w:r>
          </w:p>
        </w:tc>
      </w:tr>
      <w:tr w:rsidR="006571B5" w:rsidRPr="00E2667C" w14:paraId="0EA1D6B9" w14:textId="77777777" w:rsidTr="007F670E">
        <w:trPr>
          <w:trHeight w:val="300"/>
        </w:trPr>
        <w:tc>
          <w:tcPr>
            <w:tcW w:w="301" w:type="pct"/>
            <w:noWrap/>
            <w:vAlign w:val="bottom"/>
            <w:hideMark/>
          </w:tcPr>
          <w:p w14:paraId="0743DE7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33</w:t>
            </w:r>
          </w:p>
        </w:tc>
        <w:tc>
          <w:tcPr>
            <w:tcW w:w="4699" w:type="pct"/>
            <w:vAlign w:val="bottom"/>
            <w:hideMark/>
          </w:tcPr>
          <w:p w14:paraId="51BB045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Sadašnja vrijednost očekivanih sinergija preuzimanja za poduzeće preuzimatelja će biti veća od plaćenih premija </w:t>
            </w:r>
          </w:p>
        </w:tc>
      </w:tr>
      <w:tr w:rsidR="006571B5" w:rsidRPr="00E2667C" w14:paraId="3C7DC48D" w14:textId="77777777" w:rsidTr="007F670E">
        <w:trPr>
          <w:trHeight w:val="300"/>
        </w:trPr>
        <w:tc>
          <w:tcPr>
            <w:tcW w:w="301" w:type="pct"/>
            <w:noWrap/>
            <w:vAlign w:val="bottom"/>
            <w:hideMark/>
          </w:tcPr>
          <w:p w14:paraId="71B72044"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34</w:t>
            </w:r>
          </w:p>
        </w:tc>
        <w:tc>
          <w:tcPr>
            <w:tcW w:w="4699" w:type="pct"/>
            <w:vAlign w:val="bottom"/>
            <w:hideMark/>
          </w:tcPr>
          <w:p w14:paraId="195DBF3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Iznos akvizicijske premije </w:t>
            </w:r>
          </w:p>
        </w:tc>
      </w:tr>
      <w:tr w:rsidR="006571B5" w:rsidRPr="00E2667C" w14:paraId="4CFEF939" w14:textId="77777777" w:rsidTr="007F670E">
        <w:trPr>
          <w:trHeight w:val="300"/>
        </w:trPr>
        <w:tc>
          <w:tcPr>
            <w:tcW w:w="301" w:type="pct"/>
            <w:noWrap/>
            <w:vAlign w:val="bottom"/>
            <w:hideMark/>
          </w:tcPr>
          <w:p w14:paraId="3FEA1CB4"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35</w:t>
            </w:r>
          </w:p>
        </w:tc>
        <w:tc>
          <w:tcPr>
            <w:tcW w:w="4699" w:type="pct"/>
            <w:vAlign w:val="bottom"/>
            <w:hideMark/>
          </w:tcPr>
          <w:p w14:paraId="135C0A2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Način akvizicije (npr. spajanje, neprijateljsko preuzimanje, itd.)</w:t>
            </w:r>
          </w:p>
        </w:tc>
      </w:tr>
      <w:tr w:rsidR="006571B5" w:rsidRPr="00E2667C" w14:paraId="46BB3EE4" w14:textId="77777777" w:rsidTr="007F670E">
        <w:trPr>
          <w:trHeight w:val="300"/>
        </w:trPr>
        <w:tc>
          <w:tcPr>
            <w:tcW w:w="301" w:type="pct"/>
            <w:noWrap/>
            <w:vAlign w:val="bottom"/>
            <w:hideMark/>
          </w:tcPr>
          <w:p w14:paraId="6CABE53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36</w:t>
            </w:r>
          </w:p>
        </w:tc>
        <w:tc>
          <w:tcPr>
            <w:tcW w:w="4699" w:type="pct"/>
            <w:vAlign w:val="bottom"/>
            <w:hideMark/>
          </w:tcPr>
          <w:p w14:paraId="19860D5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Potencijalna financijska sinergija akvizicije (npr. niži troškovi kapitala, niza poreznu stopu)</w:t>
            </w:r>
          </w:p>
        </w:tc>
      </w:tr>
      <w:tr w:rsidR="006571B5" w:rsidRPr="00E2667C" w14:paraId="3A48916D" w14:textId="77777777" w:rsidTr="007F670E">
        <w:trPr>
          <w:trHeight w:val="300"/>
        </w:trPr>
        <w:tc>
          <w:tcPr>
            <w:tcW w:w="301" w:type="pct"/>
            <w:noWrap/>
            <w:vAlign w:val="bottom"/>
            <w:hideMark/>
          </w:tcPr>
          <w:p w14:paraId="18687AB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37</w:t>
            </w:r>
          </w:p>
        </w:tc>
        <w:tc>
          <w:tcPr>
            <w:tcW w:w="4699" w:type="pct"/>
            <w:vAlign w:val="bottom"/>
            <w:hideMark/>
          </w:tcPr>
          <w:p w14:paraId="7B384F5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Cijena ponude (akvizicije) temelji se na konkurentnom položaju poduzeća mete u hotelskom sektoru</w:t>
            </w:r>
          </w:p>
        </w:tc>
      </w:tr>
      <w:tr w:rsidR="006571B5" w:rsidRPr="00E2667C" w14:paraId="2A1E3E3E" w14:textId="77777777" w:rsidTr="007F670E">
        <w:trPr>
          <w:trHeight w:val="300"/>
        </w:trPr>
        <w:tc>
          <w:tcPr>
            <w:tcW w:w="301" w:type="pct"/>
            <w:noWrap/>
            <w:vAlign w:val="bottom"/>
            <w:hideMark/>
          </w:tcPr>
          <w:p w14:paraId="0CFFCDC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38</w:t>
            </w:r>
          </w:p>
        </w:tc>
        <w:tc>
          <w:tcPr>
            <w:tcW w:w="4699" w:type="pct"/>
            <w:vAlign w:val="bottom"/>
            <w:hideMark/>
          </w:tcPr>
          <w:p w14:paraId="4C851FB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Postojanje vise mogućih ponuđača (cime se podiže cijena pa i finalni iznos kontrolne premije)</w:t>
            </w:r>
          </w:p>
        </w:tc>
      </w:tr>
      <w:tr w:rsidR="006571B5" w:rsidRPr="00E2667C" w14:paraId="21F20F08" w14:textId="77777777" w:rsidTr="007F670E">
        <w:trPr>
          <w:trHeight w:val="600"/>
        </w:trPr>
        <w:tc>
          <w:tcPr>
            <w:tcW w:w="301" w:type="pct"/>
            <w:noWrap/>
            <w:vAlign w:val="bottom"/>
            <w:hideMark/>
          </w:tcPr>
          <w:p w14:paraId="6546A20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39</w:t>
            </w:r>
          </w:p>
        </w:tc>
        <w:tc>
          <w:tcPr>
            <w:tcW w:w="4699" w:type="pct"/>
            <w:vAlign w:val="bottom"/>
            <w:hideMark/>
          </w:tcPr>
          <w:p w14:paraId="61C371C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Potencijalna potražnju za proizvodima (uslugama) poduzeća (kombiniranog poduzeća ili poduzeća mete ukoliko ostaje kao samostalna pravna osoba u sljedećih pet godina)</w:t>
            </w:r>
          </w:p>
        </w:tc>
      </w:tr>
      <w:tr w:rsidR="006571B5" w:rsidRPr="00E2667C" w14:paraId="08C2F67E" w14:textId="77777777" w:rsidTr="007F670E">
        <w:trPr>
          <w:trHeight w:val="600"/>
        </w:trPr>
        <w:tc>
          <w:tcPr>
            <w:tcW w:w="301" w:type="pct"/>
            <w:noWrap/>
            <w:vAlign w:val="bottom"/>
            <w:hideMark/>
          </w:tcPr>
          <w:p w14:paraId="5E3770E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40</w:t>
            </w:r>
          </w:p>
        </w:tc>
        <w:tc>
          <w:tcPr>
            <w:tcW w:w="4699" w:type="pct"/>
            <w:vAlign w:val="bottom"/>
            <w:hideMark/>
          </w:tcPr>
          <w:p w14:paraId="0FF36DA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Potencijalna upravljačka sinergija (tj. poboljšani konkurentni položaj poduzeća mete prijenosom upravljačkog znanja poduzeća preuzimatelja)</w:t>
            </w:r>
          </w:p>
        </w:tc>
      </w:tr>
      <w:tr w:rsidR="006571B5" w:rsidRPr="00E2667C" w14:paraId="2C47BD5B" w14:textId="77777777" w:rsidTr="007F670E">
        <w:trPr>
          <w:trHeight w:val="300"/>
        </w:trPr>
        <w:tc>
          <w:tcPr>
            <w:tcW w:w="301" w:type="pct"/>
            <w:noWrap/>
            <w:vAlign w:val="bottom"/>
            <w:hideMark/>
          </w:tcPr>
          <w:p w14:paraId="3A76EA2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41</w:t>
            </w:r>
          </w:p>
        </w:tc>
        <w:tc>
          <w:tcPr>
            <w:tcW w:w="4699" w:type="pct"/>
            <w:vAlign w:val="bottom"/>
            <w:hideMark/>
          </w:tcPr>
          <w:p w14:paraId="7F02DF9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Upravljačke naknade i franšizne naknade poduzeća mete</w:t>
            </w:r>
          </w:p>
        </w:tc>
      </w:tr>
      <w:tr w:rsidR="006571B5" w:rsidRPr="00E2667C" w14:paraId="35488794" w14:textId="77777777" w:rsidTr="007F670E">
        <w:trPr>
          <w:trHeight w:val="300"/>
        </w:trPr>
        <w:tc>
          <w:tcPr>
            <w:tcW w:w="301" w:type="pct"/>
            <w:noWrap/>
            <w:vAlign w:val="bottom"/>
            <w:hideMark/>
          </w:tcPr>
          <w:p w14:paraId="5738135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42</w:t>
            </w:r>
          </w:p>
        </w:tc>
        <w:tc>
          <w:tcPr>
            <w:tcW w:w="4699" w:type="pct"/>
            <w:vAlign w:val="bottom"/>
            <w:hideMark/>
          </w:tcPr>
          <w:p w14:paraId="1D49DA4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Kapitalna strukturu i troškovi kapitala poduzeća mete </w:t>
            </w:r>
          </w:p>
        </w:tc>
      </w:tr>
      <w:tr w:rsidR="006571B5" w:rsidRPr="00E2667C" w14:paraId="5D6F2223" w14:textId="77777777" w:rsidTr="007F670E">
        <w:trPr>
          <w:trHeight w:val="300"/>
        </w:trPr>
        <w:tc>
          <w:tcPr>
            <w:tcW w:w="301" w:type="pct"/>
            <w:noWrap/>
            <w:vAlign w:val="bottom"/>
            <w:hideMark/>
          </w:tcPr>
          <w:p w14:paraId="3A85F6C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43</w:t>
            </w:r>
          </w:p>
        </w:tc>
        <w:tc>
          <w:tcPr>
            <w:tcW w:w="4699" w:type="pct"/>
            <w:vAlign w:val="bottom"/>
            <w:hideMark/>
          </w:tcPr>
          <w:p w14:paraId="405A25F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Savjeti renomiranih investicijskih banaka</w:t>
            </w:r>
          </w:p>
        </w:tc>
      </w:tr>
      <w:tr w:rsidR="006571B5" w:rsidRPr="00E2667C" w14:paraId="154C0C37" w14:textId="77777777" w:rsidTr="007F670E">
        <w:trPr>
          <w:trHeight w:val="300"/>
        </w:trPr>
        <w:tc>
          <w:tcPr>
            <w:tcW w:w="301" w:type="pct"/>
            <w:noWrap/>
            <w:vAlign w:val="bottom"/>
            <w:hideMark/>
          </w:tcPr>
          <w:p w14:paraId="0B7D756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44</w:t>
            </w:r>
          </w:p>
        </w:tc>
        <w:tc>
          <w:tcPr>
            <w:tcW w:w="4699" w:type="pct"/>
            <w:vAlign w:val="bottom"/>
            <w:hideMark/>
          </w:tcPr>
          <w:p w14:paraId="670DBE5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Uključivanje ključnih menadžera i zaposlenika poduzeća preuzimatelja u planiranje akvizicije</w:t>
            </w:r>
          </w:p>
        </w:tc>
      </w:tr>
      <w:tr w:rsidR="006571B5" w:rsidRPr="00E2667C" w14:paraId="4A5138E9" w14:textId="77777777" w:rsidTr="007F670E">
        <w:trPr>
          <w:trHeight w:val="300"/>
        </w:trPr>
        <w:tc>
          <w:tcPr>
            <w:tcW w:w="301" w:type="pct"/>
            <w:noWrap/>
            <w:vAlign w:val="bottom"/>
            <w:hideMark/>
          </w:tcPr>
          <w:p w14:paraId="217D501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45</w:t>
            </w:r>
          </w:p>
        </w:tc>
        <w:tc>
          <w:tcPr>
            <w:tcW w:w="4699" w:type="pct"/>
            <w:vAlign w:val="bottom"/>
            <w:hideMark/>
          </w:tcPr>
          <w:p w14:paraId="5F75EEA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Identifikacija karakterističnih aspekata organizacijske kulture mete u usporedbi s poduzećem preuzimateljem</w:t>
            </w:r>
          </w:p>
        </w:tc>
      </w:tr>
      <w:tr w:rsidR="006571B5" w:rsidRPr="00E2667C" w14:paraId="23BFBC0C" w14:textId="77777777" w:rsidTr="007F670E">
        <w:trPr>
          <w:trHeight w:val="300"/>
        </w:trPr>
        <w:tc>
          <w:tcPr>
            <w:tcW w:w="301" w:type="pct"/>
            <w:noWrap/>
            <w:vAlign w:val="bottom"/>
            <w:hideMark/>
          </w:tcPr>
          <w:p w14:paraId="29011DF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46</w:t>
            </w:r>
          </w:p>
        </w:tc>
        <w:tc>
          <w:tcPr>
            <w:tcW w:w="4699" w:type="pct"/>
            <w:vAlign w:val="bottom"/>
            <w:hideMark/>
          </w:tcPr>
          <w:p w14:paraId="2AE8102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Povezanost i kompatibilnost poduzeća mete s informacijskom infrastrukturom poduzeća preuzimatelja</w:t>
            </w:r>
          </w:p>
        </w:tc>
      </w:tr>
      <w:tr w:rsidR="006571B5" w:rsidRPr="00E2667C" w14:paraId="7EC3474F" w14:textId="77777777" w:rsidTr="00BB4209">
        <w:trPr>
          <w:trHeight w:val="600"/>
        </w:trPr>
        <w:tc>
          <w:tcPr>
            <w:tcW w:w="5000" w:type="pct"/>
            <w:gridSpan w:val="2"/>
            <w:noWrap/>
            <w:vAlign w:val="bottom"/>
          </w:tcPr>
          <w:p w14:paraId="0D9DEE15" w14:textId="77777777" w:rsidR="006571B5" w:rsidRPr="00E2667C" w:rsidRDefault="006571B5" w:rsidP="0071112D">
            <w:pPr>
              <w:jc w:val="center"/>
              <w:rPr>
                <w:rFonts w:ascii="Times New Roman" w:hAnsi="Times New Roman" w:cs="Times New Roman"/>
                <w:b/>
                <w:bCs/>
              </w:rPr>
            </w:pPr>
            <w:r w:rsidRPr="00E2667C">
              <w:rPr>
                <w:rFonts w:ascii="Times New Roman" w:hAnsi="Times New Roman" w:cs="Times New Roman"/>
                <w:b/>
                <w:bCs/>
              </w:rPr>
              <w:t>KLJUČNI ČIMBENICI USPJEHA PROCESA SPAJANJA I PREUZIMANJA U FAZI INTEGRACIJE</w:t>
            </w:r>
          </w:p>
        </w:tc>
      </w:tr>
      <w:tr w:rsidR="006571B5" w:rsidRPr="00E2667C" w14:paraId="061109C9" w14:textId="77777777" w:rsidTr="007F670E">
        <w:trPr>
          <w:trHeight w:val="600"/>
        </w:trPr>
        <w:tc>
          <w:tcPr>
            <w:tcW w:w="301" w:type="pct"/>
            <w:noWrap/>
            <w:vAlign w:val="bottom"/>
            <w:hideMark/>
          </w:tcPr>
          <w:p w14:paraId="24939DEF"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47</w:t>
            </w:r>
          </w:p>
        </w:tc>
        <w:tc>
          <w:tcPr>
            <w:tcW w:w="4699" w:type="pct"/>
            <w:vAlign w:val="bottom"/>
            <w:hideMark/>
          </w:tcPr>
          <w:p w14:paraId="4E1E939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Definiranje nove strategije razvoja poduzeća nakon akvizicije (novog zajedničkog poduzeća ili pak svakog pojedinog poduzeća koje je sudjelovalo u procesu akvizicije ako ostaju kao samostalne pravne osobe)</w:t>
            </w:r>
          </w:p>
        </w:tc>
      </w:tr>
      <w:tr w:rsidR="006571B5" w:rsidRPr="00E2667C" w14:paraId="6706508E" w14:textId="77777777" w:rsidTr="007F670E">
        <w:trPr>
          <w:trHeight w:val="600"/>
        </w:trPr>
        <w:tc>
          <w:tcPr>
            <w:tcW w:w="301" w:type="pct"/>
            <w:noWrap/>
            <w:vAlign w:val="bottom"/>
            <w:hideMark/>
          </w:tcPr>
          <w:p w14:paraId="56B1162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48</w:t>
            </w:r>
          </w:p>
        </w:tc>
        <w:tc>
          <w:tcPr>
            <w:tcW w:w="4699" w:type="pct"/>
            <w:vAlign w:val="bottom"/>
            <w:hideMark/>
          </w:tcPr>
          <w:p w14:paraId="62AB772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Formalni plan zajedničke integracije od strane vodećih upravljačkih timova oba poduzeća (poduzeća preuzimatelja i poduzeća mete) </w:t>
            </w:r>
          </w:p>
        </w:tc>
      </w:tr>
      <w:tr w:rsidR="006571B5" w:rsidRPr="00E2667C" w14:paraId="4CB14556" w14:textId="77777777" w:rsidTr="007F670E">
        <w:trPr>
          <w:trHeight w:val="300"/>
        </w:trPr>
        <w:tc>
          <w:tcPr>
            <w:tcW w:w="301" w:type="pct"/>
            <w:noWrap/>
            <w:vAlign w:val="bottom"/>
            <w:hideMark/>
          </w:tcPr>
          <w:p w14:paraId="784D456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lastRenderedPageBreak/>
              <w:t>49</w:t>
            </w:r>
          </w:p>
        </w:tc>
        <w:tc>
          <w:tcPr>
            <w:tcW w:w="4699" w:type="pct"/>
            <w:vAlign w:val="bottom"/>
            <w:hideMark/>
          </w:tcPr>
          <w:p w14:paraId="476D71B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Detektiranje i zadržavanje ključnih zaposlenika i menadžera poduzeća mete ako dolazi do spajanja poduzeća</w:t>
            </w:r>
          </w:p>
        </w:tc>
      </w:tr>
      <w:tr w:rsidR="006571B5" w:rsidRPr="00E2667C" w14:paraId="3828DB23" w14:textId="77777777" w:rsidTr="007F670E">
        <w:trPr>
          <w:trHeight w:val="600"/>
        </w:trPr>
        <w:tc>
          <w:tcPr>
            <w:tcW w:w="301" w:type="pct"/>
            <w:noWrap/>
            <w:vAlign w:val="bottom"/>
            <w:hideMark/>
          </w:tcPr>
          <w:p w14:paraId="47BDE0B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50</w:t>
            </w:r>
          </w:p>
        </w:tc>
        <w:tc>
          <w:tcPr>
            <w:tcW w:w="4699" w:type="pct"/>
            <w:vAlign w:val="bottom"/>
            <w:hideMark/>
          </w:tcPr>
          <w:p w14:paraId="5A638D1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Detektiranje i zadržavanje ključnih zaposlenika i menadžere poduzeća mete ako poduzeća koja su sudjelovala u akvizicijskom procesu ostaju kao samostalne pravne osobe</w:t>
            </w:r>
          </w:p>
        </w:tc>
      </w:tr>
      <w:tr w:rsidR="006571B5" w:rsidRPr="00E2667C" w14:paraId="7E283E25" w14:textId="77777777" w:rsidTr="007F670E">
        <w:trPr>
          <w:trHeight w:val="901"/>
        </w:trPr>
        <w:tc>
          <w:tcPr>
            <w:tcW w:w="301" w:type="pct"/>
            <w:noWrap/>
            <w:vAlign w:val="bottom"/>
            <w:hideMark/>
          </w:tcPr>
          <w:p w14:paraId="126BAC8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51</w:t>
            </w:r>
          </w:p>
        </w:tc>
        <w:tc>
          <w:tcPr>
            <w:tcW w:w="4699" w:type="pct"/>
            <w:vAlign w:val="bottom"/>
            <w:hideMark/>
          </w:tcPr>
          <w:p w14:paraId="47C57BB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r>
      <w:tr w:rsidR="006571B5" w:rsidRPr="00E2667C" w14:paraId="14F95B09" w14:textId="77777777" w:rsidTr="007F670E">
        <w:trPr>
          <w:trHeight w:val="600"/>
        </w:trPr>
        <w:tc>
          <w:tcPr>
            <w:tcW w:w="301" w:type="pct"/>
            <w:noWrap/>
            <w:vAlign w:val="bottom"/>
            <w:hideMark/>
          </w:tcPr>
          <w:p w14:paraId="68E51EC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52</w:t>
            </w:r>
          </w:p>
        </w:tc>
        <w:tc>
          <w:tcPr>
            <w:tcW w:w="4699" w:type="pct"/>
            <w:vAlign w:val="bottom"/>
            <w:hideMark/>
          </w:tcPr>
          <w:p w14:paraId="38D9C22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Razvojni programi kojima se potiče osjećaj zajedništva između zaposlenika poduzeća koja su sudjelovala u akvizicijskom procesu (bez obzira na njihov trenutni pravni status)</w:t>
            </w:r>
          </w:p>
        </w:tc>
      </w:tr>
      <w:tr w:rsidR="006571B5" w:rsidRPr="00E2667C" w14:paraId="20B1E220" w14:textId="77777777" w:rsidTr="007F670E">
        <w:trPr>
          <w:trHeight w:val="600"/>
        </w:trPr>
        <w:tc>
          <w:tcPr>
            <w:tcW w:w="301" w:type="pct"/>
            <w:noWrap/>
            <w:vAlign w:val="bottom"/>
            <w:hideMark/>
          </w:tcPr>
          <w:p w14:paraId="3D26231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53</w:t>
            </w:r>
          </w:p>
        </w:tc>
        <w:tc>
          <w:tcPr>
            <w:tcW w:w="4699" w:type="pct"/>
            <w:vAlign w:val="bottom"/>
            <w:hideMark/>
          </w:tcPr>
          <w:p w14:paraId="7B1CF36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Ujednačavanje motiva zbog kojih se poduzeće preuzimatelj odlučilo za akviziciju i operativne strategije preuzetog poduzeća (novoosnovanog zajedničkog poduzeća ili zasebne pravne osobe)</w:t>
            </w:r>
          </w:p>
        </w:tc>
      </w:tr>
      <w:tr w:rsidR="006571B5" w:rsidRPr="00E2667C" w14:paraId="7641EF8C" w14:textId="77777777" w:rsidTr="007F670E">
        <w:trPr>
          <w:trHeight w:val="300"/>
        </w:trPr>
        <w:tc>
          <w:tcPr>
            <w:tcW w:w="301" w:type="pct"/>
            <w:noWrap/>
            <w:vAlign w:val="bottom"/>
            <w:hideMark/>
          </w:tcPr>
          <w:p w14:paraId="633CB24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54</w:t>
            </w:r>
          </w:p>
        </w:tc>
        <w:tc>
          <w:tcPr>
            <w:tcW w:w="4699" w:type="pct"/>
            <w:vAlign w:val="bottom"/>
            <w:hideMark/>
          </w:tcPr>
          <w:p w14:paraId="2A9020A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Identificiranje i usmjeravanje na ostvarivanje glavnih vrijednosnih pokretača procesa akvizicije. </w:t>
            </w:r>
          </w:p>
        </w:tc>
      </w:tr>
      <w:tr w:rsidR="006571B5" w:rsidRPr="00E2667C" w14:paraId="6CC89AA3" w14:textId="77777777" w:rsidTr="007F670E">
        <w:trPr>
          <w:trHeight w:val="300"/>
        </w:trPr>
        <w:tc>
          <w:tcPr>
            <w:tcW w:w="301" w:type="pct"/>
            <w:noWrap/>
            <w:vAlign w:val="bottom"/>
            <w:hideMark/>
          </w:tcPr>
          <w:p w14:paraId="5A8FCD3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55</w:t>
            </w:r>
          </w:p>
        </w:tc>
        <w:tc>
          <w:tcPr>
            <w:tcW w:w="4699" w:type="pct"/>
            <w:vAlign w:val="bottom"/>
            <w:hideMark/>
          </w:tcPr>
          <w:p w14:paraId="59C16EE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Osiguranje resursa potrebnih za integraciju nakon procesa akvizicije</w:t>
            </w:r>
          </w:p>
        </w:tc>
      </w:tr>
      <w:tr w:rsidR="006571B5" w:rsidRPr="00E2667C" w14:paraId="524F79B7" w14:textId="77777777" w:rsidTr="007F670E">
        <w:trPr>
          <w:trHeight w:val="300"/>
        </w:trPr>
        <w:tc>
          <w:tcPr>
            <w:tcW w:w="301" w:type="pct"/>
            <w:noWrap/>
            <w:vAlign w:val="bottom"/>
            <w:hideMark/>
          </w:tcPr>
          <w:p w14:paraId="66E14FA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56</w:t>
            </w:r>
          </w:p>
        </w:tc>
        <w:tc>
          <w:tcPr>
            <w:tcW w:w="4699" w:type="pct"/>
            <w:vAlign w:val="bottom"/>
            <w:hideMark/>
          </w:tcPr>
          <w:p w14:paraId="6CBAB8C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Učinkovita komunikacija s javnošću</w:t>
            </w:r>
          </w:p>
        </w:tc>
      </w:tr>
      <w:tr w:rsidR="006571B5" w:rsidRPr="00E2667C" w14:paraId="468BD414" w14:textId="77777777" w:rsidTr="007F670E">
        <w:trPr>
          <w:trHeight w:val="300"/>
        </w:trPr>
        <w:tc>
          <w:tcPr>
            <w:tcW w:w="301" w:type="pct"/>
            <w:noWrap/>
            <w:vAlign w:val="bottom"/>
            <w:hideMark/>
          </w:tcPr>
          <w:p w14:paraId="4DFD500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57</w:t>
            </w:r>
          </w:p>
        </w:tc>
        <w:tc>
          <w:tcPr>
            <w:tcW w:w="4699" w:type="pct"/>
            <w:vAlign w:val="bottom"/>
            <w:hideMark/>
          </w:tcPr>
          <w:p w14:paraId="09F2E6C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Brza integracija radi ostvarivanja zacrtanog plana</w:t>
            </w:r>
          </w:p>
        </w:tc>
      </w:tr>
      <w:tr w:rsidR="006571B5" w:rsidRPr="00E2667C" w14:paraId="3A583A2C" w14:textId="77777777" w:rsidTr="007F670E">
        <w:trPr>
          <w:trHeight w:val="300"/>
        </w:trPr>
        <w:tc>
          <w:tcPr>
            <w:tcW w:w="301" w:type="pct"/>
            <w:noWrap/>
            <w:vAlign w:val="bottom"/>
            <w:hideMark/>
          </w:tcPr>
          <w:p w14:paraId="7D53EC2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58</w:t>
            </w:r>
          </w:p>
        </w:tc>
        <w:tc>
          <w:tcPr>
            <w:tcW w:w="4699" w:type="pct"/>
            <w:vAlign w:val="bottom"/>
            <w:hideMark/>
          </w:tcPr>
          <w:p w14:paraId="1797EC7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Integracija informacijske infrastrukturu poduzeća koja su sudjelovale u akvizicijskom procesu</w:t>
            </w:r>
          </w:p>
        </w:tc>
      </w:tr>
      <w:tr w:rsidR="006571B5" w:rsidRPr="00E2667C" w14:paraId="79505365" w14:textId="77777777" w:rsidTr="007F670E">
        <w:trPr>
          <w:trHeight w:val="901"/>
        </w:trPr>
        <w:tc>
          <w:tcPr>
            <w:tcW w:w="301" w:type="pct"/>
            <w:noWrap/>
            <w:vAlign w:val="bottom"/>
            <w:hideMark/>
          </w:tcPr>
          <w:p w14:paraId="65BC7DC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59</w:t>
            </w:r>
          </w:p>
        </w:tc>
        <w:tc>
          <w:tcPr>
            <w:tcW w:w="4699" w:type="pct"/>
            <w:vAlign w:val="bottom"/>
            <w:hideMark/>
          </w:tcPr>
          <w:p w14:paraId="0B3131C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Promptna objava plana razvoja ljudskih resursa nakon procesa akvizicije (npr. kljucne funkcije, ovlasti i odgovornosti, planovi otpuštanja itd. u novoosnovanom zajedničkom poduzeću ili u oba poduzeća koje su sudjelovala u akvizicijskom procesu)</w:t>
            </w:r>
          </w:p>
        </w:tc>
      </w:tr>
      <w:tr w:rsidR="006571B5" w:rsidRPr="00E2667C" w14:paraId="41C2A7CB" w14:textId="77777777" w:rsidTr="007F670E">
        <w:trPr>
          <w:trHeight w:val="300"/>
        </w:trPr>
        <w:tc>
          <w:tcPr>
            <w:tcW w:w="301" w:type="pct"/>
            <w:noWrap/>
            <w:vAlign w:val="bottom"/>
            <w:hideMark/>
          </w:tcPr>
          <w:p w14:paraId="199C464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60</w:t>
            </w:r>
          </w:p>
        </w:tc>
        <w:tc>
          <w:tcPr>
            <w:tcW w:w="4699" w:type="pct"/>
            <w:vAlign w:val="bottom"/>
            <w:hideMark/>
          </w:tcPr>
          <w:p w14:paraId="1B41AE2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Odlučan i pravedan odnos prema zaposlenicima koje je potrebno otpustiti</w:t>
            </w:r>
          </w:p>
        </w:tc>
      </w:tr>
      <w:tr w:rsidR="006571B5" w:rsidRPr="00E2667C" w14:paraId="2B6AD5DF" w14:textId="77777777" w:rsidTr="007F670E">
        <w:trPr>
          <w:trHeight w:val="300"/>
        </w:trPr>
        <w:tc>
          <w:tcPr>
            <w:tcW w:w="301" w:type="pct"/>
            <w:noWrap/>
            <w:vAlign w:val="bottom"/>
            <w:hideMark/>
          </w:tcPr>
          <w:p w14:paraId="63ABF53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61</w:t>
            </w:r>
          </w:p>
        </w:tc>
        <w:tc>
          <w:tcPr>
            <w:tcW w:w="4699" w:type="pct"/>
            <w:vAlign w:val="bottom"/>
            <w:hideMark/>
          </w:tcPr>
          <w:p w14:paraId="56EBB42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Uspostaviti odgovarajuće unutarnje mehanizme za prijenos kompetencija i sredstava između poslovnih jedinica </w:t>
            </w:r>
          </w:p>
        </w:tc>
      </w:tr>
      <w:tr w:rsidR="006571B5" w:rsidRPr="00E2667C" w14:paraId="0CF00C13" w14:textId="77777777" w:rsidTr="007F670E">
        <w:trPr>
          <w:trHeight w:val="600"/>
        </w:trPr>
        <w:tc>
          <w:tcPr>
            <w:tcW w:w="301" w:type="pct"/>
            <w:noWrap/>
            <w:vAlign w:val="bottom"/>
            <w:hideMark/>
          </w:tcPr>
          <w:p w14:paraId="3C9B8B1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62</w:t>
            </w:r>
          </w:p>
        </w:tc>
        <w:tc>
          <w:tcPr>
            <w:tcW w:w="4699" w:type="pct"/>
            <w:vAlign w:val="bottom"/>
            <w:hideMark/>
          </w:tcPr>
          <w:p w14:paraId="36343C0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Povezivanje naknada (kompenzacija)  s poboljšanjima u realizaciji slobodnih novčanih tokova (u novoosnovanom zajedničkom poduzeću ili u oba poduzeća koja su sudjelovala u procesu preuzimanja) </w:t>
            </w:r>
          </w:p>
        </w:tc>
      </w:tr>
      <w:tr w:rsidR="006571B5" w:rsidRPr="00E2667C" w14:paraId="64D14A60" w14:textId="77777777" w:rsidTr="007F670E">
        <w:trPr>
          <w:trHeight w:val="300"/>
        </w:trPr>
        <w:tc>
          <w:tcPr>
            <w:tcW w:w="301" w:type="pct"/>
            <w:noWrap/>
            <w:vAlign w:val="bottom"/>
            <w:hideMark/>
          </w:tcPr>
          <w:p w14:paraId="700BF078"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63</w:t>
            </w:r>
          </w:p>
        </w:tc>
        <w:tc>
          <w:tcPr>
            <w:tcW w:w="4699" w:type="pct"/>
            <w:vAlign w:val="bottom"/>
            <w:hideMark/>
          </w:tcPr>
          <w:p w14:paraId="151514F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Niveliranje razlika u stilovima upravljanja između poduzeća koja su sudjelovale u procesu spajanja i preuzimanja</w:t>
            </w:r>
          </w:p>
        </w:tc>
      </w:tr>
      <w:tr w:rsidR="006571B5" w:rsidRPr="00E2667C" w14:paraId="7BB42D1A" w14:textId="77777777" w:rsidTr="007F670E">
        <w:trPr>
          <w:trHeight w:val="300"/>
        </w:trPr>
        <w:tc>
          <w:tcPr>
            <w:tcW w:w="301" w:type="pct"/>
            <w:noWrap/>
            <w:vAlign w:val="bottom"/>
            <w:hideMark/>
          </w:tcPr>
          <w:p w14:paraId="4C1F232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64</w:t>
            </w:r>
          </w:p>
        </w:tc>
        <w:tc>
          <w:tcPr>
            <w:tcW w:w="4699" w:type="pct"/>
            <w:vAlign w:val="bottom"/>
            <w:hideMark/>
          </w:tcPr>
          <w:p w14:paraId="6193BC8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Utvrđivanje razine centralizacije i autonomije zaposlenika poduzeća mete </w:t>
            </w:r>
          </w:p>
        </w:tc>
      </w:tr>
      <w:tr w:rsidR="006571B5" w:rsidRPr="00E2667C" w14:paraId="37B013C6" w14:textId="77777777" w:rsidTr="007F670E">
        <w:trPr>
          <w:trHeight w:val="600"/>
        </w:trPr>
        <w:tc>
          <w:tcPr>
            <w:tcW w:w="301" w:type="pct"/>
            <w:noWrap/>
            <w:vAlign w:val="bottom"/>
            <w:hideMark/>
          </w:tcPr>
          <w:p w14:paraId="4A33492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65</w:t>
            </w:r>
          </w:p>
        </w:tc>
        <w:tc>
          <w:tcPr>
            <w:tcW w:w="4699" w:type="pct"/>
            <w:vAlign w:val="bottom"/>
            <w:hideMark/>
          </w:tcPr>
          <w:p w14:paraId="2C89A5F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Identificiranje prilika za poboljšanje konkurentske pozicije novostvorenog zajedničkog poduzeća ili oba poduzeća koja su sudjelovala u procesu spajanja i preuzimanja, ali su ostala kao samostalne pravne osobe</w:t>
            </w:r>
          </w:p>
        </w:tc>
      </w:tr>
      <w:tr w:rsidR="006571B5" w:rsidRPr="00E2667C" w14:paraId="0A304AF5" w14:textId="77777777" w:rsidTr="007F670E">
        <w:trPr>
          <w:trHeight w:val="600"/>
        </w:trPr>
        <w:tc>
          <w:tcPr>
            <w:tcW w:w="301" w:type="pct"/>
            <w:noWrap/>
            <w:vAlign w:val="bottom"/>
            <w:hideMark/>
          </w:tcPr>
          <w:p w14:paraId="78F36B1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66</w:t>
            </w:r>
          </w:p>
        </w:tc>
        <w:tc>
          <w:tcPr>
            <w:tcW w:w="4699" w:type="pct"/>
            <w:vAlign w:val="bottom"/>
            <w:hideMark/>
          </w:tcPr>
          <w:p w14:paraId="2D61561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Uspostavljanje proceduru za izgradnju zajedničkih alata, praksi, procesa, procedura i jezika (u slučaju spajanja poduzeća, ali i kada svako poduzeće ostaje kao samostalna pravna osoba s obzirom na novu vlasničku strukturu mete)</w:t>
            </w:r>
          </w:p>
        </w:tc>
      </w:tr>
      <w:tr w:rsidR="006571B5" w:rsidRPr="00E2667C" w14:paraId="54B49384" w14:textId="77777777" w:rsidTr="007F670E">
        <w:trPr>
          <w:trHeight w:val="300"/>
        </w:trPr>
        <w:tc>
          <w:tcPr>
            <w:tcW w:w="301" w:type="pct"/>
            <w:noWrap/>
            <w:vAlign w:val="bottom"/>
            <w:hideMark/>
          </w:tcPr>
          <w:p w14:paraId="79B85EFC"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lastRenderedPageBreak/>
              <w:t>67</w:t>
            </w:r>
          </w:p>
        </w:tc>
        <w:tc>
          <w:tcPr>
            <w:tcW w:w="4699" w:type="pct"/>
            <w:vAlign w:val="bottom"/>
            <w:hideMark/>
          </w:tcPr>
          <w:p w14:paraId="3120DC6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Asimiliranje kulturoloških sustava poduzeća preuzimatelja (tj. vrijednosti, norme) u poslovnu kulturu poduzeća mete</w:t>
            </w:r>
          </w:p>
        </w:tc>
      </w:tr>
      <w:tr w:rsidR="006571B5" w:rsidRPr="00E2667C" w14:paraId="79B5F4F7" w14:textId="77777777" w:rsidTr="007F670E">
        <w:trPr>
          <w:trHeight w:val="600"/>
        </w:trPr>
        <w:tc>
          <w:tcPr>
            <w:tcW w:w="301" w:type="pct"/>
            <w:noWrap/>
            <w:vAlign w:val="bottom"/>
            <w:hideMark/>
          </w:tcPr>
          <w:p w14:paraId="2E8C13F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68</w:t>
            </w:r>
          </w:p>
        </w:tc>
        <w:tc>
          <w:tcPr>
            <w:tcW w:w="4699" w:type="pct"/>
            <w:vAlign w:val="bottom"/>
            <w:hideMark/>
          </w:tcPr>
          <w:p w14:paraId="4EE6722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Razvoj novog skup konkurentskih proizvoda (ponude, doživljaja, portfelje proizvoda/usluga) za novostvoreno zajedničko poduzeće (ili poduzeća koje su sudjelovala u akvizicijskom procesu, ali su ostala kao samostalne pravne osobe)</w:t>
            </w:r>
          </w:p>
        </w:tc>
      </w:tr>
      <w:tr w:rsidR="006571B5" w:rsidRPr="00E2667C" w14:paraId="73F6FDDE" w14:textId="77777777" w:rsidTr="007F670E">
        <w:trPr>
          <w:trHeight w:val="300"/>
        </w:trPr>
        <w:tc>
          <w:tcPr>
            <w:tcW w:w="301" w:type="pct"/>
            <w:noWrap/>
            <w:vAlign w:val="bottom"/>
            <w:hideMark/>
          </w:tcPr>
          <w:p w14:paraId="5483ADC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69</w:t>
            </w:r>
          </w:p>
        </w:tc>
        <w:tc>
          <w:tcPr>
            <w:tcW w:w="4699" w:type="pct"/>
            <w:vAlign w:val="bottom"/>
            <w:hideMark/>
          </w:tcPr>
          <w:p w14:paraId="5AAE837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Postavljanje nove upravljačke strukture u poduzeću meti </w:t>
            </w:r>
          </w:p>
        </w:tc>
      </w:tr>
      <w:tr w:rsidR="006571B5" w:rsidRPr="00E2667C" w14:paraId="33D00B36" w14:textId="77777777" w:rsidTr="007F670E">
        <w:trPr>
          <w:trHeight w:val="600"/>
        </w:trPr>
        <w:tc>
          <w:tcPr>
            <w:tcW w:w="301" w:type="pct"/>
            <w:noWrap/>
            <w:vAlign w:val="bottom"/>
            <w:hideMark/>
          </w:tcPr>
          <w:p w14:paraId="657614F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70</w:t>
            </w:r>
          </w:p>
        </w:tc>
        <w:tc>
          <w:tcPr>
            <w:tcW w:w="4699" w:type="pct"/>
            <w:vAlign w:val="bottom"/>
            <w:hideMark/>
          </w:tcPr>
          <w:p w14:paraId="7E0F80E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Uspostavljanje novih programa procjene učinka uspješnosti u poduzećima koje su sudjelovale u procesu spajanja i preuzimanja bez obzira na njihovu trenutnu pravnu osobnost</w:t>
            </w:r>
          </w:p>
        </w:tc>
      </w:tr>
      <w:tr w:rsidR="006571B5" w:rsidRPr="00E2667C" w14:paraId="182B660A" w14:textId="77777777" w:rsidTr="007F670E">
        <w:trPr>
          <w:trHeight w:val="300"/>
        </w:trPr>
        <w:tc>
          <w:tcPr>
            <w:tcW w:w="301" w:type="pct"/>
            <w:noWrap/>
            <w:vAlign w:val="bottom"/>
            <w:hideMark/>
          </w:tcPr>
          <w:p w14:paraId="4F4AD794"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71</w:t>
            </w:r>
          </w:p>
        </w:tc>
        <w:tc>
          <w:tcPr>
            <w:tcW w:w="4699" w:type="pct"/>
            <w:vAlign w:val="bottom"/>
            <w:hideMark/>
          </w:tcPr>
          <w:p w14:paraId="053D351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Definiranje novih metoda i postupaka analize konkurencije u hotelskom sektoru </w:t>
            </w:r>
          </w:p>
        </w:tc>
      </w:tr>
      <w:tr w:rsidR="006571B5" w:rsidRPr="00E2667C" w14:paraId="2BCA62B6" w14:textId="77777777" w:rsidTr="00BB4209">
        <w:trPr>
          <w:trHeight w:val="300"/>
        </w:trPr>
        <w:tc>
          <w:tcPr>
            <w:tcW w:w="5000" w:type="pct"/>
            <w:gridSpan w:val="2"/>
            <w:noWrap/>
            <w:vAlign w:val="bottom"/>
          </w:tcPr>
          <w:p w14:paraId="53F65291" w14:textId="77777777" w:rsidR="006571B5" w:rsidRPr="00E2667C" w:rsidRDefault="006571B5" w:rsidP="0071112D">
            <w:pPr>
              <w:jc w:val="center"/>
              <w:rPr>
                <w:rFonts w:ascii="Times New Roman" w:hAnsi="Times New Roman" w:cs="Times New Roman"/>
                <w:b/>
              </w:rPr>
            </w:pPr>
            <w:r w:rsidRPr="00E2667C">
              <w:rPr>
                <w:rFonts w:ascii="Times New Roman" w:hAnsi="Times New Roman" w:cs="Times New Roman"/>
                <w:b/>
                <w:bCs/>
              </w:rPr>
              <w:t>KLJUČNI ČIMBENICI USPJEHA PROCESA SPAJANJA I PREUZIMANJA NAKON ZAVRŠETKA FAZE INTEGRACIJE (U POST-AKVIZICIJSKOJ FAZI)</w:t>
            </w:r>
          </w:p>
        </w:tc>
      </w:tr>
      <w:tr w:rsidR="006571B5" w:rsidRPr="00E2667C" w14:paraId="1A75BF89" w14:textId="77777777" w:rsidTr="007F670E">
        <w:trPr>
          <w:trHeight w:val="300"/>
        </w:trPr>
        <w:tc>
          <w:tcPr>
            <w:tcW w:w="301" w:type="pct"/>
            <w:noWrap/>
            <w:vAlign w:val="bottom"/>
            <w:hideMark/>
          </w:tcPr>
          <w:p w14:paraId="0E39B863"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72</w:t>
            </w:r>
          </w:p>
        </w:tc>
        <w:tc>
          <w:tcPr>
            <w:tcW w:w="4699" w:type="pct"/>
            <w:vAlign w:val="bottom"/>
            <w:hideMark/>
          </w:tcPr>
          <w:p w14:paraId="57636064"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Povrat na ukupno uloženi kapital (WACC)</w:t>
            </w:r>
          </w:p>
        </w:tc>
      </w:tr>
      <w:tr w:rsidR="006571B5" w:rsidRPr="00E2667C" w14:paraId="167F8BCA" w14:textId="77777777" w:rsidTr="007F670E">
        <w:trPr>
          <w:trHeight w:val="300"/>
        </w:trPr>
        <w:tc>
          <w:tcPr>
            <w:tcW w:w="301" w:type="pct"/>
            <w:noWrap/>
            <w:vAlign w:val="bottom"/>
            <w:hideMark/>
          </w:tcPr>
          <w:p w14:paraId="3241B12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73</w:t>
            </w:r>
          </w:p>
        </w:tc>
        <w:tc>
          <w:tcPr>
            <w:tcW w:w="4699" w:type="pct"/>
            <w:vAlign w:val="bottom"/>
            <w:hideMark/>
          </w:tcPr>
          <w:p w14:paraId="1D3507F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Slobodni novčani tijek po dionici </w:t>
            </w:r>
          </w:p>
        </w:tc>
      </w:tr>
      <w:tr w:rsidR="006571B5" w:rsidRPr="00E2667C" w14:paraId="66CD95C0" w14:textId="77777777" w:rsidTr="007F670E">
        <w:trPr>
          <w:trHeight w:val="600"/>
        </w:trPr>
        <w:tc>
          <w:tcPr>
            <w:tcW w:w="301" w:type="pct"/>
            <w:noWrap/>
            <w:vAlign w:val="bottom"/>
            <w:hideMark/>
          </w:tcPr>
          <w:p w14:paraId="36227DE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74</w:t>
            </w:r>
          </w:p>
        </w:tc>
        <w:tc>
          <w:tcPr>
            <w:tcW w:w="4699" w:type="pct"/>
            <w:vAlign w:val="bottom"/>
            <w:hideMark/>
          </w:tcPr>
          <w:p w14:paraId="6445DA1E"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Novčani tijek iz operacija (prodaja umanjena za troškove prodanih dobara i usluga, administrativne troškove uvećano za deprecijaciju i </w:t>
            </w:r>
            <w:r w:rsidRPr="00E2667C">
              <w:rPr>
                <w:rFonts w:ascii="Times New Roman" w:hAnsi="Times New Roman" w:cs="Times New Roman"/>
                <w:i/>
              </w:rPr>
              <w:t>goodwill</w:t>
            </w:r>
            <w:r w:rsidRPr="00E2667C">
              <w:rPr>
                <w:rFonts w:ascii="Times New Roman" w:hAnsi="Times New Roman" w:cs="Times New Roman"/>
              </w:rPr>
              <w:t>)</w:t>
            </w:r>
          </w:p>
        </w:tc>
      </w:tr>
      <w:tr w:rsidR="006571B5" w:rsidRPr="00E2667C" w14:paraId="072DA71A" w14:textId="77777777" w:rsidTr="007F670E">
        <w:trPr>
          <w:trHeight w:val="300"/>
        </w:trPr>
        <w:tc>
          <w:tcPr>
            <w:tcW w:w="301" w:type="pct"/>
            <w:noWrap/>
            <w:vAlign w:val="bottom"/>
            <w:hideMark/>
          </w:tcPr>
          <w:p w14:paraId="77F6D351"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75</w:t>
            </w:r>
          </w:p>
        </w:tc>
        <w:tc>
          <w:tcPr>
            <w:tcW w:w="4699" w:type="pct"/>
            <w:vAlign w:val="bottom"/>
            <w:hideMark/>
          </w:tcPr>
          <w:p w14:paraId="5315D232"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Računovodstveni pokazatelji (ROI, ROE, ROA)</w:t>
            </w:r>
          </w:p>
        </w:tc>
      </w:tr>
      <w:tr w:rsidR="006571B5" w:rsidRPr="00E2667C" w14:paraId="13BA7B7C" w14:textId="77777777" w:rsidTr="007F670E">
        <w:trPr>
          <w:trHeight w:val="300"/>
        </w:trPr>
        <w:tc>
          <w:tcPr>
            <w:tcW w:w="301" w:type="pct"/>
            <w:noWrap/>
            <w:vAlign w:val="bottom"/>
            <w:hideMark/>
          </w:tcPr>
          <w:p w14:paraId="7D70493D"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76</w:t>
            </w:r>
          </w:p>
        </w:tc>
        <w:tc>
          <w:tcPr>
            <w:tcW w:w="4699" w:type="pct"/>
            <w:vAlign w:val="bottom"/>
            <w:hideMark/>
          </w:tcPr>
          <w:p w14:paraId="57B69D3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Uobičajeni hotelski pokazatelji uspješnosti (ADR, stopa popunjenosti, REVPAR, TREVPAR)</w:t>
            </w:r>
          </w:p>
        </w:tc>
      </w:tr>
      <w:tr w:rsidR="006571B5" w:rsidRPr="00E2667C" w14:paraId="1E3D0520" w14:textId="77777777" w:rsidTr="007F670E">
        <w:trPr>
          <w:trHeight w:val="300"/>
        </w:trPr>
        <w:tc>
          <w:tcPr>
            <w:tcW w:w="301" w:type="pct"/>
            <w:noWrap/>
            <w:vAlign w:val="bottom"/>
            <w:hideMark/>
          </w:tcPr>
          <w:p w14:paraId="74200D79"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77</w:t>
            </w:r>
          </w:p>
        </w:tc>
        <w:tc>
          <w:tcPr>
            <w:tcW w:w="4699" w:type="pct"/>
            <w:vAlign w:val="bottom"/>
            <w:hideMark/>
          </w:tcPr>
          <w:p w14:paraId="0CB1DB76"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Tržišni udio (gubitak/dobitak)</w:t>
            </w:r>
          </w:p>
        </w:tc>
      </w:tr>
      <w:tr w:rsidR="006571B5" w:rsidRPr="00E2667C" w14:paraId="7C2567D9" w14:textId="77777777" w:rsidTr="007F670E">
        <w:trPr>
          <w:trHeight w:val="300"/>
        </w:trPr>
        <w:tc>
          <w:tcPr>
            <w:tcW w:w="301" w:type="pct"/>
            <w:noWrap/>
            <w:vAlign w:val="bottom"/>
            <w:hideMark/>
          </w:tcPr>
          <w:p w14:paraId="25FA6C80"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78</w:t>
            </w:r>
          </w:p>
        </w:tc>
        <w:tc>
          <w:tcPr>
            <w:tcW w:w="4699" w:type="pct"/>
            <w:vAlign w:val="bottom"/>
            <w:hideMark/>
          </w:tcPr>
          <w:p w14:paraId="1321361B"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Promjena kretanja cijene dionica</w:t>
            </w:r>
          </w:p>
        </w:tc>
      </w:tr>
      <w:tr w:rsidR="006571B5" w:rsidRPr="00E2667C" w14:paraId="13FF227D" w14:textId="77777777" w:rsidTr="007F670E">
        <w:trPr>
          <w:trHeight w:val="300"/>
        </w:trPr>
        <w:tc>
          <w:tcPr>
            <w:tcW w:w="301" w:type="pct"/>
            <w:noWrap/>
            <w:vAlign w:val="bottom"/>
            <w:hideMark/>
          </w:tcPr>
          <w:p w14:paraId="420DD8F5"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79</w:t>
            </w:r>
          </w:p>
        </w:tc>
        <w:tc>
          <w:tcPr>
            <w:tcW w:w="4699" w:type="pct"/>
            <w:vAlign w:val="bottom"/>
            <w:hideMark/>
          </w:tcPr>
          <w:p w14:paraId="284902D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Prihvaćanje nove/izmijenjene organizacijske kulture</w:t>
            </w:r>
          </w:p>
        </w:tc>
      </w:tr>
      <w:tr w:rsidR="006571B5" w:rsidRPr="00E2667C" w14:paraId="1B402186" w14:textId="77777777" w:rsidTr="007F670E">
        <w:trPr>
          <w:trHeight w:val="300"/>
        </w:trPr>
        <w:tc>
          <w:tcPr>
            <w:tcW w:w="301" w:type="pct"/>
            <w:noWrap/>
            <w:vAlign w:val="bottom"/>
            <w:hideMark/>
          </w:tcPr>
          <w:p w14:paraId="3DDADF37"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80</w:t>
            </w:r>
          </w:p>
        </w:tc>
        <w:tc>
          <w:tcPr>
            <w:tcW w:w="4699" w:type="pct"/>
            <w:vAlign w:val="bottom"/>
            <w:hideMark/>
          </w:tcPr>
          <w:p w14:paraId="10B2179A" w14:textId="77777777" w:rsidR="006571B5" w:rsidRPr="00E2667C" w:rsidRDefault="006571B5" w:rsidP="00E2667C">
            <w:pPr>
              <w:rPr>
                <w:rFonts w:ascii="Times New Roman" w:hAnsi="Times New Roman" w:cs="Times New Roman"/>
              </w:rPr>
            </w:pPr>
            <w:r w:rsidRPr="00E2667C">
              <w:rPr>
                <w:rFonts w:ascii="Times New Roman" w:hAnsi="Times New Roman" w:cs="Times New Roman"/>
              </w:rPr>
              <w:t xml:space="preserve">Prihvaćanje nove organizacijske strukture </w:t>
            </w:r>
          </w:p>
        </w:tc>
      </w:tr>
    </w:tbl>
    <w:p w14:paraId="0652DC76" w14:textId="77777777" w:rsidR="006571B5" w:rsidRPr="00E2667C" w:rsidRDefault="006571B5" w:rsidP="00E2667C">
      <w:pPr>
        <w:rPr>
          <w:rFonts w:ascii="Times New Roman" w:hAnsi="Times New Roman" w:cs="Times New Roman"/>
          <w:lang w:val="it-IT"/>
        </w:rPr>
      </w:pPr>
    </w:p>
    <w:p w14:paraId="33E058FC" w14:textId="77777777" w:rsidR="006571B5" w:rsidRPr="00E2667C" w:rsidRDefault="006571B5" w:rsidP="00E2667C">
      <w:pPr>
        <w:rPr>
          <w:rFonts w:ascii="Times New Roman" w:hAnsi="Times New Roman" w:cs="Times New Roman"/>
          <w:lang w:val="it-IT"/>
        </w:rPr>
      </w:pPr>
      <w:r w:rsidRPr="00E2667C">
        <w:rPr>
          <w:rFonts w:ascii="Times New Roman" w:hAnsi="Times New Roman" w:cs="Times New Roman"/>
          <w:lang w:val="it-IT"/>
        </w:rPr>
        <w:br w:type="page"/>
      </w:r>
    </w:p>
    <w:p w14:paraId="40C28547" w14:textId="77777777" w:rsidR="006571B5" w:rsidRPr="001947F4" w:rsidRDefault="006571B5" w:rsidP="006571B5">
      <w:pPr>
        <w:rPr>
          <w:rFonts w:ascii="Times New Roman" w:hAnsi="Times New Roman" w:cs="Times New Roman"/>
          <w:b/>
          <w:lang w:val="it-IT"/>
        </w:rPr>
      </w:pPr>
      <w:r w:rsidRPr="001947F4">
        <w:rPr>
          <w:rFonts w:ascii="Times New Roman" w:hAnsi="Times New Roman" w:cs="Times New Roman"/>
          <w:b/>
          <w:lang w:val="it-IT"/>
        </w:rPr>
        <w:lastRenderedPageBreak/>
        <w:t>Prilog 2</w:t>
      </w:r>
    </w:p>
    <w:p w14:paraId="017FC472"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Tablica 2:</w:t>
      </w:r>
      <w:r w:rsidRPr="001947F4">
        <w:rPr>
          <w:rFonts w:ascii="Times New Roman" w:hAnsi="Times New Roman" w:cs="Times New Roman"/>
          <w:b/>
          <w:bCs/>
          <w:lang w:val="it-IT"/>
        </w:rPr>
        <w:t xml:space="preserve"> </w:t>
      </w:r>
      <w:r w:rsidRPr="001947F4">
        <w:rPr>
          <w:rFonts w:ascii="Times New Roman" w:hAnsi="Times New Roman" w:cs="Times New Roman"/>
          <w:bCs/>
          <w:lang w:val="it-IT"/>
        </w:rPr>
        <w:t>Motivi i čimbenici u svim fazama procesa spajanja i preuzimanja (drugi ciklus Delphi postupka)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8888"/>
      </w:tblGrid>
      <w:tr w:rsidR="006571B5" w:rsidRPr="001947F4" w14:paraId="1E3122F1" w14:textId="77777777" w:rsidTr="00BB4209">
        <w:trPr>
          <w:trHeight w:val="768"/>
        </w:trPr>
        <w:tc>
          <w:tcPr>
            <w:tcW w:w="5000" w:type="pct"/>
            <w:gridSpan w:val="2"/>
            <w:noWrap/>
            <w:vAlign w:val="bottom"/>
            <w:hideMark/>
          </w:tcPr>
          <w:bookmarkEnd w:id="285"/>
          <w:p w14:paraId="1DA0001D" w14:textId="77777777" w:rsidR="006571B5" w:rsidRPr="001947F4" w:rsidRDefault="006571B5" w:rsidP="006571B5">
            <w:pPr>
              <w:rPr>
                <w:rFonts w:ascii="Times New Roman" w:hAnsi="Times New Roman" w:cs="Times New Roman"/>
                <w:b/>
                <w:lang w:val="it-IT"/>
              </w:rPr>
            </w:pPr>
            <w:r w:rsidRPr="001947F4">
              <w:rPr>
                <w:rFonts w:ascii="Times New Roman" w:hAnsi="Times New Roman" w:cs="Times New Roman"/>
                <w:b/>
                <w:lang w:val="it-IT"/>
              </w:rPr>
              <w:t>Motivi i čimbenici u svim fazama procesa spajanja i preuzimanja</w:t>
            </w:r>
          </w:p>
        </w:tc>
      </w:tr>
      <w:tr w:rsidR="006571B5" w:rsidRPr="001947F4" w14:paraId="175600EC" w14:textId="77777777" w:rsidTr="00BB4209">
        <w:trPr>
          <w:trHeight w:val="768"/>
        </w:trPr>
        <w:tc>
          <w:tcPr>
            <w:tcW w:w="5000" w:type="pct"/>
            <w:gridSpan w:val="2"/>
            <w:noWrap/>
            <w:vAlign w:val="bottom"/>
          </w:tcPr>
          <w:p w14:paraId="5E1644B0" w14:textId="77777777" w:rsidR="006571B5" w:rsidRPr="001947F4" w:rsidRDefault="006571B5" w:rsidP="007F670E">
            <w:pPr>
              <w:jc w:val="center"/>
              <w:rPr>
                <w:rFonts w:ascii="Times New Roman" w:hAnsi="Times New Roman" w:cs="Times New Roman"/>
                <w:b/>
                <w:lang w:val="it-IT"/>
              </w:rPr>
            </w:pPr>
            <w:r w:rsidRPr="001947F4">
              <w:rPr>
                <w:rFonts w:ascii="Times New Roman" w:hAnsi="Times New Roman" w:cs="Times New Roman"/>
                <w:b/>
                <w:lang w:val="it-IT"/>
              </w:rPr>
              <w:t>MOTIVI ZA POKRETANJE PROCESA SPAJANJA I PREUZIMANJA U HRVATSKOM HOTELIJERSTVU</w:t>
            </w:r>
          </w:p>
        </w:tc>
      </w:tr>
      <w:tr w:rsidR="006571B5" w:rsidRPr="001947F4" w14:paraId="7D70993C" w14:textId="77777777" w:rsidTr="001947F4">
        <w:trPr>
          <w:trHeight w:val="268"/>
        </w:trPr>
        <w:tc>
          <w:tcPr>
            <w:tcW w:w="233" w:type="pct"/>
            <w:noWrap/>
            <w:vAlign w:val="bottom"/>
            <w:hideMark/>
          </w:tcPr>
          <w:p w14:paraId="596E2BF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w:t>
            </w:r>
          </w:p>
        </w:tc>
        <w:tc>
          <w:tcPr>
            <w:tcW w:w="4767" w:type="pct"/>
            <w:vAlign w:val="bottom"/>
            <w:hideMark/>
          </w:tcPr>
          <w:p w14:paraId="7299481E"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Osiguranje održivog rast poduzeća preuzimatelja</w:t>
            </w:r>
          </w:p>
        </w:tc>
      </w:tr>
      <w:tr w:rsidR="006571B5" w:rsidRPr="001947F4" w14:paraId="38C48D40" w14:textId="77777777" w:rsidTr="001947F4">
        <w:trPr>
          <w:trHeight w:val="268"/>
        </w:trPr>
        <w:tc>
          <w:tcPr>
            <w:tcW w:w="233" w:type="pct"/>
            <w:noWrap/>
            <w:vAlign w:val="bottom"/>
            <w:hideMark/>
          </w:tcPr>
          <w:p w14:paraId="63B39A3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w:t>
            </w:r>
          </w:p>
        </w:tc>
        <w:tc>
          <w:tcPr>
            <w:tcW w:w="4767" w:type="pct"/>
            <w:vAlign w:val="bottom"/>
            <w:hideMark/>
          </w:tcPr>
          <w:p w14:paraId="7C2F2C5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Povećanje tržišnog udjela poduzeća preuzimatelja</w:t>
            </w:r>
          </w:p>
        </w:tc>
      </w:tr>
      <w:tr w:rsidR="006571B5" w:rsidRPr="001947F4" w14:paraId="7E15CE2B" w14:textId="77777777" w:rsidTr="001947F4">
        <w:trPr>
          <w:trHeight w:val="538"/>
        </w:trPr>
        <w:tc>
          <w:tcPr>
            <w:tcW w:w="233" w:type="pct"/>
            <w:noWrap/>
            <w:vAlign w:val="bottom"/>
            <w:hideMark/>
          </w:tcPr>
          <w:p w14:paraId="676B981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w:t>
            </w:r>
          </w:p>
        </w:tc>
        <w:tc>
          <w:tcPr>
            <w:tcW w:w="4767" w:type="pct"/>
            <w:vAlign w:val="bottom"/>
            <w:hideMark/>
          </w:tcPr>
          <w:p w14:paraId="25B7251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Proširivanje tržišnih segmenata (baze kupaca) poduzeća preuzimatelja sirenjem ponude na postojećem ili novom tržištu – destinaciji</w:t>
            </w:r>
          </w:p>
        </w:tc>
      </w:tr>
      <w:tr w:rsidR="006571B5" w:rsidRPr="001947F4" w14:paraId="3FB496C1" w14:textId="77777777" w:rsidTr="001947F4">
        <w:trPr>
          <w:trHeight w:val="538"/>
        </w:trPr>
        <w:tc>
          <w:tcPr>
            <w:tcW w:w="233" w:type="pct"/>
            <w:noWrap/>
            <w:vAlign w:val="bottom"/>
            <w:hideMark/>
          </w:tcPr>
          <w:p w14:paraId="25935563"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w:t>
            </w:r>
          </w:p>
        </w:tc>
        <w:tc>
          <w:tcPr>
            <w:tcW w:w="4767" w:type="pct"/>
            <w:vAlign w:val="bottom"/>
            <w:hideMark/>
          </w:tcPr>
          <w:p w14:paraId="203F83E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Povećanje kapaciteta poduzeća preuzimatelja (uz manje kapitalne i operativne troškove nego li sto bi to bilo u slučaju izgradnje novih vlastitih objekata)</w:t>
            </w:r>
          </w:p>
        </w:tc>
      </w:tr>
      <w:tr w:rsidR="006571B5" w:rsidRPr="001947F4" w14:paraId="642BB569" w14:textId="77777777" w:rsidTr="001947F4">
        <w:trPr>
          <w:trHeight w:val="268"/>
        </w:trPr>
        <w:tc>
          <w:tcPr>
            <w:tcW w:w="233" w:type="pct"/>
            <w:noWrap/>
            <w:vAlign w:val="bottom"/>
            <w:hideMark/>
          </w:tcPr>
          <w:p w14:paraId="0E082F6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w:t>
            </w:r>
          </w:p>
        </w:tc>
        <w:tc>
          <w:tcPr>
            <w:tcW w:w="4767" w:type="pct"/>
            <w:vAlign w:val="bottom"/>
            <w:hideMark/>
          </w:tcPr>
          <w:p w14:paraId="6B101CBF"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Jačanja marke i reputacije poduzeća preuzimatelja</w:t>
            </w:r>
          </w:p>
        </w:tc>
      </w:tr>
      <w:tr w:rsidR="006571B5" w:rsidRPr="001947F4" w14:paraId="0194DB93" w14:textId="77777777" w:rsidTr="001947F4">
        <w:trPr>
          <w:trHeight w:val="268"/>
        </w:trPr>
        <w:tc>
          <w:tcPr>
            <w:tcW w:w="233" w:type="pct"/>
            <w:noWrap/>
            <w:vAlign w:val="bottom"/>
          </w:tcPr>
          <w:p w14:paraId="7BDB57E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6</w:t>
            </w:r>
          </w:p>
        </w:tc>
        <w:tc>
          <w:tcPr>
            <w:tcW w:w="4767" w:type="pct"/>
            <w:vAlign w:val="bottom"/>
          </w:tcPr>
          <w:p w14:paraId="28C751A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Nemogućnost internog rasta</w:t>
            </w:r>
          </w:p>
        </w:tc>
      </w:tr>
      <w:tr w:rsidR="006571B5" w:rsidRPr="001947F4" w14:paraId="21F85B0D" w14:textId="77777777" w:rsidTr="001947F4">
        <w:trPr>
          <w:trHeight w:val="268"/>
        </w:trPr>
        <w:tc>
          <w:tcPr>
            <w:tcW w:w="233" w:type="pct"/>
            <w:noWrap/>
            <w:vAlign w:val="bottom"/>
          </w:tcPr>
          <w:p w14:paraId="46B850B2"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7</w:t>
            </w:r>
          </w:p>
        </w:tc>
        <w:tc>
          <w:tcPr>
            <w:tcW w:w="4767" w:type="pct"/>
            <w:vAlign w:val="bottom"/>
          </w:tcPr>
          <w:p w14:paraId="27FCA2A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Zaokruživanje ciklusa, neki kupac, u istoj industriji (dodano od stručnjaka)</w:t>
            </w:r>
          </w:p>
        </w:tc>
      </w:tr>
      <w:tr w:rsidR="006571B5" w:rsidRPr="001947F4" w14:paraId="391D4DD1" w14:textId="77777777" w:rsidTr="001947F4">
        <w:trPr>
          <w:trHeight w:val="268"/>
        </w:trPr>
        <w:tc>
          <w:tcPr>
            <w:tcW w:w="233" w:type="pct"/>
            <w:noWrap/>
            <w:vAlign w:val="bottom"/>
          </w:tcPr>
          <w:p w14:paraId="4FC9C3A9" w14:textId="77777777" w:rsidR="006571B5" w:rsidRPr="001947F4" w:rsidRDefault="006571B5" w:rsidP="006571B5">
            <w:pPr>
              <w:rPr>
                <w:rFonts w:ascii="Times New Roman" w:hAnsi="Times New Roman" w:cs="Times New Roman"/>
                <w:lang w:val="en-GB"/>
              </w:rPr>
            </w:pPr>
          </w:p>
        </w:tc>
        <w:tc>
          <w:tcPr>
            <w:tcW w:w="4767" w:type="pct"/>
            <w:vAlign w:val="bottom"/>
          </w:tcPr>
          <w:p w14:paraId="0A63FE3E" w14:textId="77777777" w:rsidR="006571B5" w:rsidRPr="001947F4" w:rsidRDefault="006571B5" w:rsidP="007F670E">
            <w:pPr>
              <w:jc w:val="center"/>
              <w:rPr>
                <w:rFonts w:ascii="Times New Roman" w:hAnsi="Times New Roman" w:cs="Times New Roman"/>
                <w:lang w:val="en-GB"/>
              </w:rPr>
            </w:pPr>
            <w:r w:rsidRPr="001947F4">
              <w:rPr>
                <w:rFonts w:ascii="Times New Roman" w:hAnsi="Times New Roman" w:cs="Times New Roman"/>
                <w:b/>
                <w:lang w:val="en-GB"/>
              </w:rPr>
              <w:t>KLJUČNI ČIMBENICI USPJEHA PROCESA SPAJANJA I PREUZIMANJA PRIJE PREUZIMANJA PODUZEĆA METE</w:t>
            </w:r>
          </w:p>
        </w:tc>
      </w:tr>
      <w:tr w:rsidR="006571B5" w:rsidRPr="001947F4" w14:paraId="0CEC9A2A" w14:textId="77777777" w:rsidTr="001947F4">
        <w:trPr>
          <w:trHeight w:val="268"/>
        </w:trPr>
        <w:tc>
          <w:tcPr>
            <w:tcW w:w="233" w:type="pct"/>
            <w:noWrap/>
            <w:vAlign w:val="bottom"/>
          </w:tcPr>
          <w:p w14:paraId="343F14B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8</w:t>
            </w:r>
          </w:p>
        </w:tc>
        <w:tc>
          <w:tcPr>
            <w:tcW w:w="4767" w:type="pct"/>
            <w:vAlign w:val="bottom"/>
            <w:hideMark/>
          </w:tcPr>
          <w:p w14:paraId="730B208C"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Dobro poznavanje regulative i propisa</w:t>
            </w:r>
          </w:p>
        </w:tc>
      </w:tr>
      <w:tr w:rsidR="006571B5" w:rsidRPr="001947F4" w14:paraId="44D36A85" w14:textId="77777777" w:rsidTr="001947F4">
        <w:trPr>
          <w:trHeight w:val="538"/>
        </w:trPr>
        <w:tc>
          <w:tcPr>
            <w:tcW w:w="233" w:type="pct"/>
            <w:noWrap/>
            <w:vAlign w:val="bottom"/>
          </w:tcPr>
          <w:p w14:paraId="6BE3081C"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9</w:t>
            </w:r>
          </w:p>
        </w:tc>
        <w:tc>
          <w:tcPr>
            <w:tcW w:w="4767" w:type="pct"/>
            <w:vAlign w:val="bottom"/>
            <w:hideMark/>
          </w:tcPr>
          <w:p w14:paraId="7FBB059E"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Dobra procjena potencijalne operativne sinergije poduzeća mete na poduzeće preuzimatelja </w:t>
            </w:r>
            <w:r w:rsidRPr="001947F4">
              <w:rPr>
                <w:rFonts w:ascii="Times New Roman" w:hAnsi="Times New Roman" w:cs="Times New Roman"/>
                <w:lang w:val="en-GB"/>
              </w:rPr>
              <w:br/>
              <w:t>(tj. poboljšanu operativnu učinkovitost)</w:t>
            </w:r>
          </w:p>
        </w:tc>
      </w:tr>
      <w:tr w:rsidR="006571B5" w:rsidRPr="001947F4" w14:paraId="7487784E" w14:textId="77777777" w:rsidTr="001947F4">
        <w:trPr>
          <w:trHeight w:val="268"/>
        </w:trPr>
        <w:tc>
          <w:tcPr>
            <w:tcW w:w="233" w:type="pct"/>
            <w:noWrap/>
            <w:vAlign w:val="bottom"/>
          </w:tcPr>
          <w:p w14:paraId="7DAA4E59"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10</w:t>
            </w:r>
          </w:p>
        </w:tc>
        <w:tc>
          <w:tcPr>
            <w:tcW w:w="4767" w:type="pct"/>
            <w:vAlign w:val="bottom"/>
            <w:hideMark/>
          </w:tcPr>
          <w:p w14:paraId="098CAAF7"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Imidž turističke destinacije u kojoj posluje poduzeće meta</w:t>
            </w:r>
          </w:p>
        </w:tc>
      </w:tr>
      <w:tr w:rsidR="006571B5" w:rsidRPr="001947F4" w14:paraId="2EA4FEF2" w14:textId="77777777" w:rsidTr="001947F4">
        <w:trPr>
          <w:trHeight w:val="268"/>
        </w:trPr>
        <w:tc>
          <w:tcPr>
            <w:tcW w:w="233" w:type="pct"/>
            <w:noWrap/>
            <w:vAlign w:val="bottom"/>
          </w:tcPr>
          <w:p w14:paraId="0C1F397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11</w:t>
            </w:r>
          </w:p>
        </w:tc>
        <w:tc>
          <w:tcPr>
            <w:tcW w:w="4767" w:type="pct"/>
            <w:vAlign w:val="bottom"/>
            <w:hideMark/>
          </w:tcPr>
          <w:p w14:paraId="24ECE1F3"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Lokacija poduzeća mete </w:t>
            </w:r>
          </w:p>
        </w:tc>
      </w:tr>
      <w:tr w:rsidR="006571B5" w:rsidRPr="001947F4" w14:paraId="1C5A9B4F" w14:textId="77777777" w:rsidTr="001947F4">
        <w:trPr>
          <w:trHeight w:val="268"/>
        </w:trPr>
        <w:tc>
          <w:tcPr>
            <w:tcW w:w="233" w:type="pct"/>
            <w:noWrap/>
            <w:vAlign w:val="bottom"/>
          </w:tcPr>
          <w:p w14:paraId="0AD55153"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12</w:t>
            </w:r>
          </w:p>
        </w:tc>
        <w:tc>
          <w:tcPr>
            <w:tcW w:w="4767" w:type="pct"/>
            <w:vAlign w:val="bottom"/>
            <w:hideMark/>
          </w:tcPr>
          <w:p w14:paraId="349D949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Dubinsko snimanje poduzeća mete </w:t>
            </w:r>
          </w:p>
        </w:tc>
      </w:tr>
      <w:tr w:rsidR="006571B5" w:rsidRPr="001947F4" w14:paraId="5614BFB2" w14:textId="77777777" w:rsidTr="001947F4">
        <w:trPr>
          <w:trHeight w:val="268"/>
        </w:trPr>
        <w:tc>
          <w:tcPr>
            <w:tcW w:w="233" w:type="pct"/>
            <w:noWrap/>
            <w:vAlign w:val="bottom"/>
          </w:tcPr>
          <w:p w14:paraId="5B04E47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13</w:t>
            </w:r>
          </w:p>
        </w:tc>
        <w:tc>
          <w:tcPr>
            <w:tcW w:w="4767" w:type="pct"/>
            <w:vAlign w:val="bottom"/>
            <w:hideMark/>
          </w:tcPr>
          <w:p w14:paraId="65BE717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Trend glavnih hotelskih pokazatelje uspješnosti poduzeća mete (popunjenost, RevPAR, slobodni novčani tijek i ADR)</w:t>
            </w:r>
          </w:p>
        </w:tc>
      </w:tr>
      <w:tr w:rsidR="006571B5" w:rsidRPr="001947F4" w14:paraId="6E3D86AF" w14:textId="77777777" w:rsidTr="001947F4">
        <w:trPr>
          <w:trHeight w:val="268"/>
        </w:trPr>
        <w:tc>
          <w:tcPr>
            <w:tcW w:w="233" w:type="pct"/>
            <w:noWrap/>
            <w:vAlign w:val="bottom"/>
          </w:tcPr>
          <w:p w14:paraId="750AF01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14</w:t>
            </w:r>
          </w:p>
        </w:tc>
        <w:tc>
          <w:tcPr>
            <w:tcW w:w="4767" w:type="pct"/>
            <w:vAlign w:val="bottom"/>
            <w:hideMark/>
          </w:tcPr>
          <w:p w14:paraId="3FA9C02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Potreba kapitalnih izdataka kod poduzeća mete (npr. potencijalni troškovi obnove nekretnina)</w:t>
            </w:r>
          </w:p>
        </w:tc>
      </w:tr>
      <w:tr w:rsidR="006571B5" w:rsidRPr="001947F4" w14:paraId="1C643D59" w14:textId="77777777" w:rsidTr="001947F4">
        <w:trPr>
          <w:trHeight w:val="268"/>
        </w:trPr>
        <w:tc>
          <w:tcPr>
            <w:tcW w:w="233" w:type="pct"/>
            <w:noWrap/>
            <w:vAlign w:val="bottom"/>
          </w:tcPr>
          <w:p w14:paraId="4964E4B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15</w:t>
            </w:r>
          </w:p>
        </w:tc>
        <w:tc>
          <w:tcPr>
            <w:tcW w:w="4767" w:type="pct"/>
            <w:vAlign w:val="bottom"/>
            <w:hideMark/>
          </w:tcPr>
          <w:p w14:paraId="3EA6B46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Potencijalni učinak na jačanje marke i reputacije poduzeća preuzimatelja</w:t>
            </w:r>
          </w:p>
        </w:tc>
      </w:tr>
      <w:tr w:rsidR="006571B5" w:rsidRPr="001947F4" w14:paraId="6F1FA3CE" w14:textId="77777777" w:rsidTr="001947F4">
        <w:trPr>
          <w:trHeight w:val="268"/>
        </w:trPr>
        <w:tc>
          <w:tcPr>
            <w:tcW w:w="233" w:type="pct"/>
            <w:noWrap/>
            <w:vAlign w:val="bottom"/>
          </w:tcPr>
          <w:p w14:paraId="4C9235F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16</w:t>
            </w:r>
          </w:p>
        </w:tc>
        <w:tc>
          <w:tcPr>
            <w:tcW w:w="4767" w:type="pct"/>
            <w:vAlign w:val="bottom"/>
            <w:hideMark/>
          </w:tcPr>
          <w:p w14:paraId="202CBB7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Sadašnja vrijednost očekivanih sinergija preuzimanja za poduzeće preuzimatelja će biti veća od plaćenih premija </w:t>
            </w:r>
          </w:p>
        </w:tc>
      </w:tr>
      <w:tr w:rsidR="006571B5" w:rsidRPr="001947F4" w14:paraId="1683BC75" w14:textId="77777777" w:rsidTr="001947F4">
        <w:trPr>
          <w:trHeight w:val="268"/>
        </w:trPr>
        <w:tc>
          <w:tcPr>
            <w:tcW w:w="233" w:type="pct"/>
            <w:noWrap/>
            <w:vAlign w:val="bottom"/>
          </w:tcPr>
          <w:p w14:paraId="2BDC1A29"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17</w:t>
            </w:r>
          </w:p>
        </w:tc>
        <w:tc>
          <w:tcPr>
            <w:tcW w:w="4767" w:type="pct"/>
            <w:vAlign w:val="bottom"/>
            <w:hideMark/>
          </w:tcPr>
          <w:p w14:paraId="35E4685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Potencijalna financijska sinergija akvizicije (npr. niži troškovi kapitala, niza poreznu stopu)</w:t>
            </w:r>
          </w:p>
        </w:tc>
      </w:tr>
      <w:tr w:rsidR="006571B5" w:rsidRPr="001947F4" w14:paraId="3851C2DB" w14:textId="77777777" w:rsidTr="001947F4">
        <w:trPr>
          <w:trHeight w:val="268"/>
        </w:trPr>
        <w:tc>
          <w:tcPr>
            <w:tcW w:w="233" w:type="pct"/>
            <w:noWrap/>
            <w:vAlign w:val="bottom"/>
          </w:tcPr>
          <w:p w14:paraId="56E188B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lastRenderedPageBreak/>
              <w:t>18</w:t>
            </w:r>
          </w:p>
        </w:tc>
        <w:tc>
          <w:tcPr>
            <w:tcW w:w="4767" w:type="pct"/>
            <w:vAlign w:val="bottom"/>
            <w:hideMark/>
          </w:tcPr>
          <w:p w14:paraId="25473890"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Cijena ponude (akvizicije) temelji se na konkurentnom položaju poduzeća mete u hotelskom sektoru</w:t>
            </w:r>
          </w:p>
        </w:tc>
      </w:tr>
      <w:tr w:rsidR="006571B5" w:rsidRPr="001947F4" w14:paraId="679BC970" w14:textId="77777777" w:rsidTr="001947F4">
        <w:trPr>
          <w:trHeight w:val="538"/>
        </w:trPr>
        <w:tc>
          <w:tcPr>
            <w:tcW w:w="233" w:type="pct"/>
            <w:noWrap/>
            <w:vAlign w:val="bottom"/>
          </w:tcPr>
          <w:p w14:paraId="33AD1D8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19</w:t>
            </w:r>
          </w:p>
        </w:tc>
        <w:tc>
          <w:tcPr>
            <w:tcW w:w="4767" w:type="pct"/>
            <w:vAlign w:val="bottom"/>
            <w:hideMark/>
          </w:tcPr>
          <w:p w14:paraId="1352B94F"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Potencijalna upravljačka sinergija (tj. poboljšani konkurentni položaj poduzeća mete prijenosom upravljačkog znanja poduzeća preuzimatelja)</w:t>
            </w:r>
          </w:p>
        </w:tc>
      </w:tr>
      <w:tr w:rsidR="006571B5" w:rsidRPr="001947F4" w14:paraId="7B810B41" w14:textId="77777777" w:rsidTr="001947F4">
        <w:trPr>
          <w:trHeight w:val="268"/>
        </w:trPr>
        <w:tc>
          <w:tcPr>
            <w:tcW w:w="233" w:type="pct"/>
            <w:noWrap/>
            <w:vAlign w:val="bottom"/>
          </w:tcPr>
          <w:p w14:paraId="5E8BC14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20</w:t>
            </w:r>
          </w:p>
        </w:tc>
        <w:tc>
          <w:tcPr>
            <w:tcW w:w="4767" w:type="pct"/>
            <w:vAlign w:val="bottom"/>
            <w:hideMark/>
          </w:tcPr>
          <w:p w14:paraId="32838B3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Uključivanje ključnih menadžera i zaposlenika poduzeća preuzimatelja u planiranje akvizicije</w:t>
            </w:r>
          </w:p>
        </w:tc>
      </w:tr>
      <w:tr w:rsidR="006571B5" w:rsidRPr="001947F4" w14:paraId="61D918CD" w14:textId="77777777" w:rsidTr="001947F4">
        <w:trPr>
          <w:trHeight w:val="268"/>
        </w:trPr>
        <w:tc>
          <w:tcPr>
            <w:tcW w:w="233" w:type="pct"/>
            <w:noWrap/>
            <w:vAlign w:val="bottom"/>
          </w:tcPr>
          <w:p w14:paraId="2099BEFE"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21</w:t>
            </w:r>
          </w:p>
        </w:tc>
        <w:tc>
          <w:tcPr>
            <w:tcW w:w="4767" w:type="pct"/>
            <w:vAlign w:val="bottom"/>
          </w:tcPr>
          <w:p w14:paraId="4540CBD9"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Identifikacija karakterističnih aspekata organizacijske kulture mete u usporedbi s poduzećem preuzimateljem</w:t>
            </w:r>
          </w:p>
        </w:tc>
      </w:tr>
      <w:tr w:rsidR="006571B5" w:rsidRPr="001947F4" w14:paraId="0CFCD2C8" w14:textId="77777777" w:rsidTr="001947F4">
        <w:trPr>
          <w:trHeight w:val="268"/>
        </w:trPr>
        <w:tc>
          <w:tcPr>
            <w:tcW w:w="233" w:type="pct"/>
            <w:noWrap/>
            <w:vAlign w:val="bottom"/>
          </w:tcPr>
          <w:p w14:paraId="60994990"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22</w:t>
            </w:r>
          </w:p>
        </w:tc>
        <w:tc>
          <w:tcPr>
            <w:tcW w:w="4767" w:type="pct"/>
            <w:vAlign w:val="bottom"/>
          </w:tcPr>
          <w:p w14:paraId="73A7F20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Vlasnička struktura poduzeća mete</w:t>
            </w:r>
          </w:p>
        </w:tc>
      </w:tr>
      <w:tr w:rsidR="006571B5" w:rsidRPr="001947F4" w14:paraId="4A804DE5" w14:textId="77777777" w:rsidTr="001947F4">
        <w:trPr>
          <w:trHeight w:val="268"/>
        </w:trPr>
        <w:tc>
          <w:tcPr>
            <w:tcW w:w="233" w:type="pct"/>
            <w:noWrap/>
            <w:vAlign w:val="bottom"/>
          </w:tcPr>
          <w:p w14:paraId="5A2F0D3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23</w:t>
            </w:r>
          </w:p>
        </w:tc>
        <w:tc>
          <w:tcPr>
            <w:tcW w:w="4767" w:type="pct"/>
            <w:vAlign w:val="bottom"/>
          </w:tcPr>
          <w:p w14:paraId="5A1AA031"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Preliminarni razgovori u poduzeću meti</w:t>
            </w:r>
          </w:p>
        </w:tc>
      </w:tr>
      <w:tr w:rsidR="006571B5" w:rsidRPr="001947F4" w14:paraId="5FBB49AA" w14:textId="77777777" w:rsidTr="001947F4">
        <w:trPr>
          <w:trHeight w:val="268"/>
        </w:trPr>
        <w:tc>
          <w:tcPr>
            <w:tcW w:w="233" w:type="pct"/>
            <w:noWrap/>
            <w:vAlign w:val="bottom"/>
          </w:tcPr>
          <w:p w14:paraId="373918B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24</w:t>
            </w:r>
          </w:p>
        </w:tc>
        <w:tc>
          <w:tcPr>
            <w:tcW w:w="4767" w:type="pct"/>
            <w:vAlign w:val="bottom"/>
          </w:tcPr>
          <w:p w14:paraId="24760C1C"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Trend glavnih računovodstvenih pokazatelja uspješnosti poduzeća mete</w:t>
            </w:r>
          </w:p>
        </w:tc>
      </w:tr>
      <w:tr w:rsidR="006571B5" w:rsidRPr="001947F4" w14:paraId="44D6B98A" w14:textId="77777777" w:rsidTr="001947F4">
        <w:trPr>
          <w:trHeight w:val="268"/>
        </w:trPr>
        <w:tc>
          <w:tcPr>
            <w:tcW w:w="233" w:type="pct"/>
            <w:noWrap/>
            <w:vAlign w:val="bottom"/>
          </w:tcPr>
          <w:p w14:paraId="2F05E12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25</w:t>
            </w:r>
          </w:p>
        </w:tc>
        <w:tc>
          <w:tcPr>
            <w:tcW w:w="4767" w:type="pct"/>
            <w:vAlign w:val="bottom"/>
          </w:tcPr>
          <w:p w14:paraId="0F9AE88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Strateška povezanost između poduzeća preuzimatelja i poduzeća mete</w:t>
            </w:r>
          </w:p>
        </w:tc>
      </w:tr>
      <w:tr w:rsidR="006571B5" w:rsidRPr="001947F4" w14:paraId="7F5DA20E" w14:textId="77777777" w:rsidTr="001947F4">
        <w:trPr>
          <w:trHeight w:val="268"/>
        </w:trPr>
        <w:tc>
          <w:tcPr>
            <w:tcW w:w="233" w:type="pct"/>
            <w:noWrap/>
            <w:vAlign w:val="bottom"/>
          </w:tcPr>
          <w:p w14:paraId="7C98B5B3"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26</w:t>
            </w:r>
          </w:p>
        </w:tc>
        <w:tc>
          <w:tcPr>
            <w:tcW w:w="4767" w:type="pct"/>
            <w:vAlign w:val="bottom"/>
          </w:tcPr>
          <w:p w14:paraId="097F9AA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Iznos akvizicijske premije</w:t>
            </w:r>
          </w:p>
        </w:tc>
      </w:tr>
      <w:tr w:rsidR="006571B5" w:rsidRPr="001947F4" w14:paraId="2054B9CE" w14:textId="77777777" w:rsidTr="001947F4">
        <w:trPr>
          <w:trHeight w:val="268"/>
        </w:trPr>
        <w:tc>
          <w:tcPr>
            <w:tcW w:w="233" w:type="pct"/>
            <w:noWrap/>
            <w:vAlign w:val="bottom"/>
          </w:tcPr>
          <w:p w14:paraId="461EF0A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27</w:t>
            </w:r>
          </w:p>
        </w:tc>
        <w:tc>
          <w:tcPr>
            <w:tcW w:w="4767" w:type="pct"/>
            <w:vAlign w:val="bottom"/>
          </w:tcPr>
          <w:p w14:paraId="2C03941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Način akvizicije (npr. spajanje, neprijateljsko preuzimanje, itd.)</w:t>
            </w:r>
          </w:p>
        </w:tc>
      </w:tr>
      <w:tr w:rsidR="006571B5" w:rsidRPr="001947F4" w14:paraId="42FE62CA" w14:textId="77777777" w:rsidTr="001947F4">
        <w:trPr>
          <w:trHeight w:val="268"/>
        </w:trPr>
        <w:tc>
          <w:tcPr>
            <w:tcW w:w="233" w:type="pct"/>
            <w:noWrap/>
            <w:vAlign w:val="bottom"/>
          </w:tcPr>
          <w:p w14:paraId="6D68D4F2"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28</w:t>
            </w:r>
          </w:p>
        </w:tc>
        <w:tc>
          <w:tcPr>
            <w:tcW w:w="4767" w:type="pct"/>
            <w:vAlign w:val="bottom"/>
          </w:tcPr>
          <w:p w14:paraId="69BE4232"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Kapitalna strukturu i troškovi kapitala poduzeća mete</w:t>
            </w:r>
          </w:p>
        </w:tc>
      </w:tr>
      <w:tr w:rsidR="006571B5" w:rsidRPr="001947F4" w14:paraId="5ACECB0A" w14:textId="77777777" w:rsidTr="001947F4">
        <w:trPr>
          <w:trHeight w:val="268"/>
        </w:trPr>
        <w:tc>
          <w:tcPr>
            <w:tcW w:w="233" w:type="pct"/>
            <w:noWrap/>
            <w:vAlign w:val="bottom"/>
          </w:tcPr>
          <w:p w14:paraId="3420A51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29</w:t>
            </w:r>
          </w:p>
        </w:tc>
        <w:tc>
          <w:tcPr>
            <w:tcW w:w="4767" w:type="pct"/>
            <w:vAlign w:val="bottom"/>
          </w:tcPr>
          <w:p w14:paraId="6369542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Povezanost i kompatibilnost poduzeća mete s informacijskom infrastrukturom poduzeća preuzimatelja</w:t>
            </w:r>
          </w:p>
        </w:tc>
      </w:tr>
      <w:tr w:rsidR="006571B5" w:rsidRPr="001947F4" w14:paraId="71F6FCF0" w14:textId="77777777" w:rsidTr="001947F4">
        <w:trPr>
          <w:trHeight w:val="268"/>
        </w:trPr>
        <w:tc>
          <w:tcPr>
            <w:tcW w:w="233" w:type="pct"/>
            <w:noWrap/>
            <w:vAlign w:val="bottom"/>
          </w:tcPr>
          <w:p w14:paraId="4A501B2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30</w:t>
            </w:r>
          </w:p>
        </w:tc>
        <w:tc>
          <w:tcPr>
            <w:tcW w:w="4767" w:type="pct"/>
            <w:vAlign w:val="bottom"/>
          </w:tcPr>
          <w:p w14:paraId="7E2F26F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it-IT"/>
              </w:rPr>
              <w:t>Globalna ekonomska situacija (dodano od stručnjaka)</w:t>
            </w:r>
          </w:p>
        </w:tc>
      </w:tr>
      <w:tr w:rsidR="006571B5" w:rsidRPr="001947F4" w14:paraId="73642B6A" w14:textId="77777777" w:rsidTr="001947F4">
        <w:trPr>
          <w:trHeight w:val="538"/>
        </w:trPr>
        <w:tc>
          <w:tcPr>
            <w:tcW w:w="233" w:type="pct"/>
            <w:noWrap/>
            <w:vAlign w:val="bottom"/>
          </w:tcPr>
          <w:p w14:paraId="2B528557" w14:textId="77777777" w:rsidR="006571B5" w:rsidRPr="001947F4" w:rsidRDefault="006571B5" w:rsidP="006571B5">
            <w:pPr>
              <w:rPr>
                <w:rFonts w:ascii="Times New Roman" w:hAnsi="Times New Roman" w:cs="Times New Roman"/>
                <w:lang w:val="en-GB"/>
              </w:rPr>
            </w:pPr>
          </w:p>
        </w:tc>
        <w:tc>
          <w:tcPr>
            <w:tcW w:w="4767" w:type="pct"/>
            <w:vAlign w:val="bottom"/>
          </w:tcPr>
          <w:p w14:paraId="17D221B7" w14:textId="77777777" w:rsidR="006571B5" w:rsidRPr="001947F4" w:rsidRDefault="006571B5" w:rsidP="007F670E">
            <w:pPr>
              <w:jc w:val="center"/>
              <w:rPr>
                <w:rFonts w:ascii="Times New Roman" w:hAnsi="Times New Roman" w:cs="Times New Roman"/>
                <w:lang w:val="it-IT"/>
              </w:rPr>
            </w:pPr>
            <w:r w:rsidRPr="001947F4">
              <w:rPr>
                <w:rFonts w:ascii="Times New Roman" w:hAnsi="Times New Roman" w:cs="Times New Roman"/>
                <w:b/>
                <w:bCs/>
                <w:lang w:val="it-IT"/>
              </w:rPr>
              <w:t>KLJUČNI ČIMBENICI USPJEHA PROCESA SPAJANJA I PREUZIMANJA U FAZI INTEGRACIJE</w:t>
            </w:r>
          </w:p>
        </w:tc>
      </w:tr>
      <w:tr w:rsidR="006571B5" w:rsidRPr="001947F4" w14:paraId="243B8B64" w14:textId="77777777" w:rsidTr="001947F4">
        <w:trPr>
          <w:trHeight w:val="538"/>
        </w:trPr>
        <w:tc>
          <w:tcPr>
            <w:tcW w:w="233" w:type="pct"/>
            <w:noWrap/>
            <w:vAlign w:val="bottom"/>
          </w:tcPr>
          <w:p w14:paraId="64E27BB7"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31</w:t>
            </w:r>
          </w:p>
        </w:tc>
        <w:tc>
          <w:tcPr>
            <w:tcW w:w="4767" w:type="pct"/>
            <w:vAlign w:val="bottom"/>
            <w:hideMark/>
          </w:tcPr>
          <w:p w14:paraId="5FB0FF3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Definiranje nove strategije razvoja poduzeća nakon akvizicije (novog zajedničkog poduzeća ili pak svakog pojedinog poduzeća koje je sudjelovalo u procesu akvizicije ako ostaju kao samostalne pravne osobe)</w:t>
            </w:r>
          </w:p>
        </w:tc>
      </w:tr>
      <w:tr w:rsidR="006571B5" w:rsidRPr="001947F4" w14:paraId="60AFA159" w14:textId="77777777" w:rsidTr="001947F4">
        <w:trPr>
          <w:trHeight w:val="538"/>
        </w:trPr>
        <w:tc>
          <w:tcPr>
            <w:tcW w:w="233" w:type="pct"/>
            <w:noWrap/>
            <w:vAlign w:val="bottom"/>
          </w:tcPr>
          <w:p w14:paraId="1B5F4DD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32</w:t>
            </w:r>
          </w:p>
        </w:tc>
        <w:tc>
          <w:tcPr>
            <w:tcW w:w="4767" w:type="pct"/>
            <w:vAlign w:val="bottom"/>
            <w:hideMark/>
          </w:tcPr>
          <w:p w14:paraId="323970F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Formalni plan zajedničke integracije od strane vodećih upravljačkih timova oba poduzeća (poduzeća preuzimatelja i poduzeća mete) </w:t>
            </w:r>
          </w:p>
        </w:tc>
      </w:tr>
      <w:tr w:rsidR="006571B5" w:rsidRPr="001947F4" w14:paraId="4E3DC4FB" w14:textId="77777777" w:rsidTr="001947F4">
        <w:trPr>
          <w:trHeight w:val="538"/>
        </w:trPr>
        <w:tc>
          <w:tcPr>
            <w:tcW w:w="233" w:type="pct"/>
            <w:noWrap/>
            <w:vAlign w:val="bottom"/>
          </w:tcPr>
          <w:p w14:paraId="4CCDC992"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33</w:t>
            </w:r>
          </w:p>
        </w:tc>
        <w:tc>
          <w:tcPr>
            <w:tcW w:w="4767" w:type="pct"/>
            <w:vAlign w:val="bottom"/>
            <w:hideMark/>
          </w:tcPr>
          <w:p w14:paraId="0DBAB1A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Detektiranje i zadržavanje ključnih zaposlenika i menadžere poduzeća mete ako poduzeća koja su sudjelovala u akvizicijskom procesu ostaju kao samostalne pravne osobe</w:t>
            </w:r>
          </w:p>
        </w:tc>
      </w:tr>
      <w:tr w:rsidR="006571B5" w:rsidRPr="001947F4" w14:paraId="123EA448" w14:textId="77777777" w:rsidTr="001947F4">
        <w:trPr>
          <w:trHeight w:val="808"/>
        </w:trPr>
        <w:tc>
          <w:tcPr>
            <w:tcW w:w="233" w:type="pct"/>
            <w:noWrap/>
            <w:vAlign w:val="bottom"/>
          </w:tcPr>
          <w:p w14:paraId="32BABA4F"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34</w:t>
            </w:r>
          </w:p>
        </w:tc>
        <w:tc>
          <w:tcPr>
            <w:tcW w:w="4767" w:type="pct"/>
            <w:vAlign w:val="bottom"/>
            <w:hideMark/>
          </w:tcPr>
          <w:p w14:paraId="408A3C7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r>
      <w:tr w:rsidR="006571B5" w:rsidRPr="001947F4" w14:paraId="5F560279" w14:textId="77777777" w:rsidTr="001947F4">
        <w:trPr>
          <w:trHeight w:val="268"/>
        </w:trPr>
        <w:tc>
          <w:tcPr>
            <w:tcW w:w="233" w:type="pct"/>
            <w:noWrap/>
            <w:vAlign w:val="bottom"/>
          </w:tcPr>
          <w:p w14:paraId="08312C1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35</w:t>
            </w:r>
          </w:p>
        </w:tc>
        <w:tc>
          <w:tcPr>
            <w:tcW w:w="4767" w:type="pct"/>
            <w:vAlign w:val="bottom"/>
          </w:tcPr>
          <w:p w14:paraId="6174F7DF"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Razvojni programi kojima se potiče osjećaj zajedništva između zaposlenika poduzeća koja su sudjelovala u akvizicijskom procesu (bez obzira na njihov trenutni pravni status)</w:t>
            </w:r>
          </w:p>
        </w:tc>
      </w:tr>
      <w:tr w:rsidR="006571B5" w:rsidRPr="001947F4" w14:paraId="6EDA81F4" w14:textId="77777777" w:rsidTr="001947F4">
        <w:trPr>
          <w:trHeight w:val="268"/>
        </w:trPr>
        <w:tc>
          <w:tcPr>
            <w:tcW w:w="233" w:type="pct"/>
            <w:noWrap/>
            <w:vAlign w:val="bottom"/>
          </w:tcPr>
          <w:p w14:paraId="01A9BB58"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36</w:t>
            </w:r>
          </w:p>
        </w:tc>
        <w:tc>
          <w:tcPr>
            <w:tcW w:w="4767" w:type="pct"/>
            <w:vAlign w:val="bottom"/>
            <w:hideMark/>
          </w:tcPr>
          <w:p w14:paraId="6784DB3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Identificiranje i usmjeravanje na ostvarivanje glavnih vrijednosnih pokretača procesa akvizicije. </w:t>
            </w:r>
          </w:p>
        </w:tc>
      </w:tr>
      <w:tr w:rsidR="006571B5" w:rsidRPr="001947F4" w14:paraId="3B4A9315" w14:textId="77777777" w:rsidTr="001947F4">
        <w:trPr>
          <w:trHeight w:val="268"/>
        </w:trPr>
        <w:tc>
          <w:tcPr>
            <w:tcW w:w="233" w:type="pct"/>
            <w:noWrap/>
            <w:vAlign w:val="bottom"/>
          </w:tcPr>
          <w:p w14:paraId="4FB8630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37</w:t>
            </w:r>
          </w:p>
        </w:tc>
        <w:tc>
          <w:tcPr>
            <w:tcW w:w="4767" w:type="pct"/>
            <w:vAlign w:val="bottom"/>
            <w:hideMark/>
          </w:tcPr>
          <w:p w14:paraId="6FBCDBD6"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Osiguranje resursa potrebnih za integraciju nakon procesa akvizicije</w:t>
            </w:r>
          </w:p>
        </w:tc>
      </w:tr>
      <w:tr w:rsidR="006571B5" w:rsidRPr="001947F4" w14:paraId="463C4E99" w14:textId="77777777" w:rsidTr="001947F4">
        <w:trPr>
          <w:trHeight w:val="268"/>
        </w:trPr>
        <w:tc>
          <w:tcPr>
            <w:tcW w:w="233" w:type="pct"/>
            <w:noWrap/>
            <w:vAlign w:val="bottom"/>
          </w:tcPr>
          <w:p w14:paraId="36F96DA9"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lastRenderedPageBreak/>
              <w:t>38</w:t>
            </w:r>
          </w:p>
        </w:tc>
        <w:tc>
          <w:tcPr>
            <w:tcW w:w="4767" w:type="pct"/>
            <w:vAlign w:val="bottom"/>
            <w:hideMark/>
          </w:tcPr>
          <w:p w14:paraId="19F0CED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Učinkovita komunikacija s javnošću</w:t>
            </w:r>
          </w:p>
        </w:tc>
      </w:tr>
      <w:tr w:rsidR="006571B5" w:rsidRPr="001947F4" w14:paraId="2D69091E" w14:textId="77777777" w:rsidTr="001947F4">
        <w:trPr>
          <w:trHeight w:val="268"/>
        </w:trPr>
        <w:tc>
          <w:tcPr>
            <w:tcW w:w="233" w:type="pct"/>
            <w:noWrap/>
            <w:vAlign w:val="bottom"/>
          </w:tcPr>
          <w:p w14:paraId="12A00F6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39</w:t>
            </w:r>
          </w:p>
        </w:tc>
        <w:tc>
          <w:tcPr>
            <w:tcW w:w="4767" w:type="pct"/>
            <w:vAlign w:val="bottom"/>
            <w:hideMark/>
          </w:tcPr>
          <w:p w14:paraId="217C0218"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Brza integracija radi ostvarivanja zacrtanog plana</w:t>
            </w:r>
          </w:p>
        </w:tc>
      </w:tr>
      <w:tr w:rsidR="006571B5" w:rsidRPr="001947F4" w14:paraId="39E7A27C" w14:textId="77777777" w:rsidTr="001947F4">
        <w:trPr>
          <w:trHeight w:val="268"/>
        </w:trPr>
        <w:tc>
          <w:tcPr>
            <w:tcW w:w="233" w:type="pct"/>
            <w:noWrap/>
            <w:vAlign w:val="bottom"/>
          </w:tcPr>
          <w:p w14:paraId="318F98C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40</w:t>
            </w:r>
          </w:p>
        </w:tc>
        <w:tc>
          <w:tcPr>
            <w:tcW w:w="4767" w:type="pct"/>
            <w:vAlign w:val="bottom"/>
          </w:tcPr>
          <w:p w14:paraId="6CE575D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Integracija informacijske infrastrukturu poduzeća koja su sudjelovale u akvizicijskom procesu</w:t>
            </w:r>
          </w:p>
        </w:tc>
      </w:tr>
      <w:tr w:rsidR="006571B5" w:rsidRPr="001947F4" w14:paraId="2E86F30B" w14:textId="77777777" w:rsidTr="001947F4">
        <w:trPr>
          <w:trHeight w:val="808"/>
        </w:trPr>
        <w:tc>
          <w:tcPr>
            <w:tcW w:w="233" w:type="pct"/>
            <w:noWrap/>
            <w:vAlign w:val="bottom"/>
          </w:tcPr>
          <w:p w14:paraId="06514AFD"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41</w:t>
            </w:r>
          </w:p>
        </w:tc>
        <w:tc>
          <w:tcPr>
            <w:tcW w:w="4767" w:type="pct"/>
            <w:vAlign w:val="bottom"/>
            <w:hideMark/>
          </w:tcPr>
          <w:p w14:paraId="77B67A83"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Promptna objava plana razvoja ljudskih resursa nakon procesa akvizicije (npr. kljucne funkcije, ovlasti i odgovornosti, planovi otpuštanja itd. u novoosnovanom zajedničkom poduzeću ili u oba poduzeća koje su sudjelovala u akvizicijskom procesu)</w:t>
            </w:r>
          </w:p>
        </w:tc>
      </w:tr>
      <w:tr w:rsidR="006571B5" w:rsidRPr="001947F4" w14:paraId="6EE2DE6D" w14:textId="77777777" w:rsidTr="001947F4">
        <w:trPr>
          <w:trHeight w:val="268"/>
        </w:trPr>
        <w:tc>
          <w:tcPr>
            <w:tcW w:w="233" w:type="pct"/>
            <w:noWrap/>
            <w:vAlign w:val="bottom"/>
          </w:tcPr>
          <w:p w14:paraId="0A26C5C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42</w:t>
            </w:r>
          </w:p>
        </w:tc>
        <w:tc>
          <w:tcPr>
            <w:tcW w:w="4767" w:type="pct"/>
            <w:vAlign w:val="bottom"/>
            <w:hideMark/>
          </w:tcPr>
          <w:p w14:paraId="0C7E933A"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Odlučan i pravedan odnos prema zaposlenicima koje je potrebno otpustiti</w:t>
            </w:r>
          </w:p>
        </w:tc>
      </w:tr>
      <w:tr w:rsidR="006571B5" w:rsidRPr="001947F4" w14:paraId="4329482C" w14:textId="77777777" w:rsidTr="001947F4">
        <w:trPr>
          <w:trHeight w:val="268"/>
        </w:trPr>
        <w:tc>
          <w:tcPr>
            <w:tcW w:w="233" w:type="pct"/>
            <w:noWrap/>
            <w:vAlign w:val="bottom"/>
          </w:tcPr>
          <w:p w14:paraId="107BEAF2"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43</w:t>
            </w:r>
          </w:p>
        </w:tc>
        <w:tc>
          <w:tcPr>
            <w:tcW w:w="4767" w:type="pct"/>
            <w:vAlign w:val="bottom"/>
            <w:hideMark/>
          </w:tcPr>
          <w:p w14:paraId="7CF0F66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Uspostaviti odgovarajuće unutarnje mehanizme za prijenos kompetencija i sredstava između poslovnih jedinica </w:t>
            </w:r>
          </w:p>
        </w:tc>
      </w:tr>
      <w:tr w:rsidR="006571B5" w:rsidRPr="001947F4" w14:paraId="2752525D" w14:textId="77777777" w:rsidTr="001947F4">
        <w:trPr>
          <w:trHeight w:val="538"/>
        </w:trPr>
        <w:tc>
          <w:tcPr>
            <w:tcW w:w="233" w:type="pct"/>
            <w:noWrap/>
            <w:vAlign w:val="bottom"/>
          </w:tcPr>
          <w:p w14:paraId="21C2A4E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44</w:t>
            </w:r>
          </w:p>
        </w:tc>
        <w:tc>
          <w:tcPr>
            <w:tcW w:w="4767" w:type="pct"/>
            <w:vAlign w:val="bottom"/>
            <w:hideMark/>
          </w:tcPr>
          <w:p w14:paraId="433D722F"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Povezivanje naknada (kompenzacija)  s poboljšanjima u realizaciji slobodnih novčanih tokova (u novoosnovanom zajedničkom poduzeću ili u oba poduzeća koja su sudjelovala u procesu preuzimanja) </w:t>
            </w:r>
          </w:p>
        </w:tc>
      </w:tr>
      <w:tr w:rsidR="006571B5" w:rsidRPr="001947F4" w14:paraId="0303FF80" w14:textId="77777777" w:rsidTr="001947F4">
        <w:trPr>
          <w:trHeight w:val="538"/>
        </w:trPr>
        <w:tc>
          <w:tcPr>
            <w:tcW w:w="233" w:type="pct"/>
            <w:noWrap/>
            <w:vAlign w:val="bottom"/>
          </w:tcPr>
          <w:p w14:paraId="1C2E72BC"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45</w:t>
            </w:r>
          </w:p>
        </w:tc>
        <w:tc>
          <w:tcPr>
            <w:tcW w:w="4767" w:type="pct"/>
            <w:vAlign w:val="bottom"/>
          </w:tcPr>
          <w:p w14:paraId="3CF44B92"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Niveliranje razlika u stilovima upravljanja između poduzeća koja su sudjelovale u procesu spajanja i preuzimanja</w:t>
            </w:r>
          </w:p>
        </w:tc>
      </w:tr>
      <w:tr w:rsidR="006571B5" w:rsidRPr="001947F4" w14:paraId="78477B34" w14:textId="77777777" w:rsidTr="001947F4">
        <w:trPr>
          <w:trHeight w:val="538"/>
        </w:trPr>
        <w:tc>
          <w:tcPr>
            <w:tcW w:w="233" w:type="pct"/>
            <w:noWrap/>
            <w:vAlign w:val="bottom"/>
          </w:tcPr>
          <w:p w14:paraId="4B6D94B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46</w:t>
            </w:r>
          </w:p>
        </w:tc>
        <w:tc>
          <w:tcPr>
            <w:tcW w:w="4767" w:type="pct"/>
            <w:vAlign w:val="bottom"/>
            <w:hideMark/>
          </w:tcPr>
          <w:p w14:paraId="45EEE15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Identificiranje prilika za poboljšanje konkurentske pozicije novostvorenog zajedničkog poduzeća ili oba poduzeća koja su sudjelovala u procesu spajanja i preuzimanja, ali su ostala kao samostalne pravne osobe</w:t>
            </w:r>
          </w:p>
        </w:tc>
      </w:tr>
      <w:tr w:rsidR="006571B5" w:rsidRPr="001947F4" w14:paraId="53BD98EC" w14:textId="77777777" w:rsidTr="001947F4">
        <w:trPr>
          <w:trHeight w:val="268"/>
        </w:trPr>
        <w:tc>
          <w:tcPr>
            <w:tcW w:w="233" w:type="pct"/>
            <w:noWrap/>
            <w:vAlign w:val="bottom"/>
          </w:tcPr>
          <w:p w14:paraId="694E675C"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47</w:t>
            </w:r>
          </w:p>
        </w:tc>
        <w:tc>
          <w:tcPr>
            <w:tcW w:w="4767" w:type="pct"/>
            <w:vAlign w:val="bottom"/>
            <w:hideMark/>
          </w:tcPr>
          <w:p w14:paraId="7FE01CC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Postavljanje nove upravljačke strukture u poduzeću meti </w:t>
            </w:r>
          </w:p>
        </w:tc>
      </w:tr>
      <w:tr w:rsidR="006571B5" w:rsidRPr="001947F4" w14:paraId="63C01DFB" w14:textId="77777777" w:rsidTr="001947F4">
        <w:trPr>
          <w:trHeight w:val="268"/>
        </w:trPr>
        <w:tc>
          <w:tcPr>
            <w:tcW w:w="233" w:type="pct"/>
            <w:noWrap/>
            <w:vAlign w:val="bottom"/>
          </w:tcPr>
          <w:p w14:paraId="2BA0754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48</w:t>
            </w:r>
          </w:p>
        </w:tc>
        <w:tc>
          <w:tcPr>
            <w:tcW w:w="4767" w:type="pct"/>
            <w:vAlign w:val="bottom"/>
          </w:tcPr>
          <w:p w14:paraId="45BFA23F"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Uspostavljanje novih programa procjene učinka uspješnosti u poduzećima koje su sudjelovale u procesu spajanja i preuzimanja bez obzira na njihovu trenutnu pravnu osobnost</w:t>
            </w:r>
          </w:p>
        </w:tc>
      </w:tr>
      <w:tr w:rsidR="006571B5" w:rsidRPr="001947F4" w14:paraId="3A1910FC" w14:textId="77777777" w:rsidTr="001947F4">
        <w:trPr>
          <w:trHeight w:val="268"/>
        </w:trPr>
        <w:tc>
          <w:tcPr>
            <w:tcW w:w="233" w:type="pct"/>
            <w:noWrap/>
            <w:vAlign w:val="bottom"/>
          </w:tcPr>
          <w:p w14:paraId="5C4B10E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49</w:t>
            </w:r>
          </w:p>
        </w:tc>
        <w:tc>
          <w:tcPr>
            <w:tcW w:w="4767" w:type="pct"/>
            <w:vAlign w:val="bottom"/>
          </w:tcPr>
          <w:p w14:paraId="46D37AC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Asimiliranje kulturoloških sustava poduzeća preuzimatelja (tj. vrijednosti, norme) u poslovnu kulturu poduzeća mete</w:t>
            </w:r>
          </w:p>
        </w:tc>
      </w:tr>
      <w:tr w:rsidR="006571B5" w:rsidRPr="001947F4" w14:paraId="0EC43083" w14:textId="77777777" w:rsidTr="001947F4">
        <w:trPr>
          <w:trHeight w:val="268"/>
        </w:trPr>
        <w:tc>
          <w:tcPr>
            <w:tcW w:w="233" w:type="pct"/>
            <w:noWrap/>
            <w:vAlign w:val="bottom"/>
          </w:tcPr>
          <w:p w14:paraId="6EAD6956" w14:textId="77777777" w:rsidR="006571B5" w:rsidRPr="001947F4" w:rsidRDefault="006571B5" w:rsidP="006571B5">
            <w:pPr>
              <w:rPr>
                <w:rFonts w:ascii="Times New Roman" w:hAnsi="Times New Roman" w:cs="Times New Roman"/>
                <w:lang w:val="en-GB"/>
              </w:rPr>
            </w:pPr>
          </w:p>
        </w:tc>
        <w:tc>
          <w:tcPr>
            <w:tcW w:w="4767" w:type="pct"/>
            <w:vAlign w:val="bottom"/>
          </w:tcPr>
          <w:p w14:paraId="0DAF07A0" w14:textId="77777777" w:rsidR="006571B5" w:rsidRPr="001947F4" w:rsidRDefault="006571B5" w:rsidP="007F670E">
            <w:pPr>
              <w:jc w:val="center"/>
              <w:rPr>
                <w:rFonts w:ascii="Times New Roman" w:hAnsi="Times New Roman" w:cs="Times New Roman"/>
                <w:lang w:val="en-GB"/>
              </w:rPr>
            </w:pPr>
            <w:r w:rsidRPr="001947F4">
              <w:rPr>
                <w:rFonts w:ascii="Times New Roman" w:hAnsi="Times New Roman" w:cs="Times New Roman"/>
                <w:b/>
                <w:bCs/>
                <w:lang w:val="en-GB"/>
              </w:rPr>
              <w:t>KLJUČNI ČIMBENICI USPJEHA PROCESA SPAJANJA I PREUZIMANJA NAKON ZAVRŠETKA FAZE INTEGRACIJE (U POST-AKVIZICIJSKOJ FAZI)</w:t>
            </w:r>
          </w:p>
        </w:tc>
      </w:tr>
      <w:tr w:rsidR="006571B5" w:rsidRPr="001947F4" w14:paraId="66F6D0B5" w14:textId="77777777" w:rsidTr="001947F4">
        <w:trPr>
          <w:trHeight w:val="268"/>
        </w:trPr>
        <w:tc>
          <w:tcPr>
            <w:tcW w:w="233" w:type="pct"/>
            <w:noWrap/>
            <w:vAlign w:val="bottom"/>
          </w:tcPr>
          <w:p w14:paraId="1785CB96"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50</w:t>
            </w:r>
          </w:p>
        </w:tc>
        <w:tc>
          <w:tcPr>
            <w:tcW w:w="4767" w:type="pct"/>
            <w:vAlign w:val="bottom"/>
            <w:hideMark/>
          </w:tcPr>
          <w:p w14:paraId="02E0039A"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Povrat na ukupno uloženi kapital (WACC)</w:t>
            </w:r>
          </w:p>
        </w:tc>
      </w:tr>
      <w:tr w:rsidR="006571B5" w:rsidRPr="001947F4" w14:paraId="41AD16E7" w14:textId="77777777" w:rsidTr="001947F4">
        <w:trPr>
          <w:trHeight w:val="268"/>
        </w:trPr>
        <w:tc>
          <w:tcPr>
            <w:tcW w:w="233" w:type="pct"/>
            <w:noWrap/>
            <w:vAlign w:val="bottom"/>
          </w:tcPr>
          <w:p w14:paraId="25B19E94"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51</w:t>
            </w:r>
          </w:p>
        </w:tc>
        <w:tc>
          <w:tcPr>
            <w:tcW w:w="4767" w:type="pct"/>
            <w:vAlign w:val="bottom"/>
            <w:hideMark/>
          </w:tcPr>
          <w:p w14:paraId="2A1D50AF"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 xml:space="preserve">Slobodni novčani tijek po dionici </w:t>
            </w:r>
          </w:p>
        </w:tc>
      </w:tr>
      <w:tr w:rsidR="006571B5" w:rsidRPr="001947F4" w14:paraId="63CF6ACE" w14:textId="77777777" w:rsidTr="001947F4">
        <w:trPr>
          <w:trHeight w:val="538"/>
        </w:trPr>
        <w:tc>
          <w:tcPr>
            <w:tcW w:w="233" w:type="pct"/>
            <w:noWrap/>
            <w:vAlign w:val="bottom"/>
          </w:tcPr>
          <w:p w14:paraId="285460C7"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52</w:t>
            </w:r>
          </w:p>
        </w:tc>
        <w:tc>
          <w:tcPr>
            <w:tcW w:w="4767" w:type="pct"/>
            <w:vAlign w:val="bottom"/>
            <w:hideMark/>
          </w:tcPr>
          <w:p w14:paraId="4811895C"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 xml:space="preserve">Novčani tijek iz operacija (prodaja umanjena za troškove prodanih dobara i usluga, administrativne troškove uvećano za deprecijaciju i </w:t>
            </w:r>
            <w:r w:rsidRPr="001947F4">
              <w:rPr>
                <w:rFonts w:ascii="Times New Roman" w:hAnsi="Times New Roman" w:cs="Times New Roman"/>
                <w:i/>
                <w:lang w:val="en-GB"/>
              </w:rPr>
              <w:t>goodwill</w:t>
            </w:r>
            <w:r w:rsidRPr="001947F4">
              <w:rPr>
                <w:rFonts w:ascii="Times New Roman" w:hAnsi="Times New Roman" w:cs="Times New Roman"/>
                <w:lang w:val="en-GB"/>
              </w:rPr>
              <w:t>)</w:t>
            </w:r>
          </w:p>
        </w:tc>
      </w:tr>
      <w:tr w:rsidR="006571B5" w:rsidRPr="001947F4" w14:paraId="560A43CD" w14:textId="77777777" w:rsidTr="001947F4">
        <w:trPr>
          <w:trHeight w:val="268"/>
        </w:trPr>
        <w:tc>
          <w:tcPr>
            <w:tcW w:w="233" w:type="pct"/>
            <w:noWrap/>
            <w:vAlign w:val="bottom"/>
          </w:tcPr>
          <w:p w14:paraId="27415F9E"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53</w:t>
            </w:r>
          </w:p>
        </w:tc>
        <w:tc>
          <w:tcPr>
            <w:tcW w:w="4767" w:type="pct"/>
            <w:vAlign w:val="bottom"/>
            <w:hideMark/>
          </w:tcPr>
          <w:p w14:paraId="11FDF0C4" w14:textId="77777777" w:rsidR="006571B5" w:rsidRPr="001947F4" w:rsidRDefault="006571B5" w:rsidP="006571B5">
            <w:pPr>
              <w:rPr>
                <w:rFonts w:ascii="Times New Roman" w:hAnsi="Times New Roman" w:cs="Times New Roman"/>
                <w:lang w:val="it-IT"/>
              </w:rPr>
            </w:pPr>
            <w:r w:rsidRPr="001947F4">
              <w:rPr>
                <w:rFonts w:ascii="Times New Roman" w:hAnsi="Times New Roman" w:cs="Times New Roman"/>
                <w:lang w:val="it-IT"/>
              </w:rPr>
              <w:t>Računovodstveni pokazatelji (ROI, ROE, ROA)</w:t>
            </w:r>
          </w:p>
        </w:tc>
      </w:tr>
      <w:tr w:rsidR="006571B5" w:rsidRPr="001947F4" w14:paraId="575B2C0A" w14:textId="77777777" w:rsidTr="001947F4">
        <w:trPr>
          <w:trHeight w:val="268"/>
        </w:trPr>
        <w:tc>
          <w:tcPr>
            <w:tcW w:w="233" w:type="pct"/>
            <w:noWrap/>
            <w:vAlign w:val="bottom"/>
          </w:tcPr>
          <w:p w14:paraId="62D7FCF1"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54</w:t>
            </w:r>
          </w:p>
        </w:tc>
        <w:tc>
          <w:tcPr>
            <w:tcW w:w="4767" w:type="pct"/>
            <w:vAlign w:val="bottom"/>
            <w:hideMark/>
          </w:tcPr>
          <w:p w14:paraId="130F91DB"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Uobičajeni hotelski pokazatelji uspješnosti (ADR, stopa popunjenosti, REVPAR, TREVPAR)</w:t>
            </w:r>
          </w:p>
        </w:tc>
      </w:tr>
      <w:tr w:rsidR="006571B5" w:rsidRPr="001947F4" w14:paraId="6B9E2D8D" w14:textId="77777777" w:rsidTr="001947F4">
        <w:trPr>
          <w:trHeight w:val="268"/>
        </w:trPr>
        <w:tc>
          <w:tcPr>
            <w:tcW w:w="233" w:type="pct"/>
            <w:noWrap/>
            <w:vAlign w:val="bottom"/>
          </w:tcPr>
          <w:p w14:paraId="5FB55F49"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55</w:t>
            </w:r>
          </w:p>
        </w:tc>
        <w:tc>
          <w:tcPr>
            <w:tcW w:w="4767" w:type="pct"/>
            <w:vAlign w:val="bottom"/>
            <w:hideMark/>
          </w:tcPr>
          <w:p w14:paraId="4C1563B0"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Tržišni udio (gubitak/dobitak)</w:t>
            </w:r>
          </w:p>
        </w:tc>
      </w:tr>
      <w:tr w:rsidR="006571B5" w:rsidRPr="001947F4" w14:paraId="00960EA5" w14:textId="77777777" w:rsidTr="001947F4">
        <w:trPr>
          <w:trHeight w:val="268"/>
        </w:trPr>
        <w:tc>
          <w:tcPr>
            <w:tcW w:w="233" w:type="pct"/>
            <w:noWrap/>
            <w:vAlign w:val="bottom"/>
          </w:tcPr>
          <w:p w14:paraId="2E467987"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56</w:t>
            </w:r>
          </w:p>
        </w:tc>
        <w:tc>
          <w:tcPr>
            <w:tcW w:w="4767" w:type="pct"/>
            <w:vAlign w:val="bottom"/>
          </w:tcPr>
          <w:p w14:paraId="60B0FAE5"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Promjena kretanja cijene dionica</w:t>
            </w:r>
          </w:p>
        </w:tc>
      </w:tr>
      <w:tr w:rsidR="006571B5" w:rsidRPr="001947F4" w14:paraId="7B6F17E8" w14:textId="77777777" w:rsidTr="001947F4">
        <w:trPr>
          <w:trHeight w:val="268"/>
        </w:trPr>
        <w:tc>
          <w:tcPr>
            <w:tcW w:w="233" w:type="pct"/>
            <w:noWrap/>
            <w:vAlign w:val="bottom"/>
          </w:tcPr>
          <w:p w14:paraId="17BC6F30"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57</w:t>
            </w:r>
          </w:p>
        </w:tc>
        <w:tc>
          <w:tcPr>
            <w:tcW w:w="4767" w:type="pct"/>
            <w:vAlign w:val="bottom"/>
          </w:tcPr>
          <w:p w14:paraId="33025477"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Prihvaćanje nove/izmijenjene organizacijske kulture</w:t>
            </w:r>
          </w:p>
        </w:tc>
      </w:tr>
      <w:tr w:rsidR="006571B5" w:rsidRPr="001947F4" w14:paraId="23872976" w14:textId="77777777" w:rsidTr="001947F4">
        <w:trPr>
          <w:trHeight w:val="268"/>
        </w:trPr>
        <w:tc>
          <w:tcPr>
            <w:tcW w:w="233" w:type="pct"/>
            <w:noWrap/>
            <w:vAlign w:val="bottom"/>
          </w:tcPr>
          <w:p w14:paraId="6FF50A17"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lastRenderedPageBreak/>
              <w:t>58</w:t>
            </w:r>
          </w:p>
        </w:tc>
        <w:tc>
          <w:tcPr>
            <w:tcW w:w="4767" w:type="pct"/>
            <w:vAlign w:val="bottom"/>
          </w:tcPr>
          <w:p w14:paraId="2690FEAE" w14:textId="77777777" w:rsidR="006571B5" w:rsidRPr="001947F4" w:rsidRDefault="006571B5" w:rsidP="006571B5">
            <w:pPr>
              <w:rPr>
                <w:rFonts w:ascii="Times New Roman" w:hAnsi="Times New Roman" w:cs="Times New Roman"/>
                <w:lang w:val="en-GB"/>
              </w:rPr>
            </w:pPr>
            <w:r w:rsidRPr="001947F4">
              <w:rPr>
                <w:rFonts w:ascii="Times New Roman" w:hAnsi="Times New Roman" w:cs="Times New Roman"/>
                <w:lang w:val="en-GB"/>
              </w:rPr>
              <w:t>Prihvaćanje nove organizacijske strukture</w:t>
            </w:r>
          </w:p>
        </w:tc>
      </w:tr>
    </w:tbl>
    <w:p w14:paraId="134E5BF4" w14:textId="77777777" w:rsidR="006571B5" w:rsidRPr="001947F4" w:rsidRDefault="006571B5" w:rsidP="006571B5">
      <w:pPr>
        <w:rPr>
          <w:rFonts w:ascii="Times New Roman" w:hAnsi="Times New Roman" w:cs="Times New Roman"/>
          <w:lang w:val="en-US"/>
        </w:rPr>
      </w:pPr>
    </w:p>
    <w:p w14:paraId="314248E7" w14:textId="77777777" w:rsidR="006571B5" w:rsidRPr="0039358D" w:rsidRDefault="006571B5" w:rsidP="006571B5">
      <w:pPr>
        <w:rPr>
          <w:rFonts w:ascii="Times New Roman" w:hAnsi="Times New Roman" w:cs="Times New Roman"/>
          <w:b/>
          <w:lang w:val="en-GB"/>
        </w:rPr>
      </w:pPr>
      <w:r w:rsidRPr="0039358D">
        <w:rPr>
          <w:rFonts w:ascii="Times New Roman" w:hAnsi="Times New Roman" w:cs="Times New Roman"/>
          <w:b/>
          <w:lang w:val="en-GB"/>
        </w:rPr>
        <w:t>Prilog 3</w:t>
      </w:r>
    </w:p>
    <w:p w14:paraId="56F38814" w14:textId="77777777" w:rsidR="006571B5" w:rsidRPr="0039358D" w:rsidRDefault="006571B5" w:rsidP="006571B5">
      <w:pPr>
        <w:rPr>
          <w:rFonts w:ascii="Times New Roman" w:hAnsi="Times New Roman" w:cs="Times New Roman"/>
          <w:lang w:val="en-GB"/>
        </w:rPr>
      </w:pPr>
      <w:r w:rsidRPr="0039358D">
        <w:rPr>
          <w:rFonts w:ascii="Times New Roman" w:hAnsi="Times New Roman" w:cs="Times New Roman"/>
          <w:lang w:val="en-GB"/>
        </w:rPr>
        <w:t>Tablica 3:</w:t>
      </w:r>
      <w:r w:rsidRPr="0039358D">
        <w:rPr>
          <w:rFonts w:ascii="Times New Roman" w:hAnsi="Times New Roman" w:cs="Times New Roman"/>
          <w:b/>
          <w:bCs/>
          <w:lang w:val="en-GB"/>
        </w:rPr>
        <w:t xml:space="preserve"> </w:t>
      </w:r>
      <w:r w:rsidRPr="0039358D">
        <w:rPr>
          <w:rFonts w:ascii="Times New Roman" w:hAnsi="Times New Roman" w:cs="Times New Roman"/>
          <w:bCs/>
          <w:lang w:val="en-GB"/>
        </w:rPr>
        <w:t>Finalni skup motiva i ključnih čimbenika procesa spajanja i preuzimanja odabranih za empirijsko istraživanje</w:t>
      </w:r>
    </w:p>
    <w:tbl>
      <w:tblPr>
        <w:tblStyle w:val="TableGrid"/>
        <w:tblW w:w="0" w:type="auto"/>
        <w:tblLook w:val="04A0" w:firstRow="1" w:lastRow="0" w:firstColumn="1" w:lastColumn="0" w:noHBand="0" w:noVBand="1"/>
      </w:tblPr>
      <w:tblGrid>
        <w:gridCol w:w="436"/>
        <w:gridCol w:w="8914"/>
      </w:tblGrid>
      <w:tr w:rsidR="006571B5" w:rsidRPr="0039358D" w14:paraId="54E280BE" w14:textId="77777777" w:rsidTr="00BB4209">
        <w:trPr>
          <w:trHeight w:val="747"/>
        </w:trPr>
        <w:tc>
          <w:tcPr>
            <w:tcW w:w="9350" w:type="dxa"/>
            <w:gridSpan w:val="2"/>
          </w:tcPr>
          <w:p w14:paraId="57B85004" w14:textId="77777777" w:rsidR="006571B5" w:rsidRPr="0039358D" w:rsidRDefault="006571B5" w:rsidP="006571B5">
            <w:pPr>
              <w:spacing w:line="259" w:lineRule="auto"/>
              <w:rPr>
                <w:rFonts w:ascii="Times New Roman" w:hAnsi="Times New Roman" w:cs="Times New Roman"/>
                <w:b/>
                <w:lang w:val="it-IT"/>
              </w:rPr>
            </w:pPr>
            <w:r w:rsidRPr="0039358D">
              <w:rPr>
                <w:rFonts w:ascii="Times New Roman" w:hAnsi="Times New Roman" w:cs="Times New Roman"/>
                <w:b/>
                <w:lang w:val="it-IT"/>
              </w:rPr>
              <w:t>Motivi i čimbenici u svim fazama procesa spajanja i preuzimanja</w:t>
            </w:r>
          </w:p>
        </w:tc>
      </w:tr>
      <w:tr w:rsidR="006571B5" w:rsidRPr="0039358D" w14:paraId="7D36F179" w14:textId="77777777" w:rsidTr="00BB4209">
        <w:trPr>
          <w:trHeight w:val="448"/>
        </w:trPr>
        <w:tc>
          <w:tcPr>
            <w:tcW w:w="9350" w:type="dxa"/>
            <w:gridSpan w:val="2"/>
          </w:tcPr>
          <w:p w14:paraId="1071EA51" w14:textId="77777777" w:rsidR="006571B5" w:rsidRPr="0039358D" w:rsidRDefault="006571B5" w:rsidP="0039358D">
            <w:pPr>
              <w:spacing w:after="160" w:line="259" w:lineRule="auto"/>
              <w:jc w:val="center"/>
              <w:rPr>
                <w:rFonts w:ascii="Times New Roman" w:hAnsi="Times New Roman" w:cs="Times New Roman"/>
                <w:lang w:val="it-IT"/>
              </w:rPr>
            </w:pPr>
            <w:r w:rsidRPr="0039358D">
              <w:rPr>
                <w:rFonts w:ascii="Times New Roman" w:hAnsi="Times New Roman" w:cs="Times New Roman"/>
                <w:b/>
                <w:lang w:val="it-IT"/>
              </w:rPr>
              <w:t>MOTIVI ZA POKRETANJE PROCESA SPAJANJA I PREUZIMANJA U HRVATSKOM HOTELIJERSTVU</w:t>
            </w:r>
          </w:p>
        </w:tc>
      </w:tr>
      <w:tr w:rsidR="006571B5" w:rsidRPr="0039358D" w14:paraId="75E5725C" w14:textId="77777777" w:rsidTr="0039358D">
        <w:trPr>
          <w:trHeight w:val="448"/>
        </w:trPr>
        <w:tc>
          <w:tcPr>
            <w:tcW w:w="421" w:type="dxa"/>
          </w:tcPr>
          <w:p w14:paraId="3FDABD2C"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w:t>
            </w:r>
          </w:p>
        </w:tc>
        <w:tc>
          <w:tcPr>
            <w:tcW w:w="8929" w:type="dxa"/>
          </w:tcPr>
          <w:p w14:paraId="45981188"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Povećanje tržišnog udjela poduzeća preuzimatelja</w:t>
            </w:r>
          </w:p>
        </w:tc>
      </w:tr>
      <w:tr w:rsidR="006571B5" w:rsidRPr="0039358D" w14:paraId="7A47A825" w14:textId="77777777" w:rsidTr="0039358D">
        <w:trPr>
          <w:trHeight w:val="1047"/>
        </w:trPr>
        <w:tc>
          <w:tcPr>
            <w:tcW w:w="421" w:type="dxa"/>
          </w:tcPr>
          <w:p w14:paraId="7E611919"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w:t>
            </w:r>
          </w:p>
        </w:tc>
        <w:tc>
          <w:tcPr>
            <w:tcW w:w="8929" w:type="dxa"/>
          </w:tcPr>
          <w:p w14:paraId="6E0CC0A7"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Proširivanje tržišnih segmenata (baze kupaca) poduzeća preuzimatelja širenjem ponude na postojećem ili novom tržištu – destinaciji</w:t>
            </w:r>
          </w:p>
        </w:tc>
      </w:tr>
      <w:tr w:rsidR="006571B5" w:rsidRPr="0039358D" w14:paraId="50D02C95" w14:textId="77777777" w:rsidTr="0039358D">
        <w:trPr>
          <w:trHeight w:val="1047"/>
        </w:trPr>
        <w:tc>
          <w:tcPr>
            <w:tcW w:w="421" w:type="dxa"/>
          </w:tcPr>
          <w:p w14:paraId="2A0A9FC9"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3</w:t>
            </w:r>
          </w:p>
        </w:tc>
        <w:tc>
          <w:tcPr>
            <w:tcW w:w="8929" w:type="dxa"/>
          </w:tcPr>
          <w:p w14:paraId="74A09DBC"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Povećanje kapaciteta pouzeća preuzimatelja (uz manje kapitalne i operativne troškove nego li što bi to bilo u slučaju izgradnje novih vlastitih objekata)</w:t>
            </w:r>
          </w:p>
        </w:tc>
      </w:tr>
      <w:tr w:rsidR="006571B5" w:rsidRPr="0039358D" w14:paraId="2410FEF9" w14:textId="77777777" w:rsidTr="0039358D">
        <w:trPr>
          <w:trHeight w:val="758"/>
        </w:trPr>
        <w:tc>
          <w:tcPr>
            <w:tcW w:w="9350" w:type="dxa"/>
            <w:gridSpan w:val="2"/>
          </w:tcPr>
          <w:p w14:paraId="2892D563" w14:textId="593C4E6C" w:rsidR="006571B5" w:rsidRPr="0039358D" w:rsidRDefault="006571B5" w:rsidP="0039358D">
            <w:pPr>
              <w:spacing w:after="160" w:line="259" w:lineRule="auto"/>
              <w:jc w:val="center"/>
              <w:rPr>
                <w:rFonts w:ascii="Times New Roman" w:hAnsi="Times New Roman" w:cs="Times New Roman"/>
                <w:b/>
                <w:lang w:val="en-GB"/>
              </w:rPr>
            </w:pPr>
            <w:r w:rsidRPr="0039358D">
              <w:rPr>
                <w:rFonts w:ascii="Times New Roman" w:hAnsi="Times New Roman" w:cs="Times New Roman"/>
                <w:b/>
                <w:lang w:val="en-GB"/>
              </w:rPr>
              <w:t>KLJUČNI ČIMBENICI USPJEHA PROCESA SPAJANJA I PREUZIMANJA PRIJE PREUZIMANJA PODUZEĆA METE</w:t>
            </w:r>
          </w:p>
        </w:tc>
      </w:tr>
      <w:tr w:rsidR="006571B5" w:rsidRPr="0039358D" w14:paraId="507AEF5D" w14:textId="77777777" w:rsidTr="0039358D">
        <w:trPr>
          <w:trHeight w:val="1047"/>
        </w:trPr>
        <w:tc>
          <w:tcPr>
            <w:tcW w:w="421" w:type="dxa"/>
          </w:tcPr>
          <w:p w14:paraId="3B125F4A"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4</w:t>
            </w:r>
          </w:p>
        </w:tc>
        <w:tc>
          <w:tcPr>
            <w:tcW w:w="8929" w:type="dxa"/>
          </w:tcPr>
          <w:p w14:paraId="4ADE62A3"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Dobra procjena potencijalne operativne sinergije poduzeća mete na poduzeće preuzimatelja </w:t>
            </w:r>
            <w:r w:rsidRPr="0039358D">
              <w:rPr>
                <w:rFonts w:ascii="Times New Roman" w:hAnsi="Times New Roman" w:cs="Times New Roman"/>
                <w:lang w:val="en-GB"/>
              </w:rPr>
              <w:br/>
              <w:t>(tj. poboljšanu operativnu učinkovitost)</w:t>
            </w:r>
          </w:p>
        </w:tc>
      </w:tr>
      <w:tr w:rsidR="006571B5" w:rsidRPr="0039358D" w14:paraId="04E0679B" w14:textId="77777777" w:rsidTr="0039358D">
        <w:trPr>
          <w:trHeight w:val="747"/>
        </w:trPr>
        <w:tc>
          <w:tcPr>
            <w:tcW w:w="421" w:type="dxa"/>
          </w:tcPr>
          <w:p w14:paraId="173DAF0F"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5</w:t>
            </w:r>
          </w:p>
        </w:tc>
        <w:tc>
          <w:tcPr>
            <w:tcW w:w="8929" w:type="dxa"/>
          </w:tcPr>
          <w:p w14:paraId="347197FC" w14:textId="77777777" w:rsidR="006571B5" w:rsidRPr="0039358D" w:rsidRDefault="006571B5" w:rsidP="006571B5">
            <w:pPr>
              <w:spacing w:line="259" w:lineRule="auto"/>
              <w:rPr>
                <w:rFonts w:ascii="Times New Roman" w:hAnsi="Times New Roman" w:cs="Times New Roman"/>
                <w:lang w:val="it-IT"/>
              </w:rPr>
            </w:pPr>
            <w:r w:rsidRPr="0039358D">
              <w:rPr>
                <w:rFonts w:ascii="Times New Roman" w:hAnsi="Times New Roman" w:cs="Times New Roman"/>
                <w:lang w:val="it-IT"/>
              </w:rPr>
              <w:t>Imidž turističke destinacije u kojoj posluje poduzeće meta</w:t>
            </w:r>
          </w:p>
        </w:tc>
      </w:tr>
      <w:tr w:rsidR="006571B5" w:rsidRPr="0039358D" w14:paraId="476FC01D" w14:textId="77777777" w:rsidTr="0039358D">
        <w:trPr>
          <w:trHeight w:val="448"/>
        </w:trPr>
        <w:tc>
          <w:tcPr>
            <w:tcW w:w="421" w:type="dxa"/>
          </w:tcPr>
          <w:p w14:paraId="2FF35C9B" w14:textId="77777777" w:rsidR="006571B5" w:rsidRPr="0039358D" w:rsidRDefault="006571B5" w:rsidP="006571B5">
            <w:pPr>
              <w:spacing w:after="160" w:line="259" w:lineRule="auto"/>
              <w:rPr>
                <w:rFonts w:ascii="Times New Roman" w:hAnsi="Times New Roman" w:cs="Times New Roman"/>
                <w:lang w:val="it-IT"/>
              </w:rPr>
            </w:pPr>
            <w:r w:rsidRPr="0039358D">
              <w:rPr>
                <w:rFonts w:ascii="Times New Roman" w:hAnsi="Times New Roman" w:cs="Times New Roman"/>
                <w:lang w:val="it-IT"/>
              </w:rPr>
              <w:t>6</w:t>
            </w:r>
          </w:p>
        </w:tc>
        <w:tc>
          <w:tcPr>
            <w:tcW w:w="8929" w:type="dxa"/>
          </w:tcPr>
          <w:p w14:paraId="26348219" w14:textId="77777777" w:rsidR="006571B5" w:rsidRPr="0039358D" w:rsidRDefault="006571B5" w:rsidP="006571B5">
            <w:pPr>
              <w:spacing w:line="259" w:lineRule="auto"/>
              <w:rPr>
                <w:rFonts w:ascii="Times New Roman" w:hAnsi="Times New Roman" w:cs="Times New Roman"/>
                <w:lang w:val="en-US"/>
              </w:rPr>
            </w:pPr>
            <w:r w:rsidRPr="0039358D">
              <w:rPr>
                <w:rFonts w:ascii="Times New Roman" w:hAnsi="Times New Roman" w:cs="Times New Roman"/>
                <w:lang w:val="en-US"/>
              </w:rPr>
              <w:t xml:space="preserve">Lokacija poduzeća mete </w:t>
            </w:r>
          </w:p>
        </w:tc>
      </w:tr>
      <w:tr w:rsidR="006571B5" w:rsidRPr="0039358D" w14:paraId="44D61751" w14:textId="77777777" w:rsidTr="0039358D">
        <w:trPr>
          <w:trHeight w:val="448"/>
        </w:trPr>
        <w:tc>
          <w:tcPr>
            <w:tcW w:w="421" w:type="dxa"/>
          </w:tcPr>
          <w:p w14:paraId="2529F9DE" w14:textId="77777777" w:rsidR="006571B5" w:rsidRPr="0039358D" w:rsidRDefault="006571B5" w:rsidP="006571B5">
            <w:pPr>
              <w:spacing w:after="160" w:line="259" w:lineRule="auto"/>
              <w:rPr>
                <w:rFonts w:ascii="Times New Roman" w:hAnsi="Times New Roman" w:cs="Times New Roman"/>
                <w:lang w:val="en-US"/>
              </w:rPr>
            </w:pPr>
            <w:r w:rsidRPr="0039358D">
              <w:rPr>
                <w:rFonts w:ascii="Times New Roman" w:hAnsi="Times New Roman" w:cs="Times New Roman"/>
                <w:lang w:val="en-US"/>
              </w:rPr>
              <w:t>7</w:t>
            </w:r>
          </w:p>
        </w:tc>
        <w:tc>
          <w:tcPr>
            <w:tcW w:w="8929" w:type="dxa"/>
          </w:tcPr>
          <w:p w14:paraId="5663919D" w14:textId="77777777" w:rsidR="006571B5" w:rsidRPr="0039358D" w:rsidRDefault="006571B5" w:rsidP="006571B5">
            <w:pPr>
              <w:spacing w:line="259" w:lineRule="auto"/>
              <w:rPr>
                <w:rFonts w:ascii="Times New Roman" w:hAnsi="Times New Roman" w:cs="Times New Roman"/>
                <w:lang w:val="en-US"/>
              </w:rPr>
            </w:pPr>
            <w:r w:rsidRPr="0039358D">
              <w:rPr>
                <w:rFonts w:ascii="Times New Roman" w:hAnsi="Times New Roman" w:cs="Times New Roman"/>
                <w:lang w:val="en-US"/>
              </w:rPr>
              <w:t xml:space="preserve">Dubinsko snimanje poduzeća mete </w:t>
            </w:r>
          </w:p>
        </w:tc>
      </w:tr>
      <w:tr w:rsidR="006571B5" w:rsidRPr="0039358D" w14:paraId="7861FA85" w14:textId="77777777" w:rsidTr="0039358D">
        <w:trPr>
          <w:trHeight w:val="747"/>
        </w:trPr>
        <w:tc>
          <w:tcPr>
            <w:tcW w:w="421" w:type="dxa"/>
          </w:tcPr>
          <w:p w14:paraId="64494BC0"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8</w:t>
            </w:r>
          </w:p>
        </w:tc>
        <w:tc>
          <w:tcPr>
            <w:tcW w:w="8929" w:type="dxa"/>
          </w:tcPr>
          <w:p w14:paraId="6AEBEFF8"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Potreba kapitalnih izdataka kod poduzeća mete (npr. potencijalni troškovi obnove nekretnina)</w:t>
            </w:r>
          </w:p>
        </w:tc>
      </w:tr>
      <w:tr w:rsidR="006571B5" w:rsidRPr="0039358D" w14:paraId="7626AA3B" w14:textId="77777777" w:rsidTr="0039358D">
        <w:trPr>
          <w:trHeight w:val="747"/>
        </w:trPr>
        <w:tc>
          <w:tcPr>
            <w:tcW w:w="421" w:type="dxa"/>
          </w:tcPr>
          <w:p w14:paraId="61D4C337"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9</w:t>
            </w:r>
          </w:p>
        </w:tc>
        <w:tc>
          <w:tcPr>
            <w:tcW w:w="8929" w:type="dxa"/>
          </w:tcPr>
          <w:p w14:paraId="3A51FB68"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Potencijalni učinak na jačanje marke i reputacije poduzeća preuzimatelja</w:t>
            </w:r>
          </w:p>
        </w:tc>
      </w:tr>
      <w:tr w:rsidR="006571B5" w:rsidRPr="0039358D" w14:paraId="011EFC02" w14:textId="77777777" w:rsidTr="0039358D">
        <w:trPr>
          <w:trHeight w:val="747"/>
        </w:trPr>
        <w:tc>
          <w:tcPr>
            <w:tcW w:w="421" w:type="dxa"/>
          </w:tcPr>
          <w:p w14:paraId="445D9763"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10</w:t>
            </w:r>
          </w:p>
        </w:tc>
        <w:tc>
          <w:tcPr>
            <w:tcW w:w="8929" w:type="dxa"/>
          </w:tcPr>
          <w:p w14:paraId="558597D7"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Strateška povezanost između poduzeća preuzimatelja i poduzeća mete </w:t>
            </w:r>
          </w:p>
        </w:tc>
      </w:tr>
      <w:tr w:rsidR="006571B5" w:rsidRPr="0039358D" w14:paraId="3F45F096" w14:textId="77777777" w:rsidTr="0039358D">
        <w:trPr>
          <w:trHeight w:val="1047"/>
        </w:trPr>
        <w:tc>
          <w:tcPr>
            <w:tcW w:w="421" w:type="dxa"/>
          </w:tcPr>
          <w:p w14:paraId="1CB69798"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11</w:t>
            </w:r>
          </w:p>
        </w:tc>
        <w:tc>
          <w:tcPr>
            <w:tcW w:w="8929" w:type="dxa"/>
          </w:tcPr>
          <w:p w14:paraId="23E264E8"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Sadašnja vrijednost očekivanih sinergija preuzimanja za poduzeće preuzimatelja će biti veća od plaćenih premija </w:t>
            </w:r>
          </w:p>
        </w:tc>
      </w:tr>
      <w:tr w:rsidR="006571B5" w:rsidRPr="0039358D" w14:paraId="37A2521D" w14:textId="77777777" w:rsidTr="0039358D">
        <w:trPr>
          <w:trHeight w:val="448"/>
        </w:trPr>
        <w:tc>
          <w:tcPr>
            <w:tcW w:w="421" w:type="dxa"/>
          </w:tcPr>
          <w:p w14:paraId="792B7395"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lastRenderedPageBreak/>
              <w:t>12</w:t>
            </w:r>
          </w:p>
        </w:tc>
        <w:tc>
          <w:tcPr>
            <w:tcW w:w="8929" w:type="dxa"/>
          </w:tcPr>
          <w:p w14:paraId="12FE0F6C" w14:textId="77777777" w:rsidR="006571B5" w:rsidRPr="0039358D" w:rsidRDefault="006571B5" w:rsidP="006571B5">
            <w:pPr>
              <w:spacing w:line="259" w:lineRule="auto"/>
              <w:rPr>
                <w:rFonts w:ascii="Times New Roman" w:hAnsi="Times New Roman" w:cs="Times New Roman"/>
                <w:lang w:val="en-US"/>
              </w:rPr>
            </w:pPr>
            <w:r w:rsidRPr="0039358D">
              <w:rPr>
                <w:rFonts w:ascii="Times New Roman" w:hAnsi="Times New Roman" w:cs="Times New Roman"/>
                <w:lang w:val="en-US"/>
              </w:rPr>
              <w:t xml:space="preserve">Iznos akvizicijske premije </w:t>
            </w:r>
          </w:p>
        </w:tc>
      </w:tr>
      <w:tr w:rsidR="006571B5" w:rsidRPr="0039358D" w14:paraId="4E020E6C" w14:textId="77777777" w:rsidTr="0039358D">
        <w:trPr>
          <w:trHeight w:val="1047"/>
        </w:trPr>
        <w:tc>
          <w:tcPr>
            <w:tcW w:w="421" w:type="dxa"/>
          </w:tcPr>
          <w:p w14:paraId="6934FEFF"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13</w:t>
            </w:r>
          </w:p>
        </w:tc>
        <w:tc>
          <w:tcPr>
            <w:tcW w:w="8929" w:type="dxa"/>
          </w:tcPr>
          <w:p w14:paraId="31275C06"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Potencijalna upravljačka sinergija (tj. poboljšani konkurentni položaj poduzeća mete prijenosom upravljačkog znanja poduzeća preuzimatelja)</w:t>
            </w:r>
          </w:p>
        </w:tc>
      </w:tr>
      <w:tr w:rsidR="006571B5" w:rsidRPr="0039358D" w14:paraId="7BFB3F9A" w14:textId="77777777" w:rsidTr="0039358D">
        <w:trPr>
          <w:trHeight w:val="747"/>
        </w:trPr>
        <w:tc>
          <w:tcPr>
            <w:tcW w:w="421" w:type="dxa"/>
          </w:tcPr>
          <w:p w14:paraId="3FF02093"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14</w:t>
            </w:r>
          </w:p>
        </w:tc>
        <w:tc>
          <w:tcPr>
            <w:tcW w:w="8929" w:type="dxa"/>
          </w:tcPr>
          <w:p w14:paraId="7A1E6AFC"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Cijena ponude (akvizicije) temelji se na konkurentnom položaju poduzeća mete u hotelskom sektoru</w:t>
            </w:r>
          </w:p>
        </w:tc>
      </w:tr>
      <w:tr w:rsidR="006571B5" w:rsidRPr="0039358D" w14:paraId="28520589" w14:textId="77777777" w:rsidTr="0039358D">
        <w:trPr>
          <w:trHeight w:val="596"/>
        </w:trPr>
        <w:tc>
          <w:tcPr>
            <w:tcW w:w="9350" w:type="dxa"/>
            <w:gridSpan w:val="2"/>
          </w:tcPr>
          <w:p w14:paraId="70C3F319" w14:textId="77777777" w:rsidR="006571B5" w:rsidRPr="0039358D" w:rsidRDefault="006571B5" w:rsidP="0039358D">
            <w:pPr>
              <w:spacing w:after="160" w:line="259" w:lineRule="auto"/>
              <w:jc w:val="center"/>
              <w:rPr>
                <w:rFonts w:ascii="Times New Roman" w:hAnsi="Times New Roman" w:cs="Times New Roman"/>
                <w:lang w:val="it-IT"/>
              </w:rPr>
            </w:pPr>
            <w:r w:rsidRPr="0039358D">
              <w:rPr>
                <w:rFonts w:ascii="Times New Roman" w:hAnsi="Times New Roman" w:cs="Times New Roman"/>
                <w:b/>
                <w:bCs/>
                <w:lang w:val="it-IT"/>
              </w:rPr>
              <w:t>KLJUČNI ČIMBENICI USPJEHA PROCESA SPAJANJA I PREUZIMANJA U FAZI INTEGRACIJE</w:t>
            </w:r>
          </w:p>
        </w:tc>
      </w:tr>
      <w:tr w:rsidR="006571B5" w:rsidRPr="0039358D" w14:paraId="1C26AAE4" w14:textId="77777777" w:rsidTr="0039358D">
        <w:trPr>
          <w:trHeight w:val="1346"/>
        </w:trPr>
        <w:tc>
          <w:tcPr>
            <w:tcW w:w="421" w:type="dxa"/>
          </w:tcPr>
          <w:p w14:paraId="6DAB318F"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16</w:t>
            </w:r>
          </w:p>
        </w:tc>
        <w:tc>
          <w:tcPr>
            <w:tcW w:w="8929" w:type="dxa"/>
          </w:tcPr>
          <w:p w14:paraId="5B991E27"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Definiranje nove strategije razvoja poduzeća nakon akvizicije (novog zajedničkog poduzeća ili pak svakog pojedinog poduzeća koje je sudjelovalo u procesu akvizicije ako ostaju kao samostalne pravne osobe)</w:t>
            </w:r>
          </w:p>
        </w:tc>
      </w:tr>
      <w:tr w:rsidR="006571B5" w:rsidRPr="0039358D" w14:paraId="2A74B6BD" w14:textId="77777777" w:rsidTr="0039358D">
        <w:trPr>
          <w:trHeight w:val="1346"/>
        </w:trPr>
        <w:tc>
          <w:tcPr>
            <w:tcW w:w="421" w:type="dxa"/>
          </w:tcPr>
          <w:p w14:paraId="1276B5D0"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17</w:t>
            </w:r>
          </w:p>
        </w:tc>
        <w:tc>
          <w:tcPr>
            <w:tcW w:w="8929" w:type="dxa"/>
          </w:tcPr>
          <w:p w14:paraId="6F299CE4"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Detektiranje i zadržavanje ključnih zaposlenika i menadžere poduzeća mete ako poduzeća koja su sudjelovala u akvizicijskom procesu ostaju kao samostalne pravne osobe</w:t>
            </w:r>
          </w:p>
        </w:tc>
      </w:tr>
      <w:tr w:rsidR="006571B5" w:rsidRPr="0039358D" w14:paraId="0090A75E" w14:textId="77777777" w:rsidTr="0039358D">
        <w:trPr>
          <w:trHeight w:val="747"/>
        </w:trPr>
        <w:tc>
          <w:tcPr>
            <w:tcW w:w="421" w:type="dxa"/>
          </w:tcPr>
          <w:p w14:paraId="5A933751"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18</w:t>
            </w:r>
          </w:p>
        </w:tc>
        <w:tc>
          <w:tcPr>
            <w:tcW w:w="8929" w:type="dxa"/>
          </w:tcPr>
          <w:p w14:paraId="5CBE0347" w14:textId="77777777" w:rsidR="006571B5" w:rsidRPr="0039358D" w:rsidRDefault="006571B5" w:rsidP="006571B5">
            <w:pPr>
              <w:spacing w:line="259" w:lineRule="auto"/>
              <w:rPr>
                <w:rFonts w:ascii="Times New Roman" w:hAnsi="Times New Roman" w:cs="Times New Roman"/>
                <w:lang w:val="it-IT"/>
              </w:rPr>
            </w:pPr>
            <w:r w:rsidRPr="0039358D">
              <w:rPr>
                <w:rFonts w:ascii="Times New Roman" w:hAnsi="Times New Roman" w:cs="Times New Roman"/>
                <w:lang w:val="it-IT"/>
              </w:rPr>
              <w:t>Osiguranje resursa potrebnih za integraciju nakon procesa akvizicije</w:t>
            </w:r>
          </w:p>
        </w:tc>
      </w:tr>
      <w:tr w:rsidR="006571B5" w:rsidRPr="0039358D" w14:paraId="1F2B10EC" w14:textId="77777777" w:rsidTr="0039358D">
        <w:trPr>
          <w:trHeight w:val="463"/>
        </w:trPr>
        <w:tc>
          <w:tcPr>
            <w:tcW w:w="421" w:type="dxa"/>
          </w:tcPr>
          <w:p w14:paraId="48717C31" w14:textId="77777777" w:rsidR="006571B5" w:rsidRPr="0039358D" w:rsidRDefault="006571B5" w:rsidP="006571B5">
            <w:pPr>
              <w:spacing w:after="160" w:line="259" w:lineRule="auto"/>
              <w:rPr>
                <w:rFonts w:ascii="Times New Roman" w:hAnsi="Times New Roman" w:cs="Times New Roman"/>
                <w:lang w:val="it-IT"/>
              </w:rPr>
            </w:pPr>
            <w:r w:rsidRPr="0039358D">
              <w:rPr>
                <w:rFonts w:ascii="Times New Roman" w:hAnsi="Times New Roman" w:cs="Times New Roman"/>
                <w:lang w:val="it-IT"/>
              </w:rPr>
              <w:t>19</w:t>
            </w:r>
          </w:p>
        </w:tc>
        <w:tc>
          <w:tcPr>
            <w:tcW w:w="8929" w:type="dxa"/>
          </w:tcPr>
          <w:p w14:paraId="44B642BC" w14:textId="77777777" w:rsidR="006571B5" w:rsidRPr="0039358D" w:rsidRDefault="006571B5" w:rsidP="006571B5">
            <w:pPr>
              <w:spacing w:line="259" w:lineRule="auto"/>
              <w:rPr>
                <w:rFonts w:ascii="Times New Roman" w:hAnsi="Times New Roman" w:cs="Times New Roman"/>
                <w:lang w:val="it-IT"/>
              </w:rPr>
            </w:pPr>
            <w:r w:rsidRPr="0039358D">
              <w:rPr>
                <w:rFonts w:ascii="Times New Roman" w:hAnsi="Times New Roman" w:cs="Times New Roman"/>
                <w:lang w:val="it-IT"/>
              </w:rPr>
              <w:t>Brza integracija radi ostvarivanja zacrtanog plana</w:t>
            </w:r>
          </w:p>
        </w:tc>
      </w:tr>
      <w:tr w:rsidR="006571B5" w:rsidRPr="0039358D" w14:paraId="2DBEC1B4" w14:textId="77777777" w:rsidTr="0039358D">
        <w:trPr>
          <w:trHeight w:val="747"/>
        </w:trPr>
        <w:tc>
          <w:tcPr>
            <w:tcW w:w="421" w:type="dxa"/>
          </w:tcPr>
          <w:p w14:paraId="5234F36B" w14:textId="77777777" w:rsidR="006571B5" w:rsidRPr="0039358D" w:rsidRDefault="006571B5" w:rsidP="006571B5">
            <w:pPr>
              <w:spacing w:after="160" w:line="259" w:lineRule="auto"/>
              <w:rPr>
                <w:rFonts w:ascii="Times New Roman" w:hAnsi="Times New Roman" w:cs="Times New Roman"/>
                <w:lang w:val="it-IT"/>
              </w:rPr>
            </w:pPr>
            <w:r w:rsidRPr="0039358D">
              <w:rPr>
                <w:rFonts w:ascii="Times New Roman" w:hAnsi="Times New Roman" w:cs="Times New Roman"/>
                <w:lang w:val="it-IT"/>
              </w:rPr>
              <w:t>20</w:t>
            </w:r>
          </w:p>
        </w:tc>
        <w:tc>
          <w:tcPr>
            <w:tcW w:w="8929" w:type="dxa"/>
          </w:tcPr>
          <w:p w14:paraId="546B26DD" w14:textId="77777777" w:rsidR="006571B5" w:rsidRPr="0039358D" w:rsidRDefault="006571B5" w:rsidP="006571B5">
            <w:pPr>
              <w:spacing w:line="259" w:lineRule="auto"/>
              <w:rPr>
                <w:rFonts w:ascii="Times New Roman" w:hAnsi="Times New Roman" w:cs="Times New Roman"/>
                <w:lang w:val="it-IT"/>
              </w:rPr>
            </w:pPr>
            <w:r w:rsidRPr="0039358D">
              <w:rPr>
                <w:rFonts w:ascii="Times New Roman" w:hAnsi="Times New Roman" w:cs="Times New Roman"/>
                <w:lang w:val="it-IT"/>
              </w:rPr>
              <w:t>Odlučan i pravedan odnos prema zaposlenicima koje je potrebno otpustiti</w:t>
            </w:r>
          </w:p>
        </w:tc>
      </w:tr>
      <w:tr w:rsidR="006571B5" w:rsidRPr="0039358D" w14:paraId="4F799E43" w14:textId="77777777" w:rsidTr="0039358D">
        <w:trPr>
          <w:trHeight w:val="1047"/>
        </w:trPr>
        <w:tc>
          <w:tcPr>
            <w:tcW w:w="421" w:type="dxa"/>
          </w:tcPr>
          <w:p w14:paraId="0A19F2EE"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21</w:t>
            </w:r>
          </w:p>
        </w:tc>
        <w:tc>
          <w:tcPr>
            <w:tcW w:w="8929" w:type="dxa"/>
          </w:tcPr>
          <w:p w14:paraId="20895474"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Uspostaviti odgovarajuće unutarnje mehanizme za prijenos kompetencija i sredstava između poslovnih jedinica </w:t>
            </w:r>
          </w:p>
        </w:tc>
      </w:tr>
      <w:tr w:rsidR="006571B5" w:rsidRPr="0039358D" w14:paraId="35461842" w14:textId="77777777" w:rsidTr="0039358D">
        <w:trPr>
          <w:trHeight w:val="1346"/>
        </w:trPr>
        <w:tc>
          <w:tcPr>
            <w:tcW w:w="421" w:type="dxa"/>
          </w:tcPr>
          <w:p w14:paraId="07B94C0E"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22</w:t>
            </w:r>
          </w:p>
        </w:tc>
        <w:tc>
          <w:tcPr>
            <w:tcW w:w="8929" w:type="dxa"/>
          </w:tcPr>
          <w:p w14:paraId="6AA77526"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Identificiranje prilika za poboljšanje konkurentske pozicije novostvorenog zajedničkog poduzeća ili oba poduzeća koja su sudjelovala u procesu spajanja i preuzimanja, ali su ostala kao samostalne pravne osobe</w:t>
            </w:r>
          </w:p>
        </w:tc>
      </w:tr>
      <w:tr w:rsidR="006571B5" w:rsidRPr="0039358D" w14:paraId="419FF240" w14:textId="77777777" w:rsidTr="0039358D">
        <w:trPr>
          <w:trHeight w:val="747"/>
        </w:trPr>
        <w:tc>
          <w:tcPr>
            <w:tcW w:w="421" w:type="dxa"/>
          </w:tcPr>
          <w:p w14:paraId="5D1D7391"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23</w:t>
            </w:r>
          </w:p>
        </w:tc>
        <w:tc>
          <w:tcPr>
            <w:tcW w:w="8929" w:type="dxa"/>
          </w:tcPr>
          <w:p w14:paraId="4DE7687A"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Postavljanje nove upravljačke strukture u poduzeću meti </w:t>
            </w:r>
          </w:p>
        </w:tc>
      </w:tr>
      <w:tr w:rsidR="006571B5" w:rsidRPr="0039358D" w14:paraId="738F5841" w14:textId="77777777" w:rsidTr="00BB4209">
        <w:trPr>
          <w:trHeight w:val="659"/>
        </w:trPr>
        <w:tc>
          <w:tcPr>
            <w:tcW w:w="9350" w:type="dxa"/>
            <w:gridSpan w:val="2"/>
          </w:tcPr>
          <w:p w14:paraId="301D6A9A" w14:textId="77777777" w:rsidR="006571B5" w:rsidRPr="0039358D" w:rsidRDefault="006571B5" w:rsidP="0039358D">
            <w:pPr>
              <w:spacing w:after="160" w:line="259" w:lineRule="auto"/>
              <w:jc w:val="center"/>
              <w:rPr>
                <w:rFonts w:ascii="Times New Roman" w:hAnsi="Times New Roman" w:cs="Times New Roman"/>
                <w:lang w:val="en-GB"/>
              </w:rPr>
            </w:pPr>
            <w:r w:rsidRPr="0039358D">
              <w:rPr>
                <w:rFonts w:ascii="Times New Roman" w:hAnsi="Times New Roman" w:cs="Times New Roman"/>
                <w:b/>
                <w:bCs/>
                <w:lang w:val="en-GB"/>
              </w:rPr>
              <w:t>KLJUČNI ČIMBENICI USPJEHA PROCESA SPAJANJA I PREUZIMANJA NAKON ZAVRŠETKA FAZE INTEGRACIJE (U POST-AKVIZICIJSKOJ FAZI)</w:t>
            </w:r>
          </w:p>
        </w:tc>
      </w:tr>
      <w:tr w:rsidR="006571B5" w:rsidRPr="0039358D" w14:paraId="2A6012DC" w14:textId="77777777" w:rsidTr="0039358D">
        <w:trPr>
          <w:trHeight w:val="1047"/>
        </w:trPr>
        <w:tc>
          <w:tcPr>
            <w:tcW w:w="421" w:type="dxa"/>
          </w:tcPr>
          <w:p w14:paraId="5D39AC4C"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24</w:t>
            </w:r>
          </w:p>
        </w:tc>
        <w:tc>
          <w:tcPr>
            <w:tcW w:w="8929" w:type="dxa"/>
          </w:tcPr>
          <w:p w14:paraId="0893D507"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 xml:space="preserve">Novčani tijek iz operacija (prodaja umanjena za troškove prodanih dobara i usluga, administrativne troškove uvećano za depricijaciju i </w:t>
            </w:r>
            <w:r w:rsidRPr="0039358D">
              <w:rPr>
                <w:rFonts w:ascii="Times New Roman" w:hAnsi="Times New Roman" w:cs="Times New Roman"/>
                <w:i/>
                <w:lang w:val="en-GB"/>
              </w:rPr>
              <w:t>goodwill</w:t>
            </w:r>
            <w:r w:rsidRPr="0039358D">
              <w:rPr>
                <w:rFonts w:ascii="Times New Roman" w:hAnsi="Times New Roman" w:cs="Times New Roman"/>
                <w:lang w:val="en-GB"/>
              </w:rPr>
              <w:t>)</w:t>
            </w:r>
          </w:p>
        </w:tc>
      </w:tr>
      <w:tr w:rsidR="006571B5" w:rsidRPr="0039358D" w14:paraId="47A19260" w14:textId="77777777" w:rsidTr="0039358D">
        <w:trPr>
          <w:trHeight w:val="747"/>
        </w:trPr>
        <w:tc>
          <w:tcPr>
            <w:tcW w:w="421" w:type="dxa"/>
          </w:tcPr>
          <w:p w14:paraId="42C046EE"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lastRenderedPageBreak/>
              <w:t>25</w:t>
            </w:r>
          </w:p>
        </w:tc>
        <w:tc>
          <w:tcPr>
            <w:tcW w:w="8929" w:type="dxa"/>
          </w:tcPr>
          <w:p w14:paraId="656DFD76" w14:textId="77777777" w:rsidR="006571B5" w:rsidRPr="0039358D" w:rsidRDefault="006571B5" w:rsidP="006571B5">
            <w:pPr>
              <w:spacing w:line="259" w:lineRule="auto"/>
              <w:rPr>
                <w:rFonts w:ascii="Times New Roman" w:hAnsi="Times New Roman" w:cs="Times New Roman"/>
                <w:lang w:val="en-GB"/>
              </w:rPr>
            </w:pPr>
            <w:r w:rsidRPr="0039358D">
              <w:rPr>
                <w:rFonts w:ascii="Times New Roman" w:hAnsi="Times New Roman" w:cs="Times New Roman"/>
                <w:lang w:val="en-GB"/>
              </w:rPr>
              <w:t>Uobičajeni hotelski pokazatelji uspješnosti (ADR, stopa popunjenosti, REVPAR, TREVPAR)</w:t>
            </w:r>
          </w:p>
        </w:tc>
      </w:tr>
      <w:tr w:rsidR="006571B5" w:rsidRPr="0039358D" w14:paraId="2F51748B" w14:textId="77777777" w:rsidTr="0039358D">
        <w:trPr>
          <w:trHeight w:val="747"/>
        </w:trPr>
        <w:tc>
          <w:tcPr>
            <w:tcW w:w="421" w:type="dxa"/>
          </w:tcPr>
          <w:p w14:paraId="1C79460B"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26</w:t>
            </w:r>
          </w:p>
        </w:tc>
        <w:tc>
          <w:tcPr>
            <w:tcW w:w="8929" w:type="dxa"/>
          </w:tcPr>
          <w:p w14:paraId="7380CD50"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Promjena kretanja cijena dionica</w:t>
            </w:r>
          </w:p>
        </w:tc>
      </w:tr>
      <w:tr w:rsidR="006571B5" w:rsidRPr="00E2667C" w14:paraId="455A7644" w14:textId="77777777" w:rsidTr="0039358D">
        <w:trPr>
          <w:trHeight w:val="747"/>
        </w:trPr>
        <w:tc>
          <w:tcPr>
            <w:tcW w:w="421" w:type="dxa"/>
          </w:tcPr>
          <w:p w14:paraId="62F0C359"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27</w:t>
            </w:r>
          </w:p>
        </w:tc>
        <w:tc>
          <w:tcPr>
            <w:tcW w:w="8929" w:type="dxa"/>
          </w:tcPr>
          <w:p w14:paraId="498318C7" w14:textId="77777777" w:rsidR="006571B5" w:rsidRPr="0039358D" w:rsidRDefault="006571B5" w:rsidP="006571B5">
            <w:pPr>
              <w:spacing w:after="160" w:line="259" w:lineRule="auto"/>
              <w:rPr>
                <w:rFonts w:ascii="Times New Roman" w:hAnsi="Times New Roman" w:cs="Times New Roman"/>
                <w:lang w:val="en-GB"/>
              </w:rPr>
            </w:pPr>
            <w:r w:rsidRPr="0039358D">
              <w:rPr>
                <w:rFonts w:ascii="Times New Roman" w:hAnsi="Times New Roman" w:cs="Times New Roman"/>
                <w:lang w:val="en-GB"/>
              </w:rPr>
              <w:t>Prihvaćanje nove organizacijske strukture</w:t>
            </w:r>
          </w:p>
        </w:tc>
      </w:tr>
    </w:tbl>
    <w:p w14:paraId="3A77DEBA" w14:textId="77777777" w:rsidR="006571B5" w:rsidRPr="00E2667C" w:rsidRDefault="006571B5" w:rsidP="006571B5">
      <w:pPr>
        <w:rPr>
          <w:rFonts w:ascii="Times New Roman" w:hAnsi="Times New Roman" w:cs="Times New Roman"/>
          <w:highlight w:val="yellow"/>
          <w:lang w:val="en-GB"/>
        </w:rPr>
      </w:pPr>
    </w:p>
    <w:p w14:paraId="23A85F1D" w14:textId="77777777" w:rsidR="006571B5" w:rsidRPr="00E2667C" w:rsidRDefault="006571B5" w:rsidP="006571B5">
      <w:pPr>
        <w:rPr>
          <w:rFonts w:ascii="Times New Roman" w:hAnsi="Times New Roman" w:cs="Times New Roman"/>
          <w:highlight w:val="yellow"/>
          <w:lang w:val="en-GB"/>
        </w:rPr>
      </w:pPr>
      <w:r w:rsidRPr="00E2667C">
        <w:rPr>
          <w:rFonts w:ascii="Times New Roman" w:hAnsi="Times New Roman" w:cs="Times New Roman"/>
          <w:highlight w:val="yellow"/>
          <w:lang w:val="en-GB"/>
        </w:rPr>
        <w:br w:type="page"/>
      </w:r>
    </w:p>
    <w:p w14:paraId="06E3D44D" w14:textId="77777777" w:rsidR="0086761B" w:rsidRDefault="006571B5" w:rsidP="0039358D">
      <w:pPr>
        <w:spacing w:line="360" w:lineRule="auto"/>
        <w:rPr>
          <w:rFonts w:ascii="Times New Roman" w:hAnsi="Times New Roman" w:cs="Times New Roman"/>
          <w:b/>
          <w:lang w:val="it-IT"/>
        </w:rPr>
      </w:pPr>
      <w:r w:rsidRPr="0039358D">
        <w:rPr>
          <w:rFonts w:ascii="Times New Roman" w:hAnsi="Times New Roman" w:cs="Times New Roman"/>
          <w:b/>
          <w:lang w:val="it-IT"/>
        </w:rPr>
        <w:lastRenderedPageBreak/>
        <w:t>Prilog 4</w:t>
      </w:r>
    </w:p>
    <w:p w14:paraId="0D559156" w14:textId="65B90AE5" w:rsidR="006571B5" w:rsidRPr="0039358D" w:rsidRDefault="006571B5" w:rsidP="0039358D">
      <w:pPr>
        <w:spacing w:line="360" w:lineRule="auto"/>
        <w:rPr>
          <w:rFonts w:ascii="Times New Roman" w:hAnsi="Times New Roman" w:cs="Times New Roman"/>
          <w:b/>
          <w:lang w:val="it-IT"/>
        </w:rPr>
      </w:pPr>
      <w:r w:rsidRPr="0039358D">
        <w:rPr>
          <w:rFonts w:ascii="Times New Roman" w:hAnsi="Times New Roman" w:cs="Times New Roman"/>
          <w:b/>
          <w:lang w:val="it-IT"/>
        </w:rPr>
        <w:t xml:space="preserve"> Vodič za polustrukturirani intervju</w:t>
      </w:r>
    </w:p>
    <w:p w14:paraId="26B553C1"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1. MOTIVI ZA POKRETANJE PROCESA SPAJANJA I PREUZIMANJA</w:t>
      </w:r>
    </w:p>
    <w:p w14:paraId="155ADFD8"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Možete li ukratko opisati proces preuzimanja/spajanja u kojem ste sudjelovali?</w:t>
      </w:r>
    </w:p>
    <w:p w14:paraId="5A4A14F1"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Koji su bili glavni motivi poduzeća za ovaj proces?</w:t>
      </w:r>
      <w:r w:rsidRPr="0039358D">
        <w:rPr>
          <w:rFonts w:ascii="Times New Roman" w:hAnsi="Times New Roman" w:cs="Times New Roman"/>
          <w:lang w:val="it-IT"/>
        </w:rPr>
        <w:tab/>
      </w:r>
    </w:p>
    <w:p w14:paraId="67125995"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Je li se spajanje dogodilo zbog tržišnog širenja, sinergija, financijskih razloga ili nekih drugih čimbenika?</w:t>
      </w:r>
    </w:p>
    <w:tbl>
      <w:tblPr>
        <w:tblStyle w:val="TableGrid"/>
        <w:tblW w:w="8789" w:type="dxa"/>
        <w:tblInd w:w="704" w:type="dxa"/>
        <w:tblLook w:val="04A0" w:firstRow="1" w:lastRow="0" w:firstColumn="1" w:lastColumn="0" w:noHBand="0" w:noVBand="1"/>
      </w:tblPr>
      <w:tblGrid>
        <w:gridCol w:w="8789"/>
      </w:tblGrid>
      <w:tr w:rsidR="006571B5" w:rsidRPr="0039358D" w14:paraId="1572B454" w14:textId="77777777" w:rsidTr="00BB4209">
        <w:trPr>
          <w:trHeight w:val="288"/>
        </w:trPr>
        <w:tc>
          <w:tcPr>
            <w:tcW w:w="8789" w:type="dxa"/>
            <w:hideMark/>
          </w:tcPr>
          <w:p w14:paraId="4603A8E2"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Povećanje tržišnog udjela poduzeća preuzimatelja</w:t>
            </w:r>
          </w:p>
        </w:tc>
      </w:tr>
      <w:tr w:rsidR="006571B5" w:rsidRPr="0039358D" w14:paraId="09CF110C" w14:textId="77777777" w:rsidTr="00BB4209">
        <w:trPr>
          <w:trHeight w:val="576"/>
        </w:trPr>
        <w:tc>
          <w:tcPr>
            <w:tcW w:w="8789" w:type="dxa"/>
            <w:hideMark/>
          </w:tcPr>
          <w:p w14:paraId="6C7CC644"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Proširivanje tržišnih segmenata (baze kupaca) poduzeća preuzimatelja širenjem ponude na postojećem ili novom tržištu – destinaciji</w:t>
            </w:r>
          </w:p>
        </w:tc>
      </w:tr>
      <w:tr w:rsidR="006571B5" w:rsidRPr="0039358D" w14:paraId="598052FF" w14:textId="77777777" w:rsidTr="00BB4209">
        <w:trPr>
          <w:trHeight w:val="588"/>
        </w:trPr>
        <w:tc>
          <w:tcPr>
            <w:tcW w:w="8789" w:type="dxa"/>
            <w:hideMark/>
          </w:tcPr>
          <w:p w14:paraId="67CDB407"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Povećanje kapaciteta poduzeća preuzimatelja (uz manje kapitalne i operativne troškove nego li što bi to bilo u slučaju izgradnje novih vlastitih objekata)</w:t>
            </w:r>
          </w:p>
        </w:tc>
      </w:tr>
    </w:tbl>
    <w:p w14:paraId="2AFCF467" w14:textId="77777777" w:rsidR="006571B5" w:rsidRPr="0039358D" w:rsidRDefault="006571B5" w:rsidP="0039358D">
      <w:pPr>
        <w:spacing w:line="360" w:lineRule="auto"/>
        <w:rPr>
          <w:rFonts w:ascii="Times New Roman" w:hAnsi="Times New Roman" w:cs="Times New Roman"/>
          <w:lang w:val="it-IT"/>
        </w:rPr>
      </w:pPr>
    </w:p>
    <w:p w14:paraId="4538DF3F"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Uz naprijed navedene motive za pokretanje procesa konkretnog spajanja / preuzimanja u kojem je sudjelovalo vaše poduzeće postoji li još neki motiv koji biste posebno istaknuli.</w:t>
      </w:r>
    </w:p>
    <w:p w14:paraId="31D946D5"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Ako da, kako biste ocijenili važnost tog (tih) motiva na skali 1-5, pri čemu je 1= potpuno nevažno, 2=nevažno, 3=niti važno, ni nevažno, 4=važno i 5=izuzetno važno.</w:t>
      </w:r>
    </w:p>
    <w:p w14:paraId="777F3623" w14:textId="77777777" w:rsidR="006571B5" w:rsidRPr="0039358D" w:rsidRDefault="006571B5" w:rsidP="0039358D">
      <w:pPr>
        <w:spacing w:line="360" w:lineRule="auto"/>
        <w:rPr>
          <w:rFonts w:ascii="Times New Roman" w:hAnsi="Times New Roman" w:cs="Times New Roman"/>
          <w:lang w:val="it-IT"/>
        </w:rPr>
      </w:pPr>
    </w:p>
    <w:p w14:paraId="664CD7F8"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2. KLJUČNI ČIMBENICI USPJEHA PROCESA SPAJANJA I PREUZIMANJA PRIJE PREUZIMANJA PODUZEĆA METE</w:t>
      </w:r>
    </w:p>
    <w:p w14:paraId="2D063DA8"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Koji su bili ključni čimbenici u procjeni poduzeća mete prije preuzimanja?</w:t>
      </w:r>
    </w:p>
    <w:p w14:paraId="63781378"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Koliko su vam bile korisne prethodne procjene i financijske analize?</w:t>
      </w:r>
    </w:p>
    <w:tbl>
      <w:tblPr>
        <w:tblStyle w:val="TableGrid"/>
        <w:tblW w:w="0" w:type="auto"/>
        <w:tblInd w:w="704" w:type="dxa"/>
        <w:tblLook w:val="04A0" w:firstRow="1" w:lastRow="0" w:firstColumn="1" w:lastColumn="0" w:noHBand="0" w:noVBand="1"/>
      </w:tblPr>
      <w:tblGrid>
        <w:gridCol w:w="8646"/>
      </w:tblGrid>
      <w:tr w:rsidR="006571B5" w:rsidRPr="0039358D" w14:paraId="7AAC0166" w14:textId="77777777" w:rsidTr="00BB4209">
        <w:trPr>
          <w:trHeight w:val="288"/>
        </w:trPr>
        <w:tc>
          <w:tcPr>
            <w:tcW w:w="8646" w:type="dxa"/>
            <w:hideMark/>
          </w:tcPr>
          <w:p w14:paraId="108FE0B4"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Dobra procjena potencijalne operativne sinergije poduzeća mete na poduzeće preuzimatelja</w:t>
            </w:r>
          </w:p>
        </w:tc>
      </w:tr>
      <w:tr w:rsidR="006571B5" w:rsidRPr="0039358D" w14:paraId="33F743FC" w14:textId="77777777" w:rsidTr="00BB4209">
        <w:trPr>
          <w:trHeight w:val="288"/>
        </w:trPr>
        <w:tc>
          <w:tcPr>
            <w:tcW w:w="8646" w:type="dxa"/>
            <w:hideMark/>
          </w:tcPr>
          <w:p w14:paraId="33BEA61C"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(tj. poboljšanu operativnu učinkovitost)</w:t>
            </w:r>
          </w:p>
        </w:tc>
      </w:tr>
      <w:tr w:rsidR="006571B5" w:rsidRPr="0039358D" w14:paraId="52DDD460" w14:textId="77777777" w:rsidTr="00BB4209">
        <w:trPr>
          <w:trHeight w:val="288"/>
        </w:trPr>
        <w:tc>
          <w:tcPr>
            <w:tcW w:w="8646" w:type="dxa"/>
            <w:hideMark/>
          </w:tcPr>
          <w:p w14:paraId="2FF7DCC9"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Imidž turističke destinacije u kojoj posluje poduzeće meta</w:t>
            </w:r>
          </w:p>
        </w:tc>
      </w:tr>
      <w:tr w:rsidR="006571B5" w:rsidRPr="0039358D" w14:paraId="7FA4A9A9" w14:textId="77777777" w:rsidTr="00BB4209">
        <w:trPr>
          <w:trHeight w:val="288"/>
        </w:trPr>
        <w:tc>
          <w:tcPr>
            <w:tcW w:w="8646" w:type="dxa"/>
            <w:hideMark/>
          </w:tcPr>
          <w:p w14:paraId="23293A0C"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 xml:space="preserve">Lokacija poduzeća mete </w:t>
            </w:r>
          </w:p>
        </w:tc>
      </w:tr>
      <w:tr w:rsidR="006571B5" w:rsidRPr="0039358D" w14:paraId="05D79522" w14:textId="77777777" w:rsidTr="00BB4209">
        <w:trPr>
          <w:trHeight w:val="288"/>
        </w:trPr>
        <w:tc>
          <w:tcPr>
            <w:tcW w:w="8646" w:type="dxa"/>
            <w:hideMark/>
          </w:tcPr>
          <w:p w14:paraId="6B0DA749"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 xml:space="preserve">Dubinsko snimanje poduzeća mete </w:t>
            </w:r>
          </w:p>
        </w:tc>
      </w:tr>
      <w:tr w:rsidR="006571B5" w:rsidRPr="0039358D" w14:paraId="7DEADF9E" w14:textId="77777777" w:rsidTr="00BB4209">
        <w:trPr>
          <w:trHeight w:val="288"/>
        </w:trPr>
        <w:tc>
          <w:tcPr>
            <w:tcW w:w="8646" w:type="dxa"/>
            <w:hideMark/>
          </w:tcPr>
          <w:p w14:paraId="3A80E556"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Potreba kapitalnih izdataka kod poduzeća mete (npr. potencijalni troškovi obnove nekretnina)</w:t>
            </w:r>
          </w:p>
        </w:tc>
      </w:tr>
      <w:tr w:rsidR="006571B5" w:rsidRPr="0039358D" w14:paraId="0CA4278B" w14:textId="77777777" w:rsidTr="00BB4209">
        <w:trPr>
          <w:trHeight w:val="288"/>
        </w:trPr>
        <w:tc>
          <w:tcPr>
            <w:tcW w:w="8646" w:type="dxa"/>
            <w:hideMark/>
          </w:tcPr>
          <w:p w14:paraId="3691A643"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Potencijalni učinak na jačanje marke i reputacije poduzeća preuzimatelja</w:t>
            </w:r>
          </w:p>
        </w:tc>
      </w:tr>
      <w:tr w:rsidR="006571B5" w:rsidRPr="0039358D" w14:paraId="270F2C85" w14:textId="77777777" w:rsidTr="00BB4209">
        <w:trPr>
          <w:trHeight w:val="288"/>
        </w:trPr>
        <w:tc>
          <w:tcPr>
            <w:tcW w:w="8646" w:type="dxa"/>
            <w:hideMark/>
          </w:tcPr>
          <w:p w14:paraId="108DB2C0"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lastRenderedPageBreak/>
              <w:t xml:space="preserve">Strateška povezanost između poduzeća preuzimatelja i poduzeća mete </w:t>
            </w:r>
          </w:p>
        </w:tc>
      </w:tr>
      <w:tr w:rsidR="006571B5" w:rsidRPr="0039358D" w14:paraId="021A51DC" w14:textId="77777777" w:rsidTr="00BB4209">
        <w:trPr>
          <w:trHeight w:val="576"/>
        </w:trPr>
        <w:tc>
          <w:tcPr>
            <w:tcW w:w="8646" w:type="dxa"/>
            <w:hideMark/>
          </w:tcPr>
          <w:p w14:paraId="0C2BA9B6"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 xml:space="preserve">Sadašnja vrijednost očekivanih sinergija preuzimanja za poduzeće preuzimatelja će biti veća od plaćenih premija </w:t>
            </w:r>
          </w:p>
        </w:tc>
      </w:tr>
      <w:tr w:rsidR="006571B5" w:rsidRPr="0039358D" w14:paraId="4504B8CF" w14:textId="77777777" w:rsidTr="00BB4209">
        <w:trPr>
          <w:trHeight w:val="288"/>
        </w:trPr>
        <w:tc>
          <w:tcPr>
            <w:tcW w:w="8646" w:type="dxa"/>
            <w:hideMark/>
          </w:tcPr>
          <w:p w14:paraId="46C314E0"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 xml:space="preserve">Iznos akvizicijske premije </w:t>
            </w:r>
          </w:p>
        </w:tc>
      </w:tr>
      <w:tr w:rsidR="006571B5" w:rsidRPr="0039358D" w14:paraId="6F8E245B" w14:textId="77777777" w:rsidTr="00BB4209">
        <w:trPr>
          <w:trHeight w:val="576"/>
        </w:trPr>
        <w:tc>
          <w:tcPr>
            <w:tcW w:w="8646" w:type="dxa"/>
            <w:hideMark/>
          </w:tcPr>
          <w:p w14:paraId="6132A91A"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Potencijalna upravljačka sinergija (tj. poboljšani konkurentni položaj poduzeća mete prijenosom upravljačkog znanja poduzeća preuzimatelja)</w:t>
            </w:r>
          </w:p>
        </w:tc>
      </w:tr>
      <w:tr w:rsidR="006571B5" w:rsidRPr="0039358D" w14:paraId="4AF65928" w14:textId="77777777" w:rsidTr="00BB4209">
        <w:trPr>
          <w:trHeight w:val="588"/>
        </w:trPr>
        <w:tc>
          <w:tcPr>
            <w:tcW w:w="8646" w:type="dxa"/>
            <w:hideMark/>
          </w:tcPr>
          <w:p w14:paraId="3B15B610"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Cijena ponude (akvizicije) temelji se na konkurentnom položaju poduzeća mete u hotelskom sektoru</w:t>
            </w:r>
          </w:p>
        </w:tc>
      </w:tr>
    </w:tbl>
    <w:p w14:paraId="67C72919" w14:textId="77777777" w:rsidR="006571B5" w:rsidRPr="0039358D" w:rsidRDefault="006571B5" w:rsidP="0039358D">
      <w:pPr>
        <w:spacing w:line="360" w:lineRule="auto"/>
        <w:rPr>
          <w:rFonts w:ascii="Times New Roman" w:hAnsi="Times New Roman" w:cs="Times New Roman"/>
          <w:lang w:val="en-GB"/>
        </w:rPr>
      </w:pPr>
    </w:p>
    <w:p w14:paraId="5E808E8E"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Uz naprijed navedene čimbenike uspjeha procesa spajanja /preuzimanja prije samog preuzimanja poduzeća mete u kojem je sudjelovalo vaše poduzeće postoji li još neki motiv koji biste posebno istaknuli.</w:t>
      </w:r>
    </w:p>
    <w:p w14:paraId="15D27AE7" w14:textId="4A02ED79" w:rsidR="006571B5"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Ako da, kako biste ocijenili važnost tog (tih) motiva na skali 1-5, pri čemu je 1= potpuno nevažno, 2=nevažno, 3=niti važno, ni nevažno, 4=važno i 5=izuzetno važno.</w:t>
      </w:r>
    </w:p>
    <w:p w14:paraId="2521FCBC" w14:textId="77777777" w:rsidR="0086761B" w:rsidRPr="0039358D" w:rsidRDefault="0086761B" w:rsidP="0039358D">
      <w:pPr>
        <w:spacing w:line="360" w:lineRule="auto"/>
        <w:rPr>
          <w:rFonts w:ascii="Times New Roman" w:hAnsi="Times New Roman" w:cs="Times New Roman"/>
          <w:lang w:val="en-GB"/>
        </w:rPr>
      </w:pPr>
    </w:p>
    <w:p w14:paraId="0CDFD44A" w14:textId="7B08F024"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3. KLJUČNI ČIMBENICI USPJEHA PROCESA SPAJANJA I PREUZIMANJA U FAZI INTEGRACIJE</w:t>
      </w:r>
    </w:p>
    <w:p w14:paraId="01DFDDB9"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Koji su bili ključni koraci u procesu integracije nakon preuzimanja?</w:t>
      </w:r>
    </w:p>
    <w:p w14:paraId="0449B696"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Koje su bile glavne prepreke u usklađivanju menadžmenta i zaposlenika?</w:t>
      </w:r>
    </w:p>
    <w:p w14:paraId="1AEE4AB3"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Kako je organizacija upravljala mogućim otporom na promjene?</w:t>
      </w:r>
    </w:p>
    <w:tbl>
      <w:tblPr>
        <w:tblStyle w:val="TableGrid"/>
        <w:tblW w:w="8789" w:type="dxa"/>
        <w:tblInd w:w="704" w:type="dxa"/>
        <w:tblLook w:val="04A0" w:firstRow="1" w:lastRow="0" w:firstColumn="1" w:lastColumn="0" w:noHBand="0" w:noVBand="1"/>
      </w:tblPr>
      <w:tblGrid>
        <w:gridCol w:w="8789"/>
      </w:tblGrid>
      <w:tr w:rsidR="006571B5" w:rsidRPr="0039358D" w14:paraId="1FD15EC7" w14:textId="77777777" w:rsidTr="00BB4209">
        <w:trPr>
          <w:trHeight w:val="864"/>
        </w:trPr>
        <w:tc>
          <w:tcPr>
            <w:tcW w:w="8789" w:type="dxa"/>
            <w:hideMark/>
          </w:tcPr>
          <w:p w14:paraId="42B473F5"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Definiranje nove strategije razvoja poduzeća nakon akvizicije (novog zajedničkog poduzeća ili pak svakog pojedinog poduzeća koje je sudjelovalo u procesu akvizicije ako ostaju kao samostalne pravne osobe)</w:t>
            </w:r>
          </w:p>
        </w:tc>
      </w:tr>
      <w:tr w:rsidR="006571B5" w:rsidRPr="0039358D" w14:paraId="79A4D06A" w14:textId="77777777" w:rsidTr="00BB4209">
        <w:trPr>
          <w:trHeight w:val="576"/>
        </w:trPr>
        <w:tc>
          <w:tcPr>
            <w:tcW w:w="8789" w:type="dxa"/>
            <w:hideMark/>
          </w:tcPr>
          <w:p w14:paraId="3E2DAF24"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Detektiranje i zadržavanje ključnih zaposlenika i menadžera poduzeća mete ako poduzeća koja su sudjelovala u akvizicijskom procesu ostaju kao samostalne pravne osobe</w:t>
            </w:r>
          </w:p>
        </w:tc>
      </w:tr>
      <w:tr w:rsidR="006571B5" w:rsidRPr="0039358D" w14:paraId="1F0C97B9" w14:textId="77777777" w:rsidTr="00BB4209">
        <w:trPr>
          <w:trHeight w:val="288"/>
        </w:trPr>
        <w:tc>
          <w:tcPr>
            <w:tcW w:w="8789" w:type="dxa"/>
            <w:hideMark/>
          </w:tcPr>
          <w:p w14:paraId="42DC78A1"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Osiguranje resursa potrebnih za integraciju nakon procesa akvizicije</w:t>
            </w:r>
          </w:p>
        </w:tc>
      </w:tr>
      <w:tr w:rsidR="006571B5" w:rsidRPr="0039358D" w14:paraId="53353CF4" w14:textId="77777777" w:rsidTr="00BB4209">
        <w:trPr>
          <w:trHeight w:val="288"/>
        </w:trPr>
        <w:tc>
          <w:tcPr>
            <w:tcW w:w="8789" w:type="dxa"/>
            <w:hideMark/>
          </w:tcPr>
          <w:p w14:paraId="412568E0"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Brza integracija radi ostvarivanja zacrtanog plana</w:t>
            </w:r>
          </w:p>
        </w:tc>
      </w:tr>
      <w:tr w:rsidR="006571B5" w:rsidRPr="0039358D" w14:paraId="3A3423D8" w14:textId="77777777" w:rsidTr="00BB4209">
        <w:trPr>
          <w:trHeight w:val="288"/>
        </w:trPr>
        <w:tc>
          <w:tcPr>
            <w:tcW w:w="8789" w:type="dxa"/>
            <w:hideMark/>
          </w:tcPr>
          <w:p w14:paraId="3C7045D7"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Odlučan i pravedan odnos prema zaposlenicima koje je potrebno otpustiti</w:t>
            </w:r>
          </w:p>
        </w:tc>
      </w:tr>
      <w:tr w:rsidR="006571B5" w:rsidRPr="0039358D" w14:paraId="7E6B9D91" w14:textId="77777777" w:rsidTr="00BB4209">
        <w:trPr>
          <w:trHeight w:val="576"/>
        </w:trPr>
        <w:tc>
          <w:tcPr>
            <w:tcW w:w="8789" w:type="dxa"/>
            <w:hideMark/>
          </w:tcPr>
          <w:p w14:paraId="7D4FEE08"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 xml:space="preserve">Uspostaviti odgovarajuće unutarnje mehanizme za prijenos kompetencija i sredstava između poslovnih jedinica </w:t>
            </w:r>
          </w:p>
        </w:tc>
      </w:tr>
      <w:tr w:rsidR="006571B5" w:rsidRPr="0039358D" w14:paraId="75C12CA4" w14:textId="77777777" w:rsidTr="00BB4209">
        <w:trPr>
          <w:trHeight w:val="864"/>
        </w:trPr>
        <w:tc>
          <w:tcPr>
            <w:tcW w:w="8789" w:type="dxa"/>
            <w:hideMark/>
          </w:tcPr>
          <w:p w14:paraId="0188BCD7"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lastRenderedPageBreak/>
              <w:t>Identificiranje prilika za poboljšanje konkurentske pozicije novostvorenog zajedničkog poduzeća ili oba poduzeća koja su sudjelovala u procesu spajanja i preuzimanja, ali su ostala kao samostalne pravne osobe</w:t>
            </w:r>
          </w:p>
        </w:tc>
      </w:tr>
      <w:tr w:rsidR="006571B5" w:rsidRPr="0039358D" w14:paraId="6D94D95D" w14:textId="77777777" w:rsidTr="00BB4209">
        <w:trPr>
          <w:trHeight w:val="288"/>
        </w:trPr>
        <w:tc>
          <w:tcPr>
            <w:tcW w:w="8789" w:type="dxa"/>
            <w:hideMark/>
          </w:tcPr>
          <w:p w14:paraId="0EDA73B0"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 xml:space="preserve">Postavljanje nove upravljačke strukture u poduzeću meti </w:t>
            </w:r>
          </w:p>
        </w:tc>
      </w:tr>
    </w:tbl>
    <w:p w14:paraId="0263A7FF" w14:textId="77777777" w:rsidR="006571B5" w:rsidRPr="0039358D" w:rsidRDefault="006571B5" w:rsidP="0039358D">
      <w:pPr>
        <w:spacing w:line="360" w:lineRule="auto"/>
        <w:rPr>
          <w:rFonts w:ascii="Times New Roman" w:hAnsi="Times New Roman" w:cs="Times New Roman"/>
          <w:lang w:val="it-IT"/>
        </w:rPr>
      </w:pPr>
    </w:p>
    <w:p w14:paraId="443081A2"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Uz naprijed navedene čimbenike uspjeha procesa spajanja /preuzimanja prije samog preuzimanja poduzeća mete u kojem je sudjelovalo vaše poduzeće postoji li još neki motiv koji biste posebno istaknuli.</w:t>
      </w:r>
    </w:p>
    <w:p w14:paraId="13E9ECD6"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Ako da, kako biste ocijenili važnost tog (tih) motiva na skali 1-5, pri čemu je 1= potpuno nevažno, 2=nevažno, 3=niti važno, ni nevažno, 4=važno i 5=izuzetno važno.</w:t>
      </w:r>
    </w:p>
    <w:p w14:paraId="102F9514" w14:textId="77777777" w:rsidR="006571B5" w:rsidRPr="0039358D" w:rsidRDefault="006571B5" w:rsidP="0039358D">
      <w:pPr>
        <w:spacing w:line="360" w:lineRule="auto"/>
        <w:rPr>
          <w:rFonts w:ascii="Times New Roman" w:hAnsi="Times New Roman" w:cs="Times New Roman"/>
          <w:lang w:val="it-IT"/>
        </w:rPr>
      </w:pPr>
    </w:p>
    <w:p w14:paraId="0C76D0BF"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4. KLJUČNI ČIMBENICI USPJEHA PROCESA SPAJANJA I PREUZIMANJA NAKON ZAVRŠETKA FAZE INTEGRACIJE</w:t>
      </w:r>
    </w:p>
    <w:tbl>
      <w:tblPr>
        <w:tblStyle w:val="TableGrid"/>
        <w:tblW w:w="0" w:type="auto"/>
        <w:tblInd w:w="720" w:type="dxa"/>
        <w:tblLook w:val="04A0" w:firstRow="1" w:lastRow="0" w:firstColumn="1" w:lastColumn="0" w:noHBand="0" w:noVBand="1"/>
      </w:tblPr>
      <w:tblGrid>
        <w:gridCol w:w="8630"/>
      </w:tblGrid>
      <w:tr w:rsidR="006571B5" w:rsidRPr="0039358D" w14:paraId="4F35876D" w14:textId="77777777" w:rsidTr="00BB4209">
        <w:tc>
          <w:tcPr>
            <w:tcW w:w="8630" w:type="dxa"/>
          </w:tcPr>
          <w:p w14:paraId="4532F6DE"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Novčani tijek iz operacija (prodaja umanjena za troškove prodanih dobara i usluga, administrativne troškove uvećano za deprecijaciju i goodwill)</w:t>
            </w:r>
          </w:p>
        </w:tc>
      </w:tr>
      <w:tr w:rsidR="006571B5" w:rsidRPr="0039358D" w14:paraId="3A26F80E" w14:textId="77777777" w:rsidTr="00BB4209">
        <w:tc>
          <w:tcPr>
            <w:tcW w:w="8630" w:type="dxa"/>
          </w:tcPr>
          <w:p w14:paraId="53994633" w14:textId="77777777" w:rsidR="006571B5" w:rsidRPr="0039358D" w:rsidRDefault="006571B5" w:rsidP="0039358D">
            <w:pPr>
              <w:spacing w:line="360" w:lineRule="auto"/>
              <w:rPr>
                <w:rFonts w:ascii="Times New Roman" w:hAnsi="Times New Roman" w:cs="Times New Roman"/>
                <w:lang w:val="it-IT"/>
              </w:rPr>
            </w:pPr>
            <w:r w:rsidRPr="0039358D">
              <w:rPr>
                <w:rFonts w:ascii="Times New Roman" w:hAnsi="Times New Roman" w:cs="Times New Roman"/>
                <w:lang w:val="it-IT"/>
              </w:rPr>
              <w:t>Uobičajeni hotelski pokazatelji uspješnosti (ADR, stopa popunjenosti, REVPAR, TREVPAR)</w:t>
            </w:r>
          </w:p>
        </w:tc>
      </w:tr>
      <w:tr w:rsidR="006571B5" w:rsidRPr="0039358D" w14:paraId="1DF00FA0" w14:textId="77777777" w:rsidTr="00BB4209">
        <w:tc>
          <w:tcPr>
            <w:tcW w:w="8630" w:type="dxa"/>
          </w:tcPr>
          <w:p w14:paraId="04070FA6"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Promjena kretanja cijene dionica</w:t>
            </w:r>
          </w:p>
        </w:tc>
      </w:tr>
      <w:tr w:rsidR="006571B5" w:rsidRPr="0039358D" w14:paraId="57F85701" w14:textId="77777777" w:rsidTr="00BB4209">
        <w:tc>
          <w:tcPr>
            <w:tcW w:w="8630" w:type="dxa"/>
          </w:tcPr>
          <w:p w14:paraId="1D942912"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Prihvaćanje nove organizacijske strukture</w:t>
            </w:r>
          </w:p>
        </w:tc>
      </w:tr>
    </w:tbl>
    <w:p w14:paraId="6D2E956E" w14:textId="77777777" w:rsidR="006571B5" w:rsidRPr="0039358D" w:rsidRDefault="006571B5" w:rsidP="0039358D">
      <w:pPr>
        <w:spacing w:line="360" w:lineRule="auto"/>
        <w:rPr>
          <w:rFonts w:ascii="Times New Roman" w:hAnsi="Times New Roman" w:cs="Times New Roman"/>
          <w:lang w:val="en-GB"/>
        </w:rPr>
      </w:pPr>
    </w:p>
    <w:p w14:paraId="2F279586"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Uz naprijed navedene čimbenike uspjeha procesa spajanja /preuzimanja prije samog preuzimanja poduzeća mete u kojem je sudjelovalo vaše poduzeće postoji li još neki motiv koji biste posebno istaknuli.</w:t>
      </w:r>
    </w:p>
    <w:p w14:paraId="1C9FF333"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Ako da, kako biste ocijenili važnost tog (tih) motiva na skali 1-5, pri čemu je 1= potpuno nevažno, 2=nevažno, 3=niti važno, ni nevažno, 4=važno i 5=izuzetno važno.</w:t>
      </w:r>
    </w:p>
    <w:p w14:paraId="3F41A3E0" w14:textId="77777777" w:rsidR="006571B5" w:rsidRPr="0039358D" w:rsidRDefault="006571B5" w:rsidP="0039358D">
      <w:pPr>
        <w:spacing w:line="360" w:lineRule="auto"/>
        <w:rPr>
          <w:rFonts w:ascii="Times New Roman" w:hAnsi="Times New Roman" w:cs="Times New Roman"/>
          <w:lang w:val="en-GB"/>
        </w:rPr>
      </w:pPr>
    </w:p>
    <w:p w14:paraId="543892A1"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5. NEKA ZAVRŠNA RAZMIŠLJANJA</w:t>
      </w:r>
    </w:p>
    <w:p w14:paraId="195E048E" w14:textId="77777777"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Npr.:</w:t>
      </w:r>
    </w:p>
    <w:p w14:paraId="53573480" w14:textId="15BFAF06" w:rsidR="006571B5" w:rsidRPr="0039358D" w:rsidRDefault="006571B5" w:rsidP="0039358D">
      <w:pPr>
        <w:spacing w:line="360" w:lineRule="auto"/>
        <w:rPr>
          <w:rFonts w:ascii="Times New Roman" w:hAnsi="Times New Roman" w:cs="Times New Roman"/>
          <w:lang w:val="en-GB"/>
        </w:rPr>
      </w:pPr>
      <w:r w:rsidRPr="0039358D">
        <w:rPr>
          <w:rFonts w:ascii="Times New Roman" w:hAnsi="Times New Roman" w:cs="Times New Roman"/>
          <w:lang w:val="en-GB"/>
        </w:rPr>
        <w:t>Kad biste danas ponovno trebali donijeti odluku o pokretanju konkretnog procesa M&amp;A što biste drugačije napravili i zašto?</w:t>
      </w:r>
    </w:p>
    <w:p w14:paraId="52362962" w14:textId="0117AB58" w:rsidR="006571B5" w:rsidRPr="0086761B" w:rsidRDefault="0086761B" w:rsidP="006571B5">
      <w:pPr>
        <w:rPr>
          <w:rFonts w:ascii="Times New Roman" w:hAnsi="Times New Roman" w:cs="Times New Roman"/>
          <w:b/>
          <w:lang w:val="it-IT"/>
        </w:rPr>
      </w:pPr>
      <w:r>
        <w:rPr>
          <w:rFonts w:ascii="Times New Roman" w:hAnsi="Times New Roman" w:cs="Times New Roman"/>
          <w:b/>
          <w:lang w:val="it-IT"/>
        </w:rPr>
        <w:lastRenderedPageBreak/>
        <w:t>Prilog</w:t>
      </w:r>
      <w:r w:rsidR="006571B5" w:rsidRPr="0086761B">
        <w:rPr>
          <w:rFonts w:ascii="Times New Roman" w:hAnsi="Times New Roman" w:cs="Times New Roman"/>
          <w:b/>
          <w:lang w:val="it-IT"/>
        </w:rPr>
        <w:t xml:space="preserve"> 5</w:t>
      </w:r>
    </w:p>
    <w:p w14:paraId="02DE6F7E" w14:textId="77777777" w:rsidR="006571B5" w:rsidRPr="0086761B" w:rsidRDefault="006571B5" w:rsidP="006571B5">
      <w:pPr>
        <w:rPr>
          <w:rFonts w:ascii="Times New Roman" w:hAnsi="Times New Roman" w:cs="Times New Roman"/>
          <w:lang w:val="it-IT"/>
        </w:rPr>
      </w:pPr>
      <w:r w:rsidRPr="0086761B">
        <w:rPr>
          <w:rFonts w:ascii="Times New Roman" w:hAnsi="Times New Roman" w:cs="Times New Roman"/>
          <w:lang w:val="it-IT"/>
        </w:rPr>
        <w:t>Tablica 4: Pregled inicijalnih kodova, podtema i glavnih tematskih cjelina</w:t>
      </w:r>
    </w:p>
    <w:tbl>
      <w:tblPr>
        <w:tblStyle w:val="Reetkatablice2"/>
        <w:tblW w:w="0" w:type="auto"/>
        <w:tblLook w:val="04A0" w:firstRow="1" w:lastRow="0" w:firstColumn="1" w:lastColumn="0" w:noHBand="0" w:noVBand="1"/>
      </w:tblPr>
      <w:tblGrid>
        <w:gridCol w:w="2330"/>
        <w:gridCol w:w="2255"/>
        <w:gridCol w:w="4765"/>
      </w:tblGrid>
      <w:tr w:rsidR="006571B5" w:rsidRPr="0086761B" w14:paraId="753A2F7D" w14:textId="77777777" w:rsidTr="0086761B">
        <w:tc>
          <w:tcPr>
            <w:tcW w:w="0" w:type="auto"/>
            <w:vAlign w:val="center"/>
            <w:hideMark/>
          </w:tcPr>
          <w:p w14:paraId="2A67F4EA"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Glavna tema</w:t>
            </w:r>
          </w:p>
        </w:tc>
        <w:tc>
          <w:tcPr>
            <w:tcW w:w="0" w:type="auto"/>
            <w:vAlign w:val="center"/>
            <w:hideMark/>
          </w:tcPr>
          <w:p w14:paraId="712B7B11"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Podtema</w:t>
            </w:r>
          </w:p>
        </w:tc>
        <w:tc>
          <w:tcPr>
            <w:tcW w:w="0" w:type="auto"/>
            <w:vAlign w:val="center"/>
            <w:hideMark/>
          </w:tcPr>
          <w:p w14:paraId="2C1D25A7"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Inicijalni kodovi</w:t>
            </w:r>
          </w:p>
        </w:tc>
      </w:tr>
      <w:tr w:rsidR="006571B5" w:rsidRPr="0086761B" w14:paraId="2BBE364F" w14:textId="77777777" w:rsidTr="0086761B">
        <w:tc>
          <w:tcPr>
            <w:tcW w:w="0" w:type="auto"/>
            <w:vAlign w:val="center"/>
            <w:hideMark/>
          </w:tcPr>
          <w:p w14:paraId="543CB49D"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Strateška logika i ekonomska opravdanost M&amp;A</w:t>
            </w:r>
          </w:p>
        </w:tc>
        <w:tc>
          <w:tcPr>
            <w:tcW w:w="0" w:type="auto"/>
            <w:vAlign w:val="center"/>
            <w:hideMark/>
          </w:tcPr>
          <w:p w14:paraId="37E9BB95"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Strateški motivi i racionalnost M&amp;A</w:t>
            </w:r>
          </w:p>
        </w:tc>
        <w:tc>
          <w:tcPr>
            <w:tcW w:w="0" w:type="auto"/>
            <w:vAlign w:val="center"/>
            <w:hideMark/>
          </w:tcPr>
          <w:p w14:paraId="1CCE2716"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širenje portfelja; povećanje tržišnog udjela; iskorištavanje tržišne prilike; stvaranje dodane vrijednosti; sinergijski potencijal; ulazak u atraktivne destinacije</w:t>
            </w:r>
          </w:p>
        </w:tc>
      </w:tr>
      <w:tr w:rsidR="006571B5" w:rsidRPr="0086761B" w14:paraId="3BF02EF8" w14:textId="77777777" w:rsidTr="0086761B">
        <w:tc>
          <w:tcPr>
            <w:tcW w:w="0" w:type="auto"/>
            <w:vAlign w:val="center"/>
            <w:hideMark/>
          </w:tcPr>
          <w:p w14:paraId="3B363AD5" w14:textId="77777777" w:rsidR="006571B5" w:rsidRPr="0086761B" w:rsidRDefault="006571B5" w:rsidP="0086761B">
            <w:pPr>
              <w:spacing w:after="160" w:line="259" w:lineRule="auto"/>
              <w:jc w:val="center"/>
              <w:rPr>
                <w:rFonts w:ascii="Times New Roman" w:hAnsi="Times New Roman" w:cs="Times New Roman"/>
                <w:lang w:val="it-IT"/>
              </w:rPr>
            </w:pPr>
          </w:p>
        </w:tc>
        <w:tc>
          <w:tcPr>
            <w:tcW w:w="0" w:type="auto"/>
            <w:vAlign w:val="center"/>
            <w:hideMark/>
          </w:tcPr>
          <w:p w14:paraId="2A7BD7D2"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Procjena vrijednosti i rizika ciljnog društva</w:t>
            </w:r>
          </w:p>
        </w:tc>
        <w:tc>
          <w:tcPr>
            <w:tcW w:w="0" w:type="auto"/>
            <w:vAlign w:val="center"/>
            <w:hideMark/>
          </w:tcPr>
          <w:p w14:paraId="6C134FFB"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vrijednost destinacije; razvojni potencijal objekta; trenutna profitabilnost; kvaliteta imovine; due dilligence kao ključni alat; financijske analize; scenarijsko planiranje</w:t>
            </w:r>
          </w:p>
        </w:tc>
      </w:tr>
      <w:tr w:rsidR="006571B5" w:rsidRPr="0086761B" w14:paraId="3CD2DE27" w14:textId="77777777" w:rsidTr="0086761B">
        <w:tc>
          <w:tcPr>
            <w:tcW w:w="0" w:type="auto"/>
            <w:vAlign w:val="center"/>
            <w:hideMark/>
          </w:tcPr>
          <w:p w14:paraId="0846B165"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Operativna i organizacijska integracija nakon akvizicije</w:t>
            </w:r>
          </w:p>
        </w:tc>
        <w:tc>
          <w:tcPr>
            <w:tcW w:w="0" w:type="auto"/>
            <w:vAlign w:val="center"/>
            <w:hideMark/>
          </w:tcPr>
          <w:p w14:paraId="1B10263E"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Postakvizicijska organizacijska integracija</w:t>
            </w:r>
          </w:p>
        </w:tc>
        <w:tc>
          <w:tcPr>
            <w:tcW w:w="0" w:type="auto"/>
            <w:vAlign w:val="center"/>
            <w:hideMark/>
          </w:tcPr>
          <w:p w14:paraId="5597D4FD"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postavljanje nove organizacijske strukture; integracija standarda; usklađivanje operativnih procesa; postavljanje novog menadžmenta; faze integracije; brzina integracije kao rizik</w:t>
            </w:r>
          </w:p>
        </w:tc>
      </w:tr>
      <w:tr w:rsidR="006571B5" w:rsidRPr="0086761B" w14:paraId="2CA3393E" w14:textId="77777777" w:rsidTr="0086761B">
        <w:tc>
          <w:tcPr>
            <w:tcW w:w="0" w:type="auto"/>
            <w:vAlign w:val="center"/>
            <w:hideMark/>
          </w:tcPr>
          <w:p w14:paraId="00A15BC2"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Ljudski, kulturni i komunikacijski izazovi M&amp;A procesa</w:t>
            </w:r>
          </w:p>
        </w:tc>
        <w:tc>
          <w:tcPr>
            <w:tcW w:w="0" w:type="auto"/>
            <w:vAlign w:val="center"/>
            <w:hideMark/>
          </w:tcPr>
          <w:p w14:paraId="4949CFEF"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Ljudski i kulturni aspekti integracije</w:t>
            </w:r>
          </w:p>
        </w:tc>
        <w:tc>
          <w:tcPr>
            <w:tcW w:w="0" w:type="auto"/>
            <w:vAlign w:val="center"/>
            <w:hideMark/>
          </w:tcPr>
          <w:p w14:paraId="2FBACEFB"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razlike u korporativnoj kulturi; otpor zaposlenika; strah od neizvjesnosti; privikavanje na nove procedure; identifikacija ključnih zaposlenika</w:t>
            </w:r>
          </w:p>
        </w:tc>
      </w:tr>
      <w:tr w:rsidR="006571B5" w:rsidRPr="0086761B" w14:paraId="2385812F" w14:textId="77777777" w:rsidTr="0086761B">
        <w:tc>
          <w:tcPr>
            <w:tcW w:w="0" w:type="auto"/>
            <w:vAlign w:val="center"/>
            <w:hideMark/>
          </w:tcPr>
          <w:p w14:paraId="0CD7D2FF" w14:textId="77777777" w:rsidR="006571B5" w:rsidRPr="0086761B" w:rsidRDefault="006571B5" w:rsidP="0086761B">
            <w:pPr>
              <w:spacing w:after="160" w:line="259" w:lineRule="auto"/>
              <w:jc w:val="center"/>
              <w:rPr>
                <w:rFonts w:ascii="Times New Roman" w:hAnsi="Times New Roman" w:cs="Times New Roman"/>
                <w:lang w:val="it-IT"/>
              </w:rPr>
            </w:pPr>
          </w:p>
        </w:tc>
        <w:tc>
          <w:tcPr>
            <w:tcW w:w="0" w:type="auto"/>
            <w:vAlign w:val="center"/>
            <w:hideMark/>
          </w:tcPr>
          <w:p w14:paraId="4EC64173"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Upravljanje promjenama i komunikacija</w:t>
            </w:r>
          </w:p>
        </w:tc>
        <w:tc>
          <w:tcPr>
            <w:tcW w:w="0" w:type="auto"/>
            <w:vAlign w:val="center"/>
            <w:hideMark/>
          </w:tcPr>
          <w:p w14:paraId="26C9B730" w14:textId="77777777" w:rsidR="006571B5" w:rsidRPr="0086761B" w:rsidRDefault="006571B5" w:rsidP="0086761B">
            <w:pPr>
              <w:spacing w:after="160" w:line="259" w:lineRule="auto"/>
              <w:jc w:val="center"/>
              <w:rPr>
                <w:rFonts w:ascii="Times New Roman" w:hAnsi="Times New Roman" w:cs="Times New Roman"/>
                <w:lang w:val="en-GB"/>
              </w:rPr>
            </w:pPr>
            <w:r w:rsidRPr="0086761B">
              <w:rPr>
                <w:rFonts w:ascii="Times New Roman" w:hAnsi="Times New Roman" w:cs="Times New Roman"/>
                <w:lang w:val="en-GB"/>
              </w:rPr>
              <w:t>komunikacija kao alat upravljanja promjenama; transparentnost uprave; pravovremeno informiranje; uključivanje zaposlenika; fer odnos menadžmenta</w:t>
            </w:r>
          </w:p>
        </w:tc>
      </w:tr>
      <w:tr w:rsidR="006571B5" w:rsidRPr="0086761B" w14:paraId="2B044A93" w14:textId="77777777" w:rsidTr="0086761B">
        <w:tc>
          <w:tcPr>
            <w:tcW w:w="0" w:type="auto"/>
            <w:vAlign w:val="center"/>
            <w:hideMark/>
          </w:tcPr>
          <w:p w14:paraId="53B9AC42"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Iskustveno učenje i dugoročna evaluacija M&amp;A procesa</w:t>
            </w:r>
          </w:p>
        </w:tc>
        <w:tc>
          <w:tcPr>
            <w:tcW w:w="0" w:type="auto"/>
            <w:vAlign w:val="center"/>
            <w:hideMark/>
          </w:tcPr>
          <w:p w14:paraId="1512450F"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Retrospektivna evaluacija i organizacijsko učenje</w:t>
            </w:r>
          </w:p>
        </w:tc>
        <w:tc>
          <w:tcPr>
            <w:tcW w:w="0" w:type="auto"/>
            <w:vAlign w:val="center"/>
            <w:hideMark/>
          </w:tcPr>
          <w:p w14:paraId="78F00532" w14:textId="77777777" w:rsidR="006571B5" w:rsidRPr="0086761B" w:rsidRDefault="006571B5" w:rsidP="0086761B">
            <w:pPr>
              <w:spacing w:after="160" w:line="259" w:lineRule="auto"/>
              <w:jc w:val="center"/>
              <w:rPr>
                <w:rFonts w:ascii="Times New Roman" w:hAnsi="Times New Roman" w:cs="Times New Roman"/>
                <w:lang w:val="it-IT"/>
              </w:rPr>
            </w:pPr>
            <w:r w:rsidRPr="0086761B">
              <w:rPr>
                <w:rFonts w:ascii="Times New Roman" w:hAnsi="Times New Roman" w:cs="Times New Roman"/>
                <w:lang w:val="it-IT"/>
              </w:rPr>
              <w:t>potreba za boljom pripremom; važnost detaljnijeg snimanja procesa; sporost integracije kao pogreška; važnost dioničarskog usuglašavanja; učenje kroz iskustvo; zrelost organizacije za M&amp;A</w:t>
            </w:r>
          </w:p>
        </w:tc>
      </w:tr>
    </w:tbl>
    <w:p w14:paraId="5EADA32C" w14:textId="77777777" w:rsidR="006571B5" w:rsidRPr="0086761B" w:rsidRDefault="006571B5" w:rsidP="006571B5">
      <w:pPr>
        <w:rPr>
          <w:rFonts w:ascii="Times New Roman" w:hAnsi="Times New Roman" w:cs="Times New Roman"/>
          <w:lang w:val="it-IT"/>
        </w:rPr>
      </w:pPr>
    </w:p>
    <w:p w14:paraId="4659AA8C" w14:textId="77777777" w:rsidR="006571B5" w:rsidRPr="0086761B" w:rsidRDefault="006571B5" w:rsidP="006571B5">
      <w:pPr>
        <w:rPr>
          <w:rFonts w:ascii="Times New Roman" w:hAnsi="Times New Roman" w:cs="Times New Roman"/>
        </w:rPr>
      </w:pPr>
      <w:r w:rsidRPr="0086761B">
        <w:rPr>
          <w:rFonts w:ascii="Times New Roman" w:hAnsi="Times New Roman" w:cs="Times New Roman"/>
        </w:rPr>
        <w:br w:type="page"/>
      </w:r>
    </w:p>
    <w:p w14:paraId="78F09559" w14:textId="77777777" w:rsidR="006571B5" w:rsidRPr="0086761B" w:rsidRDefault="006571B5" w:rsidP="006571B5">
      <w:pPr>
        <w:rPr>
          <w:rFonts w:ascii="Times New Roman" w:hAnsi="Times New Roman" w:cs="Times New Roman"/>
        </w:rPr>
        <w:sectPr w:rsidR="006571B5" w:rsidRPr="0086761B" w:rsidSect="006571B5">
          <w:pgSz w:w="12240" w:h="15840"/>
          <w:pgMar w:top="1440" w:right="1440" w:bottom="1440" w:left="1440" w:header="708" w:footer="708" w:gutter="0"/>
          <w:cols w:space="708"/>
          <w:docGrid w:linePitch="360"/>
        </w:sectPr>
      </w:pPr>
    </w:p>
    <w:p w14:paraId="17969463" w14:textId="3CBAA4FC" w:rsidR="006571B5" w:rsidRPr="0086761B" w:rsidRDefault="0086761B" w:rsidP="006571B5">
      <w:pPr>
        <w:rPr>
          <w:rFonts w:ascii="Times New Roman" w:hAnsi="Times New Roman" w:cs="Times New Roman"/>
          <w:b/>
          <w:bCs/>
        </w:rPr>
      </w:pPr>
      <w:r w:rsidRPr="0086761B">
        <w:rPr>
          <w:rFonts w:ascii="Times New Roman" w:hAnsi="Times New Roman" w:cs="Times New Roman"/>
          <w:b/>
          <w:bCs/>
        </w:rPr>
        <w:lastRenderedPageBreak/>
        <w:t>P</w:t>
      </w:r>
      <w:r>
        <w:rPr>
          <w:rFonts w:ascii="Times New Roman" w:hAnsi="Times New Roman" w:cs="Times New Roman"/>
          <w:b/>
          <w:bCs/>
        </w:rPr>
        <w:t>rilog</w:t>
      </w:r>
      <w:r w:rsidRPr="0086761B">
        <w:rPr>
          <w:rFonts w:ascii="Times New Roman" w:hAnsi="Times New Roman" w:cs="Times New Roman"/>
          <w:b/>
          <w:bCs/>
        </w:rPr>
        <w:t xml:space="preserve"> 6</w:t>
      </w:r>
    </w:p>
    <w:p w14:paraId="06C76173" w14:textId="77777777" w:rsidR="006571B5" w:rsidRPr="0086761B" w:rsidRDefault="006571B5" w:rsidP="006571B5">
      <w:pPr>
        <w:rPr>
          <w:rFonts w:ascii="Times New Roman" w:hAnsi="Times New Roman" w:cs="Times New Roman"/>
          <w:lang w:val="it-IT"/>
        </w:rPr>
      </w:pPr>
      <w:r w:rsidRPr="0086761B">
        <w:rPr>
          <w:rFonts w:ascii="Times New Roman" w:hAnsi="Times New Roman" w:cs="Times New Roman"/>
        </w:rPr>
        <w:t xml:space="preserve">Tablica 5: </w:t>
      </w:r>
      <w:r w:rsidRPr="0086761B">
        <w:rPr>
          <w:rFonts w:ascii="Times New Roman" w:hAnsi="Times New Roman" w:cs="Times New Roman"/>
          <w:lang w:val="it-IT"/>
        </w:rPr>
        <w:t xml:space="preserve">Rezultati prvog ciklusa Delphi postupka – motivi pokretanja procesa spajanja i preuzimanja </w:t>
      </w:r>
    </w:p>
    <w:tbl>
      <w:tblPr>
        <w:tblW w:w="0" w:type="auto"/>
        <w:tblInd w:w="-5" w:type="dxa"/>
        <w:tblLook w:val="0000" w:firstRow="0" w:lastRow="0" w:firstColumn="0" w:lastColumn="0" w:noHBand="0" w:noVBand="0"/>
      </w:tblPr>
      <w:tblGrid>
        <w:gridCol w:w="718"/>
        <w:gridCol w:w="2016"/>
        <w:gridCol w:w="1353"/>
        <w:gridCol w:w="1337"/>
        <w:gridCol w:w="656"/>
        <w:gridCol w:w="1362"/>
        <w:gridCol w:w="1913"/>
      </w:tblGrid>
      <w:tr w:rsidR="006571B5" w:rsidRPr="0086761B" w14:paraId="5EE67C82" w14:textId="77777777" w:rsidTr="0086761B">
        <w:trPr>
          <w:trHeight w:val="125"/>
        </w:trPr>
        <w:tc>
          <w:tcPr>
            <w:tcW w:w="0" w:type="auto"/>
            <w:tcBorders>
              <w:top w:val="single" w:sz="4" w:space="0" w:color="000000"/>
              <w:left w:val="single" w:sz="4" w:space="0" w:color="000000"/>
              <w:bottom w:val="single" w:sz="4" w:space="0" w:color="000000"/>
            </w:tcBorders>
            <w:shd w:val="clear" w:color="auto" w:fill="FFFFFF"/>
            <w:vAlign w:val="center"/>
          </w:tcPr>
          <w:p w14:paraId="29F23732" w14:textId="3AB2BFAD" w:rsidR="006571B5" w:rsidRPr="0086761B" w:rsidRDefault="006571B5" w:rsidP="0086761B">
            <w:pPr>
              <w:jc w:val="center"/>
              <w:rPr>
                <w:rFonts w:ascii="Times New Roman" w:hAnsi="Times New Roman" w:cs="Times New Roman"/>
                <w:b/>
              </w:rPr>
            </w:pPr>
            <w:bookmarkStart w:id="286" w:name="_Hlk181701296"/>
            <w:r w:rsidRPr="0086761B">
              <w:rPr>
                <w:rFonts w:ascii="Times New Roman" w:hAnsi="Times New Roman" w:cs="Times New Roman"/>
                <w:b/>
              </w:rPr>
              <w:t>R</w:t>
            </w:r>
            <w:r w:rsidR="002E5B41">
              <w:rPr>
                <w:rFonts w:ascii="Times New Roman" w:hAnsi="Times New Roman" w:cs="Times New Roman"/>
                <w:b/>
              </w:rPr>
              <w:t>ang</w:t>
            </w:r>
          </w:p>
        </w:tc>
        <w:tc>
          <w:tcPr>
            <w:tcW w:w="0" w:type="auto"/>
            <w:tcBorders>
              <w:top w:val="single" w:sz="4" w:space="0" w:color="000000"/>
              <w:left w:val="single" w:sz="4" w:space="0" w:color="000000"/>
              <w:bottom w:val="single" w:sz="4" w:space="0" w:color="000000"/>
            </w:tcBorders>
            <w:shd w:val="clear" w:color="auto" w:fill="FFFFFF"/>
            <w:vAlign w:val="center"/>
          </w:tcPr>
          <w:p w14:paraId="4C3C3867" w14:textId="4A8BFAAB" w:rsidR="006571B5" w:rsidRPr="0086761B" w:rsidRDefault="002E5B41" w:rsidP="0086761B">
            <w:pPr>
              <w:jc w:val="center"/>
              <w:rPr>
                <w:rFonts w:ascii="Times New Roman" w:hAnsi="Times New Roman" w:cs="Times New Roman"/>
                <w:b/>
              </w:rPr>
            </w:pPr>
            <w:r>
              <w:rPr>
                <w:rFonts w:ascii="Times New Roman" w:hAnsi="Times New Roman" w:cs="Times New Roman"/>
                <w:b/>
              </w:rPr>
              <w:t>Motivi</w:t>
            </w:r>
            <w:r w:rsidR="006571B5" w:rsidRPr="0086761B">
              <w:rPr>
                <w:rFonts w:ascii="Times New Roman" w:hAnsi="Times New Roman" w:cs="Times New Roman"/>
                <w:b/>
              </w:rPr>
              <w:t xml:space="preserve"> za pokretanje procesa spajanja i preuzimanja</w:t>
            </w:r>
          </w:p>
        </w:tc>
        <w:tc>
          <w:tcPr>
            <w:tcW w:w="1249" w:type="dxa"/>
            <w:tcBorders>
              <w:top w:val="single" w:sz="4" w:space="0" w:color="000000"/>
              <w:left w:val="single" w:sz="4" w:space="0" w:color="000000"/>
              <w:bottom w:val="single" w:sz="4" w:space="0" w:color="000000"/>
            </w:tcBorders>
            <w:shd w:val="clear" w:color="auto" w:fill="FFFFFF"/>
            <w:vAlign w:val="center"/>
          </w:tcPr>
          <w:p w14:paraId="3D4CACF2" w14:textId="77777777" w:rsidR="006571B5" w:rsidRPr="0086761B" w:rsidRDefault="006571B5" w:rsidP="0086761B">
            <w:pPr>
              <w:jc w:val="center"/>
              <w:rPr>
                <w:rFonts w:ascii="Times New Roman" w:hAnsi="Times New Roman" w:cs="Times New Roman"/>
                <w:b/>
              </w:rPr>
            </w:pPr>
            <w:r w:rsidRPr="0086761B">
              <w:rPr>
                <w:rFonts w:ascii="Times New Roman" w:hAnsi="Times New Roman" w:cs="Times New Roman"/>
                <w:b/>
              </w:rPr>
              <w:t>Aritmetička sredina</w:t>
            </w:r>
          </w:p>
        </w:tc>
        <w:tc>
          <w:tcPr>
            <w:tcW w:w="1337" w:type="dxa"/>
            <w:tcBorders>
              <w:top w:val="single" w:sz="4" w:space="0" w:color="000000"/>
              <w:left w:val="single" w:sz="4" w:space="0" w:color="000000"/>
              <w:bottom w:val="single" w:sz="4" w:space="0" w:color="000000"/>
            </w:tcBorders>
            <w:shd w:val="clear" w:color="auto" w:fill="FFFFFF"/>
            <w:vAlign w:val="center"/>
          </w:tcPr>
          <w:p w14:paraId="41939E79" w14:textId="77777777" w:rsidR="006571B5" w:rsidRPr="0086761B" w:rsidRDefault="006571B5" w:rsidP="0086761B">
            <w:pPr>
              <w:jc w:val="center"/>
              <w:rPr>
                <w:rFonts w:ascii="Times New Roman" w:hAnsi="Times New Roman" w:cs="Times New Roman"/>
                <w:b/>
              </w:rPr>
            </w:pPr>
            <w:r w:rsidRPr="0086761B">
              <w:rPr>
                <w:rFonts w:ascii="Times New Roman" w:hAnsi="Times New Roman" w:cs="Times New Roman"/>
                <w:b/>
              </w:rPr>
              <w:t>Medijan</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57336AA3" w14:textId="77777777" w:rsidR="006571B5" w:rsidRPr="0086761B" w:rsidRDefault="006571B5" w:rsidP="0086761B">
            <w:pPr>
              <w:jc w:val="center"/>
              <w:rPr>
                <w:rFonts w:ascii="Times New Roman" w:hAnsi="Times New Roman" w:cs="Times New Roman"/>
                <w:b/>
              </w:rPr>
            </w:pPr>
            <w:r w:rsidRPr="0086761B">
              <w:rPr>
                <w:rFonts w:ascii="Times New Roman" w:hAnsi="Times New Roman" w:cs="Times New Roman"/>
                <w:b/>
              </w:rPr>
              <w:t>Mod</w:t>
            </w:r>
          </w:p>
        </w:tc>
        <w:tc>
          <w:tcPr>
            <w:tcW w:w="0" w:type="auto"/>
            <w:tcBorders>
              <w:top w:val="single" w:sz="4" w:space="0" w:color="auto"/>
              <w:left w:val="single" w:sz="4" w:space="0" w:color="auto"/>
              <w:bottom w:val="single" w:sz="4" w:space="0" w:color="auto"/>
              <w:right w:val="single" w:sz="4" w:space="0" w:color="auto"/>
            </w:tcBorders>
            <w:vAlign w:val="center"/>
          </w:tcPr>
          <w:p w14:paraId="6A8ED185" w14:textId="77777777" w:rsidR="006571B5" w:rsidRPr="0086761B" w:rsidRDefault="006571B5" w:rsidP="0086761B">
            <w:pPr>
              <w:jc w:val="center"/>
              <w:rPr>
                <w:rFonts w:ascii="Times New Roman" w:hAnsi="Times New Roman" w:cs="Times New Roman"/>
                <w:b/>
              </w:rPr>
            </w:pPr>
            <w:r w:rsidRPr="0086761B">
              <w:rPr>
                <w:rFonts w:ascii="Times New Roman" w:hAnsi="Times New Roman" w:cs="Times New Roman"/>
                <w:b/>
              </w:rPr>
              <w:t>Standardna devijacija</w:t>
            </w:r>
          </w:p>
        </w:tc>
        <w:tc>
          <w:tcPr>
            <w:tcW w:w="0" w:type="auto"/>
            <w:tcBorders>
              <w:top w:val="single" w:sz="4" w:space="0" w:color="auto"/>
              <w:left w:val="single" w:sz="4" w:space="0" w:color="auto"/>
              <w:bottom w:val="single" w:sz="4" w:space="0" w:color="auto"/>
              <w:right w:val="single" w:sz="4" w:space="0" w:color="auto"/>
            </w:tcBorders>
            <w:vAlign w:val="center"/>
          </w:tcPr>
          <w:p w14:paraId="0408C126" w14:textId="5456E425" w:rsidR="006571B5" w:rsidRPr="0086761B" w:rsidRDefault="006571B5" w:rsidP="0086761B">
            <w:pPr>
              <w:jc w:val="center"/>
              <w:rPr>
                <w:rFonts w:ascii="Times New Roman" w:hAnsi="Times New Roman" w:cs="Times New Roman"/>
                <w:b/>
              </w:rPr>
            </w:pPr>
            <w:r w:rsidRPr="0086761B">
              <w:rPr>
                <w:rFonts w:ascii="Times New Roman" w:hAnsi="Times New Roman" w:cs="Times New Roman"/>
                <w:b/>
              </w:rPr>
              <w:t>I</w:t>
            </w:r>
            <w:r w:rsidR="002E5B41">
              <w:rPr>
                <w:rFonts w:ascii="Times New Roman" w:hAnsi="Times New Roman" w:cs="Times New Roman"/>
                <w:b/>
              </w:rPr>
              <w:t>nterpretacija</w:t>
            </w:r>
          </w:p>
        </w:tc>
      </w:tr>
      <w:tr w:rsidR="006571B5" w:rsidRPr="0086761B" w14:paraId="0CCD7741"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4B437FC9"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vAlign w:val="center"/>
          </w:tcPr>
          <w:p w14:paraId="778A25D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Povećanje tržišnog udjela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09D9E76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5,000</w:t>
            </w:r>
          </w:p>
        </w:tc>
        <w:tc>
          <w:tcPr>
            <w:tcW w:w="1337" w:type="dxa"/>
            <w:tcBorders>
              <w:top w:val="single" w:sz="4" w:space="0" w:color="000000"/>
              <w:left w:val="single" w:sz="4" w:space="0" w:color="000000"/>
              <w:bottom w:val="single" w:sz="4" w:space="0" w:color="000000"/>
            </w:tcBorders>
            <w:shd w:val="clear" w:color="auto" w:fill="FFFFFF"/>
            <w:vAlign w:val="center"/>
          </w:tcPr>
          <w:p w14:paraId="078EDC25"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0EA031BD"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14:paraId="32A0DF4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0,000</w:t>
            </w:r>
          </w:p>
        </w:tc>
        <w:tc>
          <w:tcPr>
            <w:tcW w:w="0" w:type="auto"/>
            <w:tcBorders>
              <w:top w:val="single" w:sz="4" w:space="0" w:color="auto"/>
              <w:left w:val="single" w:sz="4" w:space="0" w:color="auto"/>
              <w:bottom w:val="single" w:sz="4" w:space="0" w:color="auto"/>
              <w:right w:val="single" w:sz="4" w:space="0" w:color="auto"/>
            </w:tcBorders>
            <w:vAlign w:val="center"/>
          </w:tcPr>
          <w:p w14:paraId="60A2626F"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Svi ispitanici su ovom motivu dodijeli maksimalnu ocjenu, što ukazuje na jasnu važnost ovog motiva.</w:t>
            </w:r>
          </w:p>
          <w:p w14:paraId="50A72CA4"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Potpuna suglasnost među ispitanicima da je tržišni udio ključan.</w:t>
            </w:r>
          </w:p>
          <w:p w14:paraId="38687422"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Dominantna ocjena 5.</w:t>
            </w:r>
          </w:p>
          <w:p w14:paraId="1A3C0D0D"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Nema varijacije, svi su ispitanici suglasni oko značaja ovog motiva.</w:t>
            </w:r>
          </w:p>
        </w:tc>
      </w:tr>
      <w:tr w:rsidR="006571B5" w:rsidRPr="0086761B" w14:paraId="43D2144E"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4164AFB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vAlign w:val="center"/>
          </w:tcPr>
          <w:p w14:paraId="4EB4B9D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Osiguranje održivog rasta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064980B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4,167</w:t>
            </w:r>
          </w:p>
        </w:tc>
        <w:tc>
          <w:tcPr>
            <w:tcW w:w="1337" w:type="dxa"/>
            <w:tcBorders>
              <w:top w:val="single" w:sz="4" w:space="0" w:color="000000"/>
              <w:left w:val="single" w:sz="4" w:space="0" w:color="000000"/>
              <w:bottom w:val="single" w:sz="4" w:space="0" w:color="000000"/>
            </w:tcBorders>
            <w:shd w:val="clear" w:color="auto" w:fill="FFFFFF"/>
            <w:vAlign w:val="center"/>
          </w:tcPr>
          <w:p w14:paraId="4CDA99C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794A702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14:paraId="37BEB5C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0,983</w:t>
            </w:r>
          </w:p>
        </w:tc>
        <w:tc>
          <w:tcPr>
            <w:tcW w:w="0" w:type="auto"/>
            <w:tcBorders>
              <w:top w:val="single" w:sz="4" w:space="0" w:color="auto"/>
              <w:left w:val="single" w:sz="4" w:space="0" w:color="auto"/>
              <w:bottom w:val="single" w:sz="4" w:space="0" w:color="auto"/>
              <w:right w:val="single" w:sz="4" w:space="0" w:color="auto"/>
            </w:tcBorders>
            <w:vAlign w:val="center"/>
          </w:tcPr>
          <w:p w14:paraId="2A518E0F" w14:textId="02C78CF4" w:rsidR="006571B5" w:rsidRPr="0086761B" w:rsidRDefault="006571B5" w:rsidP="00A81B58">
            <w:pPr>
              <w:jc w:val="center"/>
              <w:rPr>
                <w:rFonts w:ascii="Times New Roman" w:hAnsi="Times New Roman" w:cs="Times New Roman"/>
              </w:rPr>
            </w:pPr>
            <w:r w:rsidRPr="0086761B">
              <w:rPr>
                <w:rFonts w:ascii="Times New Roman" w:hAnsi="Times New Roman" w:cs="Times New Roman"/>
              </w:rPr>
              <w:t>Ispitanici su u prosjeku ocijenili ovaj motiv kao važan, što sugerira da većina smatra održivi rast bitnim za hotelijerska poduzeća u Hrvatskoj.</w:t>
            </w:r>
          </w:p>
          <w:p w14:paraId="15C39059"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Polovica odgovora je viša od 4, što ukazuje da prevladava suglasnost među ispitanicima o važnosti ovog motiva.</w:t>
            </w:r>
          </w:p>
          <w:p w14:paraId="0A8550F8"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lastRenderedPageBreak/>
              <w:t>Najčešća ocjena je 5, što znači da mnogi ispitanici smatraju ovaj motiv izrazito važnim.</w:t>
            </w:r>
          </w:p>
          <w:p w14:paraId="377FFB22"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Umjerena raspršenost ukazuje na generalnu suglasnost uz ponešto raznolikosti u ocjenama.</w:t>
            </w:r>
          </w:p>
        </w:tc>
      </w:tr>
      <w:tr w:rsidR="006571B5" w:rsidRPr="0086761B" w14:paraId="5934B891"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6D61BCB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2</w:t>
            </w:r>
          </w:p>
        </w:tc>
        <w:tc>
          <w:tcPr>
            <w:tcW w:w="0" w:type="auto"/>
            <w:tcBorders>
              <w:top w:val="single" w:sz="4" w:space="0" w:color="000000"/>
              <w:left w:val="single" w:sz="4" w:space="0" w:color="000000"/>
              <w:bottom w:val="single" w:sz="4" w:space="0" w:color="000000"/>
            </w:tcBorders>
            <w:vAlign w:val="center"/>
          </w:tcPr>
          <w:p w14:paraId="5991A42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Proširivanje tržišnih segmenata (baze kupaca) poduzeća preuzimatelja širenjem ponude na postojećem ili novom tržištu – destinaciji</w:t>
            </w:r>
          </w:p>
        </w:tc>
        <w:tc>
          <w:tcPr>
            <w:tcW w:w="1249" w:type="dxa"/>
            <w:tcBorders>
              <w:top w:val="single" w:sz="4" w:space="0" w:color="000000"/>
              <w:left w:val="single" w:sz="4" w:space="0" w:color="000000"/>
              <w:bottom w:val="single" w:sz="4" w:space="0" w:color="000000"/>
            </w:tcBorders>
            <w:shd w:val="clear" w:color="auto" w:fill="FFFFFF"/>
            <w:vAlign w:val="center"/>
          </w:tcPr>
          <w:p w14:paraId="435346C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4,167</w:t>
            </w:r>
          </w:p>
        </w:tc>
        <w:tc>
          <w:tcPr>
            <w:tcW w:w="1337" w:type="dxa"/>
            <w:tcBorders>
              <w:top w:val="single" w:sz="4" w:space="0" w:color="000000"/>
              <w:left w:val="single" w:sz="4" w:space="0" w:color="000000"/>
              <w:bottom w:val="single" w:sz="4" w:space="0" w:color="000000"/>
            </w:tcBorders>
            <w:shd w:val="clear" w:color="auto" w:fill="FFFFFF"/>
            <w:vAlign w:val="center"/>
          </w:tcPr>
          <w:p w14:paraId="6CCE4B1A"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4124215A"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22204BBE"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0,753</w:t>
            </w:r>
          </w:p>
        </w:tc>
        <w:tc>
          <w:tcPr>
            <w:tcW w:w="0" w:type="auto"/>
            <w:tcBorders>
              <w:top w:val="single" w:sz="4" w:space="0" w:color="auto"/>
              <w:left w:val="single" w:sz="4" w:space="0" w:color="auto"/>
              <w:bottom w:val="single" w:sz="4" w:space="0" w:color="auto"/>
              <w:right w:val="single" w:sz="4" w:space="0" w:color="auto"/>
            </w:tcBorders>
            <w:vAlign w:val="center"/>
          </w:tcPr>
          <w:p w14:paraId="4C068DE4"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Visoka prosječna ocjena ukazuje na važnost ovog motiva.</w:t>
            </w:r>
          </w:p>
          <w:p w14:paraId="327E43D0"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Većina odgovora ispitanika naginje prema višoj važnosti.</w:t>
            </w:r>
          </w:p>
          <w:p w14:paraId="30FC5031"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Najčešća ocjena također ukazuje na značaj ovog motiva.</w:t>
            </w:r>
          </w:p>
          <w:p w14:paraId="5A9D222B"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Niska devijacija sugerira relativnu suglasnost ispitanika.</w:t>
            </w:r>
          </w:p>
        </w:tc>
      </w:tr>
      <w:tr w:rsidR="006571B5" w:rsidRPr="0086761B" w14:paraId="12C6DF50"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5699708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w:t>
            </w:r>
          </w:p>
        </w:tc>
        <w:tc>
          <w:tcPr>
            <w:tcW w:w="0" w:type="auto"/>
            <w:tcBorders>
              <w:top w:val="single" w:sz="4" w:space="0" w:color="000000"/>
              <w:left w:val="single" w:sz="4" w:space="0" w:color="000000"/>
              <w:bottom w:val="single" w:sz="4" w:space="0" w:color="000000"/>
            </w:tcBorders>
            <w:vAlign w:val="center"/>
          </w:tcPr>
          <w:p w14:paraId="57800EA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Povećanje kapaciteta poduzeća preuzimatelja (uz manje kapitalne i operativne troškove nego li što bi to bilo u slučaju izgradnje novih vlastitih objekata)</w:t>
            </w:r>
          </w:p>
        </w:tc>
        <w:tc>
          <w:tcPr>
            <w:tcW w:w="1249" w:type="dxa"/>
            <w:tcBorders>
              <w:top w:val="single" w:sz="4" w:space="0" w:color="000000"/>
              <w:left w:val="single" w:sz="4" w:space="0" w:color="000000"/>
              <w:bottom w:val="single" w:sz="4" w:space="0" w:color="000000"/>
            </w:tcBorders>
            <w:shd w:val="clear" w:color="auto" w:fill="FFFFFF"/>
            <w:vAlign w:val="center"/>
          </w:tcPr>
          <w:p w14:paraId="66BE8A9C"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4,167</w:t>
            </w:r>
          </w:p>
        </w:tc>
        <w:tc>
          <w:tcPr>
            <w:tcW w:w="1337" w:type="dxa"/>
            <w:tcBorders>
              <w:top w:val="single" w:sz="4" w:space="0" w:color="000000"/>
              <w:left w:val="single" w:sz="4" w:space="0" w:color="000000"/>
              <w:bottom w:val="single" w:sz="4" w:space="0" w:color="000000"/>
            </w:tcBorders>
            <w:shd w:val="clear" w:color="auto" w:fill="FFFFFF"/>
            <w:vAlign w:val="center"/>
          </w:tcPr>
          <w:p w14:paraId="36D8652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26AC706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4060782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0,753</w:t>
            </w:r>
          </w:p>
        </w:tc>
        <w:tc>
          <w:tcPr>
            <w:tcW w:w="0" w:type="auto"/>
            <w:tcBorders>
              <w:top w:val="single" w:sz="4" w:space="0" w:color="auto"/>
              <w:left w:val="single" w:sz="4" w:space="0" w:color="auto"/>
              <w:bottom w:val="single" w:sz="4" w:space="0" w:color="auto"/>
              <w:right w:val="single" w:sz="4" w:space="0" w:color="auto"/>
            </w:tcBorders>
            <w:vAlign w:val="center"/>
          </w:tcPr>
          <w:p w14:paraId="4FEE697A"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Visoka prosječna ocjena sugerira da je motiv važan za većinu stručnjaka.</w:t>
            </w:r>
          </w:p>
          <w:p w14:paraId="08514A16"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Polovica odgovora naginje visokoj važnosti.</w:t>
            </w:r>
          </w:p>
          <w:p w14:paraId="3193DC86"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Najčešća ocjena podržava stav o važnosti ovog motiva.</w:t>
            </w:r>
          </w:p>
          <w:p w14:paraId="107FD2CE"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lastRenderedPageBreak/>
              <w:t>Niska devijacija ukazuje na stabilan konsenzus ispitanika.</w:t>
            </w:r>
          </w:p>
        </w:tc>
      </w:tr>
      <w:tr w:rsidR="006571B5" w:rsidRPr="0086761B" w14:paraId="35693567"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7271B58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4</w:t>
            </w:r>
          </w:p>
        </w:tc>
        <w:tc>
          <w:tcPr>
            <w:tcW w:w="0" w:type="auto"/>
            <w:tcBorders>
              <w:top w:val="single" w:sz="4" w:space="0" w:color="000000"/>
              <w:left w:val="single" w:sz="4" w:space="0" w:color="000000"/>
              <w:bottom w:val="single" w:sz="4" w:space="0" w:color="000000"/>
            </w:tcBorders>
            <w:vAlign w:val="center"/>
          </w:tcPr>
          <w:p w14:paraId="0F4F235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Jačanje marke i reputacije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6A0A9159"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4,000</w:t>
            </w:r>
          </w:p>
        </w:tc>
        <w:tc>
          <w:tcPr>
            <w:tcW w:w="1337" w:type="dxa"/>
            <w:tcBorders>
              <w:top w:val="single" w:sz="4" w:space="0" w:color="000000"/>
              <w:left w:val="single" w:sz="4" w:space="0" w:color="000000"/>
              <w:bottom w:val="single" w:sz="4" w:space="0" w:color="000000"/>
            </w:tcBorders>
            <w:shd w:val="clear" w:color="auto" w:fill="FFFFFF"/>
            <w:vAlign w:val="center"/>
          </w:tcPr>
          <w:p w14:paraId="3276E2A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15E1893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0859E27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0,632</w:t>
            </w:r>
          </w:p>
        </w:tc>
        <w:tc>
          <w:tcPr>
            <w:tcW w:w="0" w:type="auto"/>
            <w:tcBorders>
              <w:top w:val="single" w:sz="4" w:space="0" w:color="auto"/>
              <w:left w:val="single" w:sz="4" w:space="0" w:color="auto"/>
              <w:bottom w:val="single" w:sz="4" w:space="0" w:color="auto"/>
              <w:right w:val="single" w:sz="4" w:space="0" w:color="auto"/>
            </w:tcBorders>
            <w:vAlign w:val="center"/>
          </w:tcPr>
          <w:p w14:paraId="7B50CC42"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Generalno, motiv se smatra važnim.</w:t>
            </w:r>
          </w:p>
          <w:p w14:paraId="65B8FD8E"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Srednja vrijednost potvrđuje sklonost ispitanika ka ovom motivu.</w:t>
            </w:r>
          </w:p>
          <w:p w14:paraId="04E41AEA"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Česti odgovor je 4 što potvrđuje stabilan konsenzus.</w:t>
            </w:r>
          </w:p>
          <w:p w14:paraId="3DE92CD1"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Niska devijacija ukazuje relativnu suglasnost ispitanika.</w:t>
            </w:r>
          </w:p>
        </w:tc>
      </w:tr>
      <w:tr w:rsidR="006571B5" w:rsidRPr="0086761B" w14:paraId="36F22E6C"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2032845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5</w:t>
            </w:r>
          </w:p>
        </w:tc>
        <w:tc>
          <w:tcPr>
            <w:tcW w:w="0" w:type="auto"/>
            <w:tcBorders>
              <w:top w:val="single" w:sz="4" w:space="0" w:color="000000"/>
              <w:left w:val="single" w:sz="4" w:space="0" w:color="000000"/>
              <w:bottom w:val="single" w:sz="4" w:space="0" w:color="000000"/>
            </w:tcBorders>
            <w:vAlign w:val="center"/>
          </w:tcPr>
          <w:p w14:paraId="4D0BC1DD"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Smanjivanje troškova (racionalizacija poslovanja) spajanjem dva srodna poduzeća (učinci ekonomije obujma)</w:t>
            </w:r>
          </w:p>
        </w:tc>
        <w:tc>
          <w:tcPr>
            <w:tcW w:w="1249" w:type="dxa"/>
            <w:tcBorders>
              <w:top w:val="single" w:sz="4" w:space="0" w:color="000000"/>
              <w:left w:val="single" w:sz="4" w:space="0" w:color="000000"/>
              <w:bottom w:val="single" w:sz="4" w:space="0" w:color="000000"/>
            </w:tcBorders>
            <w:shd w:val="clear" w:color="auto" w:fill="FFFFFF"/>
            <w:vAlign w:val="center"/>
          </w:tcPr>
          <w:p w14:paraId="57192755"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3,833</w:t>
            </w:r>
          </w:p>
        </w:tc>
        <w:tc>
          <w:tcPr>
            <w:tcW w:w="1337" w:type="dxa"/>
            <w:tcBorders>
              <w:top w:val="single" w:sz="4" w:space="0" w:color="000000"/>
              <w:left w:val="single" w:sz="4" w:space="0" w:color="000000"/>
              <w:bottom w:val="single" w:sz="4" w:space="0" w:color="000000"/>
            </w:tcBorders>
            <w:shd w:val="clear" w:color="auto" w:fill="FFFFFF"/>
            <w:vAlign w:val="center"/>
          </w:tcPr>
          <w:p w14:paraId="7B06BEDE"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4CD5466E"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2CFBC68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1,169</w:t>
            </w:r>
          </w:p>
        </w:tc>
        <w:tc>
          <w:tcPr>
            <w:tcW w:w="0" w:type="auto"/>
            <w:tcBorders>
              <w:top w:val="single" w:sz="4" w:space="0" w:color="auto"/>
              <w:left w:val="single" w:sz="4" w:space="0" w:color="auto"/>
              <w:bottom w:val="single" w:sz="4" w:space="0" w:color="auto"/>
              <w:right w:val="single" w:sz="4" w:space="0" w:color="auto"/>
            </w:tcBorders>
            <w:vAlign w:val="center"/>
          </w:tcPr>
          <w:p w14:paraId="51FADC7D"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Prilično visoka prosječna ocjena.</w:t>
            </w:r>
          </w:p>
          <w:p w14:paraId="1FE985E6"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Većina odgovora ispitanika ukazuje važnost ovog motiva.</w:t>
            </w:r>
          </w:p>
          <w:p w14:paraId="5CC27DE7"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Često je ovom motivu dodijeljena visoka važnost..</w:t>
            </w:r>
          </w:p>
          <w:p w14:paraId="2C64ED59"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Umjerena varijacija u odgovorima ukazuje da neki ispitanici preferiraju i druge motive.</w:t>
            </w:r>
          </w:p>
        </w:tc>
      </w:tr>
      <w:tr w:rsidR="006571B5" w:rsidRPr="0086761B" w14:paraId="2520C4C2"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03EBBCD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6</w:t>
            </w:r>
          </w:p>
        </w:tc>
        <w:tc>
          <w:tcPr>
            <w:tcW w:w="0" w:type="auto"/>
            <w:tcBorders>
              <w:top w:val="single" w:sz="4" w:space="0" w:color="000000"/>
              <w:left w:val="single" w:sz="4" w:space="0" w:color="000000"/>
              <w:bottom w:val="single" w:sz="4" w:space="0" w:color="000000"/>
            </w:tcBorders>
            <w:vAlign w:val="center"/>
          </w:tcPr>
          <w:p w14:paraId="05B7D175"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Ostvarivanje liderske pozicije u industriji</w:t>
            </w:r>
          </w:p>
        </w:tc>
        <w:tc>
          <w:tcPr>
            <w:tcW w:w="1249" w:type="dxa"/>
            <w:tcBorders>
              <w:top w:val="single" w:sz="4" w:space="0" w:color="000000"/>
              <w:left w:val="single" w:sz="4" w:space="0" w:color="000000"/>
              <w:bottom w:val="single" w:sz="4" w:space="0" w:color="000000"/>
            </w:tcBorders>
            <w:shd w:val="clear" w:color="auto" w:fill="FFFFFF"/>
            <w:vAlign w:val="center"/>
          </w:tcPr>
          <w:p w14:paraId="77EB311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3,667</w:t>
            </w:r>
          </w:p>
        </w:tc>
        <w:tc>
          <w:tcPr>
            <w:tcW w:w="1337" w:type="dxa"/>
            <w:tcBorders>
              <w:top w:val="single" w:sz="4" w:space="0" w:color="000000"/>
              <w:left w:val="single" w:sz="4" w:space="0" w:color="000000"/>
              <w:bottom w:val="single" w:sz="4" w:space="0" w:color="000000"/>
            </w:tcBorders>
            <w:shd w:val="clear" w:color="auto" w:fill="FFFFFF"/>
            <w:vAlign w:val="center"/>
          </w:tcPr>
          <w:p w14:paraId="14C668E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1AB2B54B"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54E1B62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1,366</w:t>
            </w:r>
          </w:p>
        </w:tc>
        <w:tc>
          <w:tcPr>
            <w:tcW w:w="0" w:type="auto"/>
            <w:tcBorders>
              <w:top w:val="single" w:sz="4" w:space="0" w:color="auto"/>
              <w:left w:val="single" w:sz="4" w:space="0" w:color="auto"/>
              <w:bottom w:val="single" w:sz="4" w:space="0" w:color="auto"/>
              <w:right w:val="single" w:sz="4" w:space="0" w:color="auto"/>
            </w:tcBorders>
            <w:vAlign w:val="center"/>
          </w:tcPr>
          <w:p w14:paraId="7215703F"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Stručnjaci su skloni ovome motivu, ali ne s izrazitom podrškom u dodijeli važnosti ovom motivu.</w:t>
            </w:r>
          </w:p>
          <w:p w14:paraId="3B8013AD"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lastRenderedPageBreak/>
              <w:t>Srednja vrijednost ukazuje na blagu sklonost prema važnosti ovog motiva.</w:t>
            </w:r>
          </w:p>
          <w:p w14:paraId="3B7FB82D"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Većina smatra da je liderstvo bitan motiv.</w:t>
            </w:r>
          </w:p>
          <w:p w14:paraId="2DC97881"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Visoka devijacija sugerira podijeljena mišljenja ispitanika iz brojnih razloga.</w:t>
            </w:r>
          </w:p>
        </w:tc>
      </w:tr>
      <w:tr w:rsidR="006571B5" w:rsidRPr="0086761B" w14:paraId="4A8FCAEA"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7528FC6C"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6</w:t>
            </w:r>
          </w:p>
        </w:tc>
        <w:tc>
          <w:tcPr>
            <w:tcW w:w="0" w:type="auto"/>
            <w:tcBorders>
              <w:top w:val="single" w:sz="4" w:space="0" w:color="000000"/>
              <w:left w:val="single" w:sz="4" w:space="0" w:color="000000"/>
              <w:bottom w:val="single" w:sz="4" w:space="0" w:color="000000"/>
            </w:tcBorders>
            <w:vAlign w:val="center"/>
          </w:tcPr>
          <w:p w14:paraId="4068B30C"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Nemogućnost internog rasta</w:t>
            </w:r>
          </w:p>
        </w:tc>
        <w:tc>
          <w:tcPr>
            <w:tcW w:w="1249" w:type="dxa"/>
            <w:tcBorders>
              <w:top w:val="single" w:sz="4" w:space="0" w:color="000000"/>
              <w:left w:val="single" w:sz="4" w:space="0" w:color="000000"/>
              <w:bottom w:val="single" w:sz="4" w:space="0" w:color="000000"/>
            </w:tcBorders>
            <w:shd w:val="clear" w:color="auto" w:fill="FFFFFF"/>
            <w:vAlign w:val="center"/>
          </w:tcPr>
          <w:p w14:paraId="0BA997EC"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3,667</w:t>
            </w:r>
          </w:p>
        </w:tc>
        <w:tc>
          <w:tcPr>
            <w:tcW w:w="1337" w:type="dxa"/>
            <w:tcBorders>
              <w:top w:val="single" w:sz="4" w:space="0" w:color="000000"/>
              <w:left w:val="single" w:sz="4" w:space="0" w:color="000000"/>
              <w:bottom w:val="single" w:sz="4" w:space="0" w:color="000000"/>
            </w:tcBorders>
            <w:shd w:val="clear" w:color="auto" w:fill="FFFFFF"/>
            <w:vAlign w:val="center"/>
          </w:tcPr>
          <w:p w14:paraId="0435F3E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24DBB7F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1C2D7C03"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1,033</w:t>
            </w:r>
          </w:p>
        </w:tc>
        <w:tc>
          <w:tcPr>
            <w:tcW w:w="0" w:type="auto"/>
            <w:tcBorders>
              <w:top w:val="single" w:sz="4" w:space="0" w:color="auto"/>
              <w:left w:val="single" w:sz="4" w:space="0" w:color="auto"/>
              <w:bottom w:val="single" w:sz="4" w:space="0" w:color="auto"/>
              <w:right w:val="single" w:sz="4" w:space="0" w:color="auto"/>
            </w:tcBorders>
            <w:vAlign w:val="center"/>
          </w:tcPr>
          <w:p w14:paraId="17FB4D8B"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Generalno, stav je ispitanika da je ovaj motiv umjereno važan.</w:t>
            </w:r>
          </w:p>
          <w:p w14:paraId="1EDA87CB"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Srednja vrijednost pak podupire višu važnost motiva za neke ispitanike.</w:t>
            </w:r>
          </w:p>
          <w:p w14:paraId="4098365C"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Najčešći odgovor također ukazuje na viši značaj motiva.</w:t>
            </w:r>
          </w:p>
          <w:p w14:paraId="2A6A496E"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Veća varijacija znači da neki ispitanici smatraju da je ovaj motiv važniji od drugih.</w:t>
            </w:r>
          </w:p>
        </w:tc>
      </w:tr>
      <w:tr w:rsidR="006571B5" w:rsidRPr="0086761B" w14:paraId="7C124256"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0968579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7</w:t>
            </w:r>
          </w:p>
        </w:tc>
        <w:tc>
          <w:tcPr>
            <w:tcW w:w="0" w:type="auto"/>
            <w:tcBorders>
              <w:top w:val="single" w:sz="4" w:space="0" w:color="000000"/>
              <w:left w:val="single" w:sz="4" w:space="0" w:color="000000"/>
              <w:bottom w:val="single" w:sz="4" w:space="0" w:color="000000"/>
            </w:tcBorders>
            <w:vAlign w:val="center"/>
          </w:tcPr>
          <w:p w14:paraId="02F40004"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Kontrola upravljačke strukture u poduzeću meti radi utjecaja na njezino buduće poslovanje</w:t>
            </w:r>
          </w:p>
        </w:tc>
        <w:tc>
          <w:tcPr>
            <w:tcW w:w="1249" w:type="dxa"/>
            <w:tcBorders>
              <w:top w:val="single" w:sz="4" w:space="0" w:color="000000"/>
              <w:left w:val="single" w:sz="4" w:space="0" w:color="000000"/>
              <w:bottom w:val="single" w:sz="4" w:space="0" w:color="000000"/>
            </w:tcBorders>
            <w:shd w:val="clear" w:color="auto" w:fill="FFFFFF"/>
            <w:vAlign w:val="center"/>
          </w:tcPr>
          <w:p w14:paraId="65B13E9E"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3,333</w:t>
            </w:r>
          </w:p>
        </w:tc>
        <w:tc>
          <w:tcPr>
            <w:tcW w:w="1337" w:type="dxa"/>
            <w:tcBorders>
              <w:top w:val="single" w:sz="4" w:space="0" w:color="000000"/>
              <w:left w:val="single" w:sz="4" w:space="0" w:color="000000"/>
              <w:bottom w:val="single" w:sz="4" w:space="0" w:color="000000"/>
            </w:tcBorders>
            <w:shd w:val="clear" w:color="auto" w:fill="FFFFFF"/>
            <w:vAlign w:val="center"/>
          </w:tcPr>
          <w:p w14:paraId="5BBC10D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58DEBFA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3,5</w:t>
            </w:r>
          </w:p>
        </w:tc>
        <w:tc>
          <w:tcPr>
            <w:tcW w:w="0" w:type="auto"/>
            <w:tcBorders>
              <w:top w:val="single" w:sz="4" w:space="0" w:color="auto"/>
              <w:left w:val="single" w:sz="4" w:space="0" w:color="auto"/>
              <w:bottom w:val="single" w:sz="4" w:space="0" w:color="auto"/>
              <w:right w:val="single" w:sz="4" w:space="0" w:color="auto"/>
            </w:tcBorders>
            <w:vAlign w:val="center"/>
          </w:tcPr>
          <w:p w14:paraId="746A4DD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1,633</w:t>
            </w:r>
          </w:p>
        </w:tc>
        <w:tc>
          <w:tcPr>
            <w:tcW w:w="0" w:type="auto"/>
            <w:tcBorders>
              <w:top w:val="single" w:sz="4" w:space="0" w:color="auto"/>
              <w:left w:val="single" w:sz="4" w:space="0" w:color="auto"/>
              <w:bottom w:val="single" w:sz="4" w:space="0" w:color="auto"/>
              <w:right w:val="single" w:sz="4" w:space="0" w:color="auto"/>
            </w:tcBorders>
            <w:vAlign w:val="center"/>
          </w:tcPr>
          <w:p w14:paraId="2D382BF6"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Umjerena važnost ovog motiva.</w:t>
            </w:r>
          </w:p>
          <w:p w14:paraId="5EFB3888"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Srednja vrijednost pokazuje blagu sklonost ispitanika prema ovom motivu.</w:t>
            </w:r>
          </w:p>
          <w:p w14:paraId="66B4B423"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Čest odgovor 3,5, pokazuje dvosmislenost.</w:t>
            </w:r>
          </w:p>
          <w:p w14:paraId="3D6F90C9"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lastRenderedPageBreak/>
              <w:t>Visoka devijacija, sugerira podijeljena mišljenja ispitanika.</w:t>
            </w:r>
          </w:p>
        </w:tc>
      </w:tr>
      <w:tr w:rsidR="006571B5" w:rsidRPr="0086761B" w14:paraId="27418A63"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6387DCD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7</w:t>
            </w:r>
          </w:p>
        </w:tc>
        <w:tc>
          <w:tcPr>
            <w:tcW w:w="0" w:type="auto"/>
            <w:tcBorders>
              <w:top w:val="single" w:sz="4" w:space="0" w:color="000000"/>
              <w:left w:val="single" w:sz="4" w:space="0" w:color="000000"/>
              <w:bottom w:val="single" w:sz="4" w:space="0" w:color="000000"/>
            </w:tcBorders>
            <w:vAlign w:val="center"/>
          </w:tcPr>
          <w:p w14:paraId="6E30313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Povećanje vrijednosti (dionica)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49DC262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3,333</w:t>
            </w:r>
          </w:p>
        </w:tc>
        <w:tc>
          <w:tcPr>
            <w:tcW w:w="1337" w:type="dxa"/>
            <w:tcBorders>
              <w:top w:val="single" w:sz="4" w:space="0" w:color="000000"/>
              <w:left w:val="single" w:sz="4" w:space="0" w:color="000000"/>
              <w:bottom w:val="single" w:sz="4" w:space="0" w:color="000000"/>
            </w:tcBorders>
            <w:shd w:val="clear" w:color="auto" w:fill="FFFFFF"/>
            <w:vAlign w:val="center"/>
          </w:tcPr>
          <w:p w14:paraId="1DAF873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71E44BC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5E3B437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0,816</w:t>
            </w:r>
          </w:p>
        </w:tc>
        <w:tc>
          <w:tcPr>
            <w:tcW w:w="0" w:type="auto"/>
            <w:tcBorders>
              <w:top w:val="single" w:sz="4" w:space="0" w:color="auto"/>
              <w:left w:val="single" w:sz="4" w:space="0" w:color="auto"/>
              <w:bottom w:val="single" w:sz="4" w:space="0" w:color="auto"/>
              <w:right w:val="single" w:sz="4" w:space="0" w:color="auto"/>
            </w:tcBorders>
            <w:vAlign w:val="center"/>
          </w:tcPr>
          <w:p w14:paraId="22972A88" w14:textId="3C77223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Ocjene su srednje vrijednosti, što sugerira umjereno mišljenje ispitanika o važnosti ovog motiva.</w:t>
            </w:r>
          </w:p>
          <w:p w14:paraId="1C476D23"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Srednja vrijednost je blizu 4, s tendencijom ka dodjeljivanju više važnosti.</w:t>
            </w:r>
          </w:p>
          <w:p w14:paraId="7B32A75C"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Najviše ispitanika ovom motivu dodjeljuje ocjenu 4, što znači da dio stručnjaka vidi povećanje vrijednosti kao relativno relevantan motiv.</w:t>
            </w:r>
          </w:p>
          <w:p w14:paraId="614B77D8"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Niža devijacija ukazuje na relativno dosljedan stav ispitanika prema motivu.</w:t>
            </w:r>
          </w:p>
        </w:tc>
      </w:tr>
      <w:tr w:rsidR="006571B5" w:rsidRPr="0086761B" w14:paraId="1546438D"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1866C78B"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8</w:t>
            </w:r>
          </w:p>
        </w:tc>
        <w:tc>
          <w:tcPr>
            <w:tcW w:w="0" w:type="auto"/>
            <w:tcBorders>
              <w:top w:val="single" w:sz="4" w:space="0" w:color="000000"/>
              <w:left w:val="single" w:sz="4" w:space="0" w:color="000000"/>
              <w:bottom w:val="single" w:sz="4" w:space="0" w:color="000000"/>
            </w:tcBorders>
            <w:vAlign w:val="center"/>
          </w:tcPr>
          <w:p w14:paraId="3A01CF3A"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Plasiranje viška slobodnih financijskih sredstava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7277B29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3,167</w:t>
            </w:r>
          </w:p>
        </w:tc>
        <w:tc>
          <w:tcPr>
            <w:tcW w:w="1337" w:type="dxa"/>
            <w:tcBorders>
              <w:top w:val="single" w:sz="4" w:space="0" w:color="000000"/>
              <w:left w:val="single" w:sz="4" w:space="0" w:color="000000"/>
              <w:bottom w:val="single" w:sz="4" w:space="0" w:color="000000"/>
            </w:tcBorders>
            <w:shd w:val="clear" w:color="auto" w:fill="FFFFFF"/>
            <w:vAlign w:val="center"/>
          </w:tcPr>
          <w:p w14:paraId="750B58D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4F5C386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vAlign w:val="center"/>
          </w:tcPr>
          <w:p w14:paraId="1FEC8A7B"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0,408</w:t>
            </w:r>
          </w:p>
        </w:tc>
        <w:tc>
          <w:tcPr>
            <w:tcW w:w="0" w:type="auto"/>
            <w:tcBorders>
              <w:top w:val="single" w:sz="4" w:space="0" w:color="auto"/>
              <w:left w:val="single" w:sz="4" w:space="0" w:color="auto"/>
              <w:bottom w:val="single" w:sz="4" w:space="0" w:color="auto"/>
              <w:right w:val="single" w:sz="4" w:space="0" w:color="auto"/>
            </w:tcBorders>
            <w:vAlign w:val="center"/>
          </w:tcPr>
          <w:p w14:paraId="508959F6"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Neutralan stav ispitanika o važnosti ovog motiva.</w:t>
            </w:r>
          </w:p>
          <w:p w14:paraId="404D24EF"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Srednja vrijednost podržava neutralnu ocjenu.</w:t>
            </w:r>
          </w:p>
          <w:p w14:paraId="6A8EB43F"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 xml:space="preserve">Stabilan konsenzus ispitanika ukazuje da je motiv </w:t>
            </w:r>
            <w:r w:rsidRPr="0086761B">
              <w:rPr>
                <w:rFonts w:ascii="Times New Roman" w:hAnsi="Times New Roman" w:cs="Times New Roman"/>
              </w:rPr>
              <w:lastRenderedPageBreak/>
              <w:t>ocijenjen kao srednje važan.</w:t>
            </w:r>
          </w:p>
          <w:p w14:paraId="7FA5C367"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Niska varijacija ukazuje na suglasnost ispitanika.</w:t>
            </w:r>
          </w:p>
        </w:tc>
      </w:tr>
      <w:tr w:rsidR="006571B5" w:rsidRPr="0086761B" w14:paraId="32BDD3DB"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439A38E3"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9</w:t>
            </w:r>
          </w:p>
        </w:tc>
        <w:tc>
          <w:tcPr>
            <w:tcW w:w="0" w:type="auto"/>
            <w:tcBorders>
              <w:top w:val="single" w:sz="4" w:space="0" w:color="000000"/>
              <w:left w:val="single" w:sz="4" w:space="0" w:color="000000"/>
              <w:bottom w:val="single" w:sz="4" w:space="0" w:color="000000"/>
            </w:tcBorders>
            <w:vAlign w:val="center"/>
          </w:tcPr>
          <w:p w14:paraId="0E852CF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Poboljšanje kreditne sposobnosti novoosnovanog poduzeća</w:t>
            </w:r>
          </w:p>
        </w:tc>
        <w:tc>
          <w:tcPr>
            <w:tcW w:w="1249" w:type="dxa"/>
            <w:tcBorders>
              <w:top w:val="single" w:sz="4" w:space="0" w:color="000000"/>
              <w:left w:val="single" w:sz="4" w:space="0" w:color="000000"/>
              <w:bottom w:val="single" w:sz="4" w:space="0" w:color="000000"/>
            </w:tcBorders>
            <w:shd w:val="clear" w:color="auto" w:fill="FFFFFF"/>
            <w:vAlign w:val="center"/>
          </w:tcPr>
          <w:p w14:paraId="2619D02D"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2,667</w:t>
            </w:r>
          </w:p>
        </w:tc>
        <w:tc>
          <w:tcPr>
            <w:tcW w:w="1337" w:type="dxa"/>
            <w:tcBorders>
              <w:top w:val="single" w:sz="4" w:space="0" w:color="000000"/>
              <w:left w:val="single" w:sz="4" w:space="0" w:color="000000"/>
              <w:bottom w:val="single" w:sz="4" w:space="0" w:color="000000"/>
            </w:tcBorders>
            <w:shd w:val="clear" w:color="auto" w:fill="FFFFFF"/>
            <w:vAlign w:val="center"/>
          </w:tcPr>
          <w:p w14:paraId="475411C8"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7F3B11C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vAlign w:val="center"/>
          </w:tcPr>
          <w:p w14:paraId="1825DD41"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1,033</w:t>
            </w:r>
          </w:p>
        </w:tc>
        <w:tc>
          <w:tcPr>
            <w:tcW w:w="0" w:type="auto"/>
            <w:tcBorders>
              <w:top w:val="single" w:sz="4" w:space="0" w:color="auto"/>
              <w:left w:val="single" w:sz="4" w:space="0" w:color="auto"/>
              <w:bottom w:val="single" w:sz="4" w:space="0" w:color="auto"/>
              <w:right w:val="single" w:sz="4" w:space="0" w:color="auto"/>
            </w:tcBorders>
            <w:vAlign w:val="center"/>
          </w:tcPr>
          <w:p w14:paraId="7FA5D80F"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Prosječna ocjena ispod 3 ukazuje na nisku važnost ovog motiva.</w:t>
            </w:r>
          </w:p>
          <w:p w14:paraId="185EA24D"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Neki stručnjaci ipak smatraju kreditnu sposobnost relevantnom.</w:t>
            </w:r>
          </w:p>
          <w:p w14:paraId="0185185A"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Najčešća ocjena je 3, sugerira neutralan ili slab interes.</w:t>
            </w:r>
          </w:p>
          <w:p w14:paraId="6A03E6E5"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Viša varijacija označava da neki smatraju ovaj motiv manje važnim.</w:t>
            </w:r>
          </w:p>
        </w:tc>
      </w:tr>
      <w:tr w:rsidR="006571B5" w:rsidRPr="0086761B" w14:paraId="27549357"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377556BF"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10</w:t>
            </w:r>
          </w:p>
        </w:tc>
        <w:tc>
          <w:tcPr>
            <w:tcW w:w="0" w:type="auto"/>
            <w:tcBorders>
              <w:top w:val="single" w:sz="4" w:space="0" w:color="000000"/>
              <w:left w:val="single" w:sz="4" w:space="0" w:color="000000"/>
              <w:bottom w:val="single" w:sz="4" w:space="0" w:color="000000"/>
            </w:tcBorders>
            <w:vAlign w:val="center"/>
          </w:tcPr>
          <w:p w14:paraId="2B8D9D3A"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Preuzimanje ključnih zaposlenika i talenata iz poduzeća mete</w:t>
            </w:r>
          </w:p>
        </w:tc>
        <w:tc>
          <w:tcPr>
            <w:tcW w:w="1249" w:type="dxa"/>
            <w:tcBorders>
              <w:top w:val="single" w:sz="4" w:space="0" w:color="000000"/>
              <w:left w:val="single" w:sz="4" w:space="0" w:color="000000"/>
              <w:bottom w:val="single" w:sz="4" w:space="0" w:color="000000"/>
            </w:tcBorders>
            <w:shd w:val="clear" w:color="auto" w:fill="FFFFFF"/>
            <w:vAlign w:val="center"/>
          </w:tcPr>
          <w:p w14:paraId="72D58A9E" w14:textId="77777777" w:rsidR="006571B5" w:rsidRPr="0086761B" w:rsidRDefault="006571B5" w:rsidP="0086761B">
            <w:pPr>
              <w:jc w:val="center"/>
              <w:rPr>
                <w:rFonts w:ascii="Times New Roman" w:hAnsi="Times New Roman" w:cs="Times New Roman"/>
                <w:lang w:val="en-US"/>
              </w:rPr>
            </w:pPr>
            <w:r w:rsidRPr="0086761B">
              <w:rPr>
                <w:rFonts w:ascii="Times New Roman" w:hAnsi="Times New Roman" w:cs="Times New Roman"/>
              </w:rPr>
              <w:t>2,500</w:t>
            </w:r>
          </w:p>
        </w:tc>
        <w:tc>
          <w:tcPr>
            <w:tcW w:w="1337" w:type="dxa"/>
            <w:tcBorders>
              <w:top w:val="single" w:sz="4" w:space="0" w:color="000000"/>
              <w:left w:val="single" w:sz="4" w:space="0" w:color="000000"/>
              <w:bottom w:val="single" w:sz="4" w:space="0" w:color="000000"/>
            </w:tcBorders>
            <w:shd w:val="clear" w:color="auto" w:fill="FFFFFF"/>
            <w:vAlign w:val="center"/>
          </w:tcPr>
          <w:p w14:paraId="0533B35B"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2B74698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2,5</w:t>
            </w:r>
          </w:p>
        </w:tc>
        <w:tc>
          <w:tcPr>
            <w:tcW w:w="0" w:type="auto"/>
            <w:tcBorders>
              <w:top w:val="single" w:sz="4" w:space="0" w:color="auto"/>
              <w:left w:val="single" w:sz="4" w:space="0" w:color="auto"/>
              <w:bottom w:val="single" w:sz="4" w:space="0" w:color="auto"/>
              <w:right w:val="single" w:sz="4" w:space="0" w:color="auto"/>
            </w:tcBorders>
            <w:vAlign w:val="center"/>
          </w:tcPr>
          <w:p w14:paraId="2C010DC0"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0,548</w:t>
            </w:r>
          </w:p>
        </w:tc>
        <w:tc>
          <w:tcPr>
            <w:tcW w:w="0" w:type="auto"/>
            <w:tcBorders>
              <w:top w:val="single" w:sz="4" w:space="0" w:color="auto"/>
              <w:left w:val="single" w:sz="4" w:space="0" w:color="auto"/>
              <w:bottom w:val="single" w:sz="4" w:space="0" w:color="auto"/>
              <w:right w:val="single" w:sz="4" w:space="0" w:color="auto"/>
            </w:tcBorders>
            <w:vAlign w:val="center"/>
          </w:tcPr>
          <w:p w14:paraId="3F7950F2"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Ovaj motiv nije osobito važan za većinu ispitanika.</w:t>
            </w:r>
          </w:p>
          <w:p w14:paraId="2C2337B8"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Polovica ocjena je niža od 3.</w:t>
            </w:r>
          </w:p>
          <w:p w14:paraId="5E1D6595"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Najčešći odgovor 2,5 sugerira nisku važnost.</w:t>
            </w:r>
          </w:p>
          <w:p w14:paraId="28CEF9DE" w14:textId="41686CF4"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Niska devijacija označava stabilan konsenzus ispitanika o tome da ovaj motiv nije prioritet.</w:t>
            </w:r>
          </w:p>
        </w:tc>
      </w:tr>
      <w:tr w:rsidR="006571B5" w:rsidRPr="0086761B" w14:paraId="65FA5E94"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72A53456"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lastRenderedPageBreak/>
              <w:t>11</w:t>
            </w:r>
          </w:p>
        </w:tc>
        <w:tc>
          <w:tcPr>
            <w:tcW w:w="0" w:type="auto"/>
            <w:tcBorders>
              <w:top w:val="single" w:sz="4" w:space="0" w:color="000000"/>
              <w:left w:val="single" w:sz="4" w:space="0" w:color="000000"/>
              <w:bottom w:val="single" w:sz="4" w:space="0" w:color="000000"/>
            </w:tcBorders>
            <w:vAlign w:val="center"/>
          </w:tcPr>
          <w:p w14:paraId="46D5CF3D"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Ispunjavanje osobnih ciljeva i/ili vizije izvršnog direktora poduzeća preuzimatelja</w:t>
            </w:r>
          </w:p>
        </w:tc>
        <w:tc>
          <w:tcPr>
            <w:tcW w:w="1249" w:type="dxa"/>
            <w:tcBorders>
              <w:top w:val="single" w:sz="4" w:space="0" w:color="000000"/>
              <w:left w:val="single" w:sz="4" w:space="0" w:color="000000"/>
              <w:bottom w:val="single" w:sz="4" w:space="0" w:color="000000"/>
            </w:tcBorders>
            <w:shd w:val="clear" w:color="auto" w:fill="FFFFFF"/>
            <w:vAlign w:val="center"/>
          </w:tcPr>
          <w:p w14:paraId="137C24B7"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1,833</w:t>
            </w:r>
          </w:p>
        </w:tc>
        <w:tc>
          <w:tcPr>
            <w:tcW w:w="1337" w:type="dxa"/>
            <w:tcBorders>
              <w:top w:val="single" w:sz="4" w:space="0" w:color="000000"/>
              <w:left w:val="single" w:sz="4" w:space="0" w:color="000000"/>
              <w:bottom w:val="single" w:sz="4" w:space="0" w:color="000000"/>
            </w:tcBorders>
            <w:shd w:val="clear" w:color="auto" w:fill="FFFFFF"/>
            <w:vAlign w:val="center"/>
          </w:tcPr>
          <w:p w14:paraId="1C9933E2"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3C682FCE"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2</w:t>
            </w:r>
          </w:p>
        </w:tc>
        <w:tc>
          <w:tcPr>
            <w:tcW w:w="0" w:type="auto"/>
            <w:tcBorders>
              <w:top w:val="single" w:sz="4" w:space="0" w:color="auto"/>
              <w:left w:val="single" w:sz="4" w:space="0" w:color="auto"/>
              <w:bottom w:val="single" w:sz="4" w:space="0" w:color="auto"/>
              <w:right w:val="single" w:sz="4" w:space="0" w:color="auto"/>
            </w:tcBorders>
            <w:vAlign w:val="center"/>
          </w:tcPr>
          <w:p w14:paraId="03FECF5A" w14:textId="77777777" w:rsidR="006571B5" w:rsidRPr="0086761B" w:rsidRDefault="006571B5" w:rsidP="0086761B">
            <w:pPr>
              <w:jc w:val="center"/>
              <w:rPr>
                <w:rFonts w:ascii="Times New Roman" w:hAnsi="Times New Roman" w:cs="Times New Roman"/>
              </w:rPr>
            </w:pPr>
            <w:r w:rsidRPr="0086761B">
              <w:rPr>
                <w:rFonts w:ascii="Times New Roman" w:hAnsi="Times New Roman" w:cs="Times New Roman"/>
              </w:rPr>
              <w:t>0,408</w:t>
            </w:r>
          </w:p>
        </w:tc>
        <w:tc>
          <w:tcPr>
            <w:tcW w:w="0" w:type="auto"/>
            <w:tcBorders>
              <w:top w:val="single" w:sz="4" w:space="0" w:color="auto"/>
              <w:left w:val="single" w:sz="4" w:space="0" w:color="auto"/>
              <w:bottom w:val="single" w:sz="4" w:space="0" w:color="auto"/>
              <w:right w:val="single" w:sz="4" w:space="0" w:color="auto"/>
            </w:tcBorders>
            <w:vAlign w:val="center"/>
          </w:tcPr>
          <w:p w14:paraId="6165572E"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Ovaj motiv smatra se najmanje važnim.</w:t>
            </w:r>
          </w:p>
          <w:p w14:paraId="07CE755A"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Polovica ispitanika ovom motivu daje nisku važnost.</w:t>
            </w:r>
          </w:p>
          <w:p w14:paraId="1678B7EB"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Najčešći odgovor je 2.</w:t>
            </w:r>
          </w:p>
          <w:p w14:paraId="30346B05" w14:textId="77777777" w:rsidR="006571B5" w:rsidRPr="0086761B" w:rsidRDefault="006571B5" w:rsidP="00A81B58">
            <w:pPr>
              <w:jc w:val="center"/>
              <w:rPr>
                <w:rFonts w:ascii="Times New Roman" w:hAnsi="Times New Roman" w:cs="Times New Roman"/>
              </w:rPr>
            </w:pPr>
            <w:r w:rsidRPr="0086761B">
              <w:rPr>
                <w:rFonts w:ascii="Times New Roman" w:hAnsi="Times New Roman" w:cs="Times New Roman"/>
              </w:rPr>
              <w:t>Mala devijacija ukazuje na dosljedan stav među ispitanicima.</w:t>
            </w:r>
          </w:p>
        </w:tc>
      </w:tr>
      <w:bookmarkEnd w:id="286"/>
    </w:tbl>
    <w:p w14:paraId="510B43B5" w14:textId="77777777" w:rsidR="006571B5" w:rsidRPr="0086761B" w:rsidRDefault="006571B5" w:rsidP="006571B5">
      <w:pPr>
        <w:rPr>
          <w:rFonts w:ascii="Times New Roman" w:hAnsi="Times New Roman" w:cs="Times New Roman"/>
        </w:rPr>
      </w:pPr>
    </w:p>
    <w:p w14:paraId="38315ED5" w14:textId="77777777" w:rsidR="006571B5" w:rsidRPr="0086761B" w:rsidRDefault="006571B5" w:rsidP="006571B5">
      <w:pPr>
        <w:rPr>
          <w:rFonts w:ascii="Times New Roman" w:hAnsi="Times New Roman" w:cs="Times New Roman"/>
          <w:lang w:val="it-IT"/>
        </w:rPr>
      </w:pPr>
      <w:bookmarkStart w:id="287" w:name="_Hlk181708991"/>
      <w:r w:rsidRPr="0086761B">
        <w:rPr>
          <w:rFonts w:ascii="Times New Roman" w:hAnsi="Times New Roman" w:cs="Times New Roman"/>
        </w:rPr>
        <w:t xml:space="preserve">Tablica 6: </w:t>
      </w:r>
      <w:r w:rsidRPr="0086761B">
        <w:rPr>
          <w:rFonts w:ascii="Times New Roman" w:hAnsi="Times New Roman" w:cs="Times New Roman"/>
          <w:lang w:val="it-IT"/>
        </w:rPr>
        <w:t xml:space="preserve">Rezultati prvog ciklusa Delphi postupka – čimbenici uspjeha u fazi prije preuzimanja poduzeća mete </w:t>
      </w:r>
    </w:p>
    <w:tbl>
      <w:tblPr>
        <w:tblStyle w:val="TableGrid"/>
        <w:tblW w:w="5231" w:type="pct"/>
        <w:tblInd w:w="-431" w:type="dxa"/>
        <w:tblLayout w:type="fixed"/>
        <w:tblLook w:val="04A0" w:firstRow="1" w:lastRow="0" w:firstColumn="1" w:lastColumn="0" w:noHBand="0" w:noVBand="1"/>
      </w:tblPr>
      <w:tblGrid>
        <w:gridCol w:w="925"/>
        <w:gridCol w:w="1201"/>
        <w:gridCol w:w="1559"/>
        <w:gridCol w:w="1135"/>
        <w:gridCol w:w="702"/>
        <w:gridCol w:w="1141"/>
        <w:gridCol w:w="3119"/>
      </w:tblGrid>
      <w:tr w:rsidR="006571B5" w:rsidRPr="0086761B" w14:paraId="662591CE" w14:textId="77777777" w:rsidTr="002E5B41">
        <w:trPr>
          <w:trHeight w:val="255"/>
        </w:trPr>
        <w:tc>
          <w:tcPr>
            <w:tcW w:w="473" w:type="pct"/>
            <w:vAlign w:val="center"/>
          </w:tcPr>
          <w:p w14:paraId="590FD051" w14:textId="25972AF6" w:rsidR="006571B5" w:rsidRPr="0086761B" w:rsidRDefault="0086761B" w:rsidP="0086761B">
            <w:pPr>
              <w:spacing w:after="160" w:line="259" w:lineRule="auto"/>
              <w:jc w:val="center"/>
              <w:rPr>
                <w:rFonts w:ascii="Times New Roman" w:hAnsi="Times New Roman" w:cs="Times New Roman"/>
                <w:b/>
              </w:rPr>
            </w:pPr>
            <w:r>
              <w:rPr>
                <w:rFonts w:ascii="Times New Roman" w:hAnsi="Times New Roman" w:cs="Times New Roman"/>
                <w:b/>
              </w:rPr>
              <w:t>R</w:t>
            </w:r>
            <w:r w:rsidR="002E5B41">
              <w:rPr>
                <w:rFonts w:ascii="Times New Roman" w:hAnsi="Times New Roman" w:cs="Times New Roman"/>
                <w:b/>
              </w:rPr>
              <w:t>ang</w:t>
            </w:r>
          </w:p>
        </w:tc>
        <w:tc>
          <w:tcPr>
            <w:tcW w:w="614" w:type="pct"/>
            <w:noWrap/>
            <w:vAlign w:val="center"/>
            <w:hideMark/>
          </w:tcPr>
          <w:p w14:paraId="4EB7A371"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Čimbenici</w:t>
            </w:r>
          </w:p>
        </w:tc>
        <w:tc>
          <w:tcPr>
            <w:tcW w:w="797" w:type="pct"/>
            <w:noWrap/>
            <w:vAlign w:val="center"/>
            <w:hideMark/>
          </w:tcPr>
          <w:p w14:paraId="76061517"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Aritmetička sredina</w:t>
            </w:r>
          </w:p>
        </w:tc>
        <w:tc>
          <w:tcPr>
            <w:tcW w:w="580" w:type="pct"/>
            <w:noWrap/>
            <w:vAlign w:val="center"/>
            <w:hideMark/>
          </w:tcPr>
          <w:p w14:paraId="62641AE6"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Medijan</w:t>
            </w:r>
          </w:p>
        </w:tc>
        <w:tc>
          <w:tcPr>
            <w:tcW w:w="359" w:type="pct"/>
            <w:noWrap/>
            <w:vAlign w:val="center"/>
            <w:hideMark/>
          </w:tcPr>
          <w:p w14:paraId="3568DA06"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Mod</w:t>
            </w:r>
          </w:p>
        </w:tc>
        <w:tc>
          <w:tcPr>
            <w:tcW w:w="583" w:type="pct"/>
            <w:noWrap/>
            <w:vAlign w:val="center"/>
            <w:hideMark/>
          </w:tcPr>
          <w:p w14:paraId="1280E44F"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Standardna devijacija</w:t>
            </w:r>
          </w:p>
        </w:tc>
        <w:tc>
          <w:tcPr>
            <w:tcW w:w="1593" w:type="pct"/>
            <w:vAlign w:val="center"/>
          </w:tcPr>
          <w:p w14:paraId="75C37327" w14:textId="77777777" w:rsidR="006571B5" w:rsidRPr="0086761B" w:rsidRDefault="006571B5" w:rsidP="0086761B">
            <w:pPr>
              <w:spacing w:after="160" w:line="259" w:lineRule="auto"/>
              <w:jc w:val="center"/>
              <w:rPr>
                <w:rFonts w:ascii="Times New Roman" w:hAnsi="Times New Roman" w:cs="Times New Roman"/>
                <w:b/>
              </w:rPr>
            </w:pPr>
            <w:r w:rsidRPr="0086761B">
              <w:rPr>
                <w:rFonts w:ascii="Times New Roman" w:hAnsi="Times New Roman" w:cs="Times New Roman"/>
                <w:b/>
              </w:rPr>
              <w:t>Interpretacija</w:t>
            </w:r>
          </w:p>
        </w:tc>
      </w:tr>
      <w:tr w:rsidR="006571B5" w:rsidRPr="0086761B" w14:paraId="767832F3" w14:textId="77777777" w:rsidTr="002E5B41">
        <w:trPr>
          <w:trHeight w:val="255"/>
        </w:trPr>
        <w:tc>
          <w:tcPr>
            <w:tcW w:w="473" w:type="pct"/>
            <w:vAlign w:val="center"/>
          </w:tcPr>
          <w:p w14:paraId="4A5788BE"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1</w:t>
            </w:r>
          </w:p>
        </w:tc>
        <w:tc>
          <w:tcPr>
            <w:tcW w:w="614" w:type="pct"/>
            <w:noWrap/>
            <w:vAlign w:val="center"/>
            <w:hideMark/>
          </w:tcPr>
          <w:p w14:paraId="1B25B2FF"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Dobro poznavanje regulative i propisa</w:t>
            </w:r>
          </w:p>
        </w:tc>
        <w:tc>
          <w:tcPr>
            <w:tcW w:w="797" w:type="pct"/>
            <w:noWrap/>
            <w:vAlign w:val="center"/>
            <w:hideMark/>
          </w:tcPr>
          <w:p w14:paraId="1050AF8A"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0" w:type="pct"/>
            <w:noWrap/>
            <w:vAlign w:val="center"/>
            <w:hideMark/>
          </w:tcPr>
          <w:p w14:paraId="026AFEE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359" w:type="pct"/>
            <w:noWrap/>
            <w:vAlign w:val="center"/>
            <w:hideMark/>
          </w:tcPr>
          <w:p w14:paraId="5DC0A4A0"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hideMark/>
          </w:tcPr>
          <w:p w14:paraId="4278726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w:t>
            </w:r>
          </w:p>
        </w:tc>
        <w:tc>
          <w:tcPr>
            <w:tcW w:w="1593" w:type="pct"/>
            <w:vAlign w:val="center"/>
          </w:tcPr>
          <w:p w14:paraId="21C8E56E"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Maksimalna ocjena ukazuje na visoku važnost koju ispitanici pridaju ovom čimbeniku..</w:t>
            </w:r>
          </w:p>
          <w:p w14:paraId="33167FE8" w14:textId="5E28965E"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pokazuje da su svi ispitanici dali maksimalnu ocjenu, što ukazuje na slaganje ispitanika oko činjenice da je ovaj čimbenik izuzetno važan u procesu koji prethodi spajanju i preuzimanju.</w:t>
            </w:r>
          </w:p>
          <w:p w14:paraId="0135C40C"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također maksimalna (5). To potvrđuje potpunu suglasnost među ispitanicima.</w:t>
            </w:r>
          </w:p>
          <w:p w14:paraId="06AEAEE5"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Potpuni konsenzus među ispitanicima, bez ikakve varijabilnosti, naglašava kritičnu ulogu koju ovaj čimbenik ima.</w:t>
            </w:r>
          </w:p>
        </w:tc>
      </w:tr>
      <w:tr w:rsidR="006571B5" w:rsidRPr="0086761B" w14:paraId="034C01FF" w14:textId="77777777" w:rsidTr="002E5B41">
        <w:trPr>
          <w:trHeight w:val="255"/>
        </w:trPr>
        <w:tc>
          <w:tcPr>
            <w:tcW w:w="473" w:type="pct"/>
            <w:vAlign w:val="center"/>
          </w:tcPr>
          <w:p w14:paraId="7C477C9D"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1</w:t>
            </w:r>
          </w:p>
        </w:tc>
        <w:tc>
          <w:tcPr>
            <w:tcW w:w="614" w:type="pct"/>
            <w:noWrap/>
            <w:vAlign w:val="center"/>
          </w:tcPr>
          <w:p w14:paraId="5D847DA8" w14:textId="588ADDEC"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Dubinsko snimanje poduzeća mete</w:t>
            </w:r>
          </w:p>
        </w:tc>
        <w:tc>
          <w:tcPr>
            <w:tcW w:w="797" w:type="pct"/>
            <w:noWrap/>
            <w:vAlign w:val="center"/>
          </w:tcPr>
          <w:p w14:paraId="3ED5822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0" w:type="pct"/>
            <w:noWrap/>
            <w:vAlign w:val="center"/>
          </w:tcPr>
          <w:p w14:paraId="1FEEF02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359" w:type="pct"/>
            <w:noWrap/>
            <w:vAlign w:val="center"/>
          </w:tcPr>
          <w:p w14:paraId="2C7EF34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tcPr>
          <w:p w14:paraId="1D48146F"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w:t>
            </w:r>
          </w:p>
        </w:tc>
        <w:tc>
          <w:tcPr>
            <w:tcW w:w="1593" w:type="pct"/>
            <w:vAlign w:val="center"/>
          </w:tcPr>
          <w:p w14:paraId="7144A2CA"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Najviša moguća ocjena znači da ispitanici prepoznaju dubinsko snimanje kao ključnu aktivnost u procesu koji prethodi spajanju i preuzimanju.</w:t>
            </w:r>
          </w:p>
          <w:p w14:paraId="71260F9F"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lastRenderedPageBreak/>
              <w:t>Medijan ukazuje da svi ispitanici smatraju ovaj čimbenik apsolutno ključnim.</w:t>
            </w:r>
          </w:p>
          <w:p w14:paraId="5C324ADC"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također 5, što odražava potpuni konsenzus ispitanika.</w:t>
            </w:r>
          </w:p>
          <w:p w14:paraId="106EBCC1"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Ne uočava se varijabilnost čime se dodatno potvrđuje konsenzus ispitanika oko visoke važnosti ovog čimbenika.</w:t>
            </w:r>
          </w:p>
        </w:tc>
      </w:tr>
      <w:tr w:rsidR="006571B5" w:rsidRPr="0086761B" w14:paraId="24717464" w14:textId="77777777" w:rsidTr="002E5B41">
        <w:trPr>
          <w:trHeight w:val="255"/>
        </w:trPr>
        <w:tc>
          <w:tcPr>
            <w:tcW w:w="473" w:type="pct"/>
            <w:vAlign w:val="center"/>
          </w:tcPr>
          <w:p w14:paraId="15F54ADD"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2</w:t>
            </w:r>
          </w:p>
        </w:tc>
        <w:tc>
          <w:tcPr>
            <w:tcW w:w="614" w:type="pct"/>
            <w:noWrap/>
            <w:vAlign w:val="center"/>
          </w:tcPr>
          <w:p w14:paraId="7E45AEBD"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 xml:space="preserve">Dobra procjena potencijalne operativne sinergije poduzeća mete na poduzeće preuzimatelja </w:t>
            </w:r>
            <w:r w:rsidRPr="0086761B">
              <w:rPr>
                <w:rFonts w:ascii="Times New Roman" w:hAnsi="Times New Roman" w:cs="Times New Roman"/>
              </w:rPr>
              <w:br/>
              <w:t>(tj. poboljšanu operativnu učinkovitost)</w:t>
            </w:r>
          </w:p>
        </w:tc>
        <w:tc>
          <w:tcPr>
            <w:tcW w:w="797" w:type="pct"/>
            <w:noWrap/>
            <w:vAlign w:val="center"/>
          </w:tcPr>
          <w:p w14:paraId="524D912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4,667</w:t>
            </w:r>
          </w:p>
        </w:tc>
        <w:tc>
          <w:tcPr>
            <w:tcW w:w="580" w:type="pct"/>
            <w:noWrap/>
            <w:vAlign w:val="center"/>
          </w:tcPr>
          <w:p w14:paraId="04C769C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5</w:t>
            </w:r>
          </w:p>
        </w:tc>
        <w:tc>
          <w:tcPr>
            <w:tcW w:w="359" w:type="pct"/>
            <w:noWrap/>
            <w:vAlign w:val="center"/>
          </w:tcPr>
          <w:p w14:paraId="7130D4FF"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5</w:t>
            </w:r>
          </w:p>
        </w:tc>
        <w:tc>
          <w:tcPr>
            <w:tcW w:w="583" w:type="pct"/>
            <w:noWrap/>
            <w:vAlign w:val="center"/>
          </w:tcPr>
          <w:p w14:paraId="79682A34"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0,516</w:t>
            </w:r>
          </w:p>
        </w:tc>
        <w:tc>
          <w:tcPr>
            <w:tcW w:w="1593" w:type="pct"/>
            <w:vAlign w:val="center"/>
          </w:tcPr>
          <w:p w14:paraId="2C27F890"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Vrlo visoka prosječna ocjena koju su ispitanici dodijelili ovom čimbeniku ukazuje na važnost precizne procjene sinergije kao dijela uspješnog provođenja procesa prije samog spajanja i preuzimanja.</w:t>
            </w:r>
          </w:p>
          <w:p w14:paraId="147786E7" w14:textId="561D8A29"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također pokazuje visoku važnost ovog čimbenika s obzirom da većina ispitanika dodjeljuje ovom čimbeniku vrlo visoku ocjenu.</w:t>
            </w:r>
          </w:p>
          <w:p w14:paraId="487F168C"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Mod je također 5, što potvrđuje suglasnost među ispitanicima o važnosti ovog čimbenika.</w:t>
            </w:r>
          </w:p>
          <w:p w14:paraId="4E90CF6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it-IT"/>
              </w:rPr>
              <w:t>Niska varijabilnost ukazuje na relativno stabilne stavove među ispitanicima.</w:t>
            </w:r>
          </w:p>
        </w:tc>
      </w:tr>
      <w:tr w:rsidR="006571B5" w:rsidRPr="0086761B" w14:paraId="415C3F6D" w14:textId="77777777" w:rsidTr="002E5B41">
        <w:trPr>
          <w:trHeight w:val="255"/>
        </w:trPr>
        <w:tc>
          <w:tcPr>
            <w:tcW w:w="473" w:type="pct"/>
            <w:vAlign w:val="center"/>
          </w:tcPr>
          <w:p w14:paraId="2F8AEF3B"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3</w:t>
            </w:r>
          </w:p>
        </w:tc>
        <w:tc>
          <w:tcPr>
            <w:tcW w:w="614" w:type="pct"/>
            <w:noWrap/>
            <w:vAlign w:val="center"/>
          </w:tcPr>
          <w:p w14:paraId="0008682E" w14:textId="62708FEF"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Sadašnja vrijednost očekivanih sinergija preuzimanja za poduzeće preuzimatelja će biti veća od plaćenih premija</w:t>
            </w:r>
          </w:p>
        </w:tc>
        <w:tc>
          <w:tcPr>
            <w:tcW w:w="797" w:type="pct"/>
            <w:noWrap/>
            <w:vAlign w:val="center"/>
          </w:tcPr>
          <w:p w14:paraId="5D91539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4,5</w:t>
            </w:r>
          </w:p>
        </w:tc>
        <w:tc>
          <w:tcPr>
            <w:tcW w:w="580" w:type="pct"/>
            <w:noWrap/>
            <w:vAlign w:val="center"/>
          </w:tcPr>
          <w:p w14:paraId="2B40F8D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4,5</w:t>
            </w:r>
          </w:p>
        </w:tc>
        <w:tc>
          <w:tcPr>
            <w:tcW w:w="359" w:type="pct"/>
            <w:noWrap/>
            <w:vAlign w:val="center"/>
          </w:tcPr>
          <w:p w14:paraId="76971290"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tcPr>
          <w:p w14:paraId="1CB022F0"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0,548</w:t>
            </w:r>
          </w:p>
        </w:tc>
        <w:tc>
          <w:tcPr>
            <w:tcW w:w="1593" w:type="pct"/>
            <w:vAlign w:val="center"/>
          </w:tcPr>
          <w:p w14:paraId="2C391825" w14:textId="464A23F5"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dodijeljuju visoku važnost ovom čimbeniku.</w:t>
            </w:r>
          </w:p>
          <w:p w14:paraId="25601DCF"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Medijan potvrđuje dosljednost ispitanika u visokim ocjenama.</w:t>
            </w:r>
          </w:p>
          <w:p w14:paraId="736443EC"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Najčešća ocjena je 5, što upućuje na ključnu važnost ovog čimbenika za mnoge ispitanike.</w:t>
            </w:r>
          </w:p>
          <w:p w14:paraId="688E97A3"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en-US"/>
              </w:rPr>
              <w:t>Niska varijabilnost potvrđuje stabilnost mišljenja ispitanika.</w:t>
            </w:r>
          </w:p>
        </w:tc>
      </w:tr>
      <w:tr w:rsidR="006571B5" w:rsidRPr="0086761B" w14:paraId="7B346DBD" w14:textId="77777777" w:rsidTr="002E5B41">
        <w:trPr>
          <w:trHeight w:val="255"/>
        </w:trPr>
        <w:tc>
          <w:tcPr>
            <w:tcW w:w="473" w:type="pct"/>
            <w:vAlign w:val="center"/>
          </w:tcPr>
          <w:p w14:paraId="0AFA121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4</w:t>
            </w:r>
          </w:p>
        </w:tc>
        <w:tc>
          <w:tcPr>
            <w:tcW w:w="614" w:type="pct"/>
            <w:noWrap/>
            <w:vAlign w:val="center"/>
          </w:tcPr>
          <w:p w14:paraId="3693C50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 xml:space="preserve">Potencijalna financijska sinergija akvizicije (npr. niži troškovi </w:t>
            </w:r>
            <w:r w:rsidRPr="0086761B">
              <w:rPr>
                <w:rFonts w:ascii="Times New Roman" w:hAnsi="Times New Roman" w:cs="Times New Roman"/>
              </w:rPr>
              <w:lastRenderedPageBreak/>
              <w:t>kapitala, niža poreznu stopu)</w:t>
            </w:r>
          </w:p>
        </w:tc>
        <w:tc>
          <w:tcPr>
            <w:tcW w:w="797" w:type="pct"/>
            <w:noWrap/>
            <w:vAlign w:val="center"/>
          </w:tcPr>
          <w:p w14:paraId="5DF9A55B"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lastRenderedPageBreak/>
              <w:t>4,333</w:t>
            </w:r>
          </w:p>
        </w:tc>
        <w:tc>
          <w:tcPr>
            <w:tcW w:w="580" w:type="pct"/>
            <w:noWrap/>
            <w:vAlign w:val="center"/>
          </w:tcPr>
          <w:p w14:paraId="4D4986C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4,5</w:t>
            </w:r>
          </w:p>
        </w:tc>
        <w:tc>
          <w:tcPr>
            <w:tcW w:w="359" w:type="pct"/>
            <w:noWrap/>
            <w:vAlign w:val="center"/>
          </w:tcPr>
          <w:p w14:paraId="18C4374B"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tcPr>
          <w:p w14:paraId="3A89F82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0,816</w:t>
            </w:r>
          </w:p>
        </w:tc>
        <w:tc>
          <w:tcPr>
            <w:tcW w:w="1593" w:type="pct"/>
            <w:vAlign w:val="center"/>
          </w:tcPr>
          <w:p w14:paraId="5A021469" w14:textId="25523869"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dodijeljuju visoku važnost ovom čimbeniku</w:t>
            </w:r>
          </w:p>
          <w:p w14:paraId="1CD5DFFB"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upućuje da ispitanici prepoznaju važnost financijske sinergije.</w:t>
            </w:r>
          </w:p>
          <w:p w14:paraId="53FE5FD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 xml:space="preserve">Najčešća ocjena koju ispitanici dodijeljuju ovom čimbeniku je </w:t>
            </w:r>
            <w:r w:rsidRPr="0086761B">
              <w:rPr>
                <w:rFonts w:ascii="Times New Roman" w:hAnsi="Times New Roman" w:cs="Times New Roman"/>
                <w:lang w:val="it-IT"/>
              </w:rPr>
              <w:lastRenderedPageBreak/>
              <w:t>5, što pokazuje da mnogi smatraju ovaj čimbenik vrlo važnim u procesu koji prethodi spajanju i preuzimanju mete.</w:t>
            </w:r>
          </w:p>
          <w:p w14:paraId="60B0D6FC"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potvrđuje blagu varijabilnost stavova ispitanika.</w:t>
            </w:r>
          </w:p>
        </w:tc>
      </w:tr>
      <w:tr w:rsidR="006571B5" w:rsidRPr="0086761B" w14:paraId="75C93882" w14:textId="77777777" w:rsidTr="002E5B41">
        <w:trPr>
          <w:trHeight w:val="255"/>
        </w:trPr>
        <w:tc>
          <w:tcPr>
            <w:tcW w:w="473" w:type="pct"/>
            <w:vAlign w:val="center"/>
          </w:tcPr>
          <w:p w14:paraId="2562F6F4"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4</w:t>
            </w:r>
          </w:p>
        </w:tc>
        <w:tc>
          <w:tcPr>
            <w:tcW w:w="614" w:type="pct"/>
            <w:noWrap/>
            <w:vAlign w:val="center"/>
          </w:tcPr>
          <w:p w14:paraId="60A8BBE4"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Uključivanje ključnih menadžera i zaposlenika poduzeća preuzimatelja u planiranje akvizicije</w:t>
            </w:r>
          </w:p>
        </w:tc>
        <w:tc>
          <w:tcPr>
            <w:tcW w:w="797" w:type="pct"/>
            <w:noWrap/>
            <w:vAlign w:val="center"/>
          </w:tcPr>
          <w:p w14:paraId="443CFE1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4,333</w:t>
            </w:r>
          </w:p>
        </w:tc>
        <w:tc>
          <w:tcPr>
            <w:tcW w:w="580" w:type="pct"/>
            <w:noWrap/>
            <w:vAlign w:val="center"/>
          </w:tcPr>
          <w:p w14:paraId="72EC46D0"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6D659BEF"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6E1C221F"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0,516</w:t>
            </w:r>
          </w:p>
        </w:tc>
        <w:tc>
          <w:tcPr>
            <w:tcW w:w="1593" w:type="pct"/>
            <w:vAlign w:val="center"/>
          </w:tcPr>
          <w:p w14:paraId="4855FAAB"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dodijeljuju visoku važnost ovom čimbeniku.</w:t>
            </w:r>
          </w:p>
          <w:p w14:paraId="257E5242"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sugerira stabilno mišljenje o važnosti ovog čimbenika za ispitanike.</w:t>
            </w:r>
          </w:p>
          <w:p w14:paraId="7A26632C"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je 4 što ukazuje na suglasnost među ispitanicima.</w:t>
            </w:r>
          </w:p>
          <w:p w14:paraId="2DB78DD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it-IT"/>
              </w:rPr>
              <w:t>Standardna devijacija potvrđuje nisku varijabilnost.</w:t>
            </w:r>
          </w:p>
        </w:tc>
      </w:tr>
      <w:tr w:rsidR="006571B5" w:rsidRPr="0086761B" w14:paraId="2CCDDA48" w14:textId="77777777" w:rsidTr="002E5B41">
        <w:trPr>
          <w:trHeight w:val="255"/>
        </w:trPr>
        <w:tc>
          <w:tcPr>
            <w:tcW w:w="473" w:type="pct"/>
            <w:vAlign w:val="center"/>
          </w:tcPr>
          <w:p w14:paraId="4389D76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614" w:type="pct"/>
            <w:noWrap/>
            <w:vAlign w:val="center"/>
          </w:tcPr>
          <w:p w14:paraId="1A194DC8" w14:textId="026F183C"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Lokacija poduzeća mete</w:t>
            </w:r>
          </w:p>
        </w:tc>
        <w:tc>
          <w:tcPr>
            <w:tcW w:w="797" w:type="pct"/>
            <w:noWrap/>
            <w:vAlign w:val="center"/>
          </w:tcPr>
          <w:p w14:paraId="57C9B07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4,167</w:t>
            </w:r>
          </w:p>
        </w:tc>
        <w:tc>
          <w:tcPr>
            <w:tcW w:w="580" w:type="pct"/>
            <w:noWrap/>
            <w:vAlign w:val="center"/>
          </w:tcPr>
          <w:p w14:paraId="6F82E77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0BF7C41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3B2953E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0,753</w:t>
            </w:r>
          </w:p>
        </w:tc>
        <w:tc>
          <w:tcPr>
            <w:tcW w:w="1593" w:type="pct"/>
            <w:vAlign w:val="center"/>
          </w:tcPr>
          <w:p w14:paraId="3B83D62D"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Visoka prosječna ocjena koju ispitanici dodjeljuju ovom čimbeniku upućuje na značajnu važnost procjene lokacije u procesu koji prethodi spajanju i/ili preuzimanju mete.</w:t>
            </w:r>
          </w:p>
          <w:p w14:paraId="4BBC445A"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odražava visok stupanj važnosti koji ispitanici pridaju lokaciji.</w:t>
            </w:r>
          </w:p>
          <w:p w14:paraId="10971FE4"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također 4, što potvrđuje stabilnost u ocjenama.</w:t>
            </w:r>
          </w:p>
          <w:p w14:paraId="10AF3696" w14:textId="5E4AD5C8"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Manja varijabilnost ukazuje na suglasje u određivanju važnosti lokacije kao čimbenika koji valja procijeniti prije provođenja procesa spajanja i/ili preuzimanja.</w:t>
            </w:r>
          </w:p>
        </w:tc>
      </w:tr>
      <w:tr w:rsidR="006571B5" w:rsidRPr="0086761B" w14:paraId="4E5CA1CB" w14:textId="77777777" w:rsidTr="002E5B41">
        <w:trPr>
          <w:trHeight w:val="255"/>
        </w:trPr>
        <w:tc>
          <w:tcPr>
            <w:tcW w:w="473" w:type="pct"/>
            <w:vAlign w:val="center"/>
          </w:tcPr>
          <w:p w14:paraId="703BC21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5</w:t>
            </w:r>
          </w:p>
        </w:tc>
        <w:tc>
          <w:tcPr>
            <w:tcW w:w="614" w:type="pct"/>
            <w:noWrap/>
            <w:vAlign w:val="center"/>
          </w:tcPr>
          <w:p w14:paraId="3F90CBB6"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 xml:space="preserve">Identifikacija karakterističnih aspekata organizacijske kulture mete u usporedbi s poduzećem </w:t>
            </w:r>
            <w:r w:rsidRPr="0086761B">
              <w:rPr>
                <w:rFonts w:ascii="Times New Roman" w:hAnsi="Times New Roman" w:cs="Times New Roman"/>
              </w:rPr>
              <w:lastRenderedPageBreak/>
              <w:t>preuzimateljem</w:t>
            </w:r>
          </w:p>
        </w:tc>
        <w:tc>
          <w:tcPr>
            <w:tcW w:w="797" w:type="pct"/>
            <w:noWrap/>
            <w:vAlign w:val="center"/>
          </w:tcPr>
          <w:p w14:paraId="30E3CE2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lastRenderedPageBreak/>
              <w:t>4,167</w:t>
            </w:r>
          </w:p>
        </w:tc>
        <w:tc>
          <w:tcPr>
            <w:tcW w:w="580" w:type="pct"/>
            <w:noWrap/>
            <w:vAlign w:val="center"/>
          </w:tcPr>
          <w:p w14:paraId="2E694BA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4,5</w:t>
            </w:r>
          </w:p>
        </w:tc>
        <w:tc>
          <w:tcPr>
            <w:tcW w:w="359" w:type="pct"/>
            <w:noWrap/>
            <w:vAlign w:val="center"/>
          </w:tcPr>
          <w:p w14:paraId="1887D4BB"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tcPr>
          <w:p w14:paraId="2DF8D0F8"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1,169</w:t>
            </w:r>
          </w:p>
        </w:tc>
        <w:tc>
          <w:tcPr>
            <w:tcW w:w="1593" w:type="pct"/>
            <w:vAlign w:val="center"/>
          </w:tcPr>
          <w:p w14:paraId="3D757510" w14:textId="77F837FD"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dodijeljuju visoku važnost ovom čimbeniku.</w:t>
            </w:r>
          </w:p>
          <w:p w14:paraId="5E18BEC7" w14:textId="0888D90D"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sugerira da većina ispitanika prepoznaje važnost ovog čimbenika.</w:t>
            </w:r>
          </w:p>
          <w:p w14:paraId="765BBB92"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je 5, što pokazuje da neki ispitanici ovaj čimbenik smatraju ključnim u fazi koja prethodi spajanju i/ili preuzimanju.</w:t>
            </w:r>
          </w:p>
          <w:p w14:paraId="3837C3BB"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it-IT"/>
              </w:rPr>
              <w:t>Umjerena varijabilnost postoji i ukazuje na različita mišljenja među ispitanicima.</w:t>
            </w:r>
          </w:p>
        </w:tc>
      </w:tr>
      <w:tr w:rsidR="006571B5" w:rsidRPr="0086761B" w14:paraId="612724F2" w14:textId="77777777" w:rsidTr="002E5B41">
        <w:trPr>
          <w:trHeight w:val="255"/>
        </w:trPr>
        <w:tc>
          <w:tcPr>
            <w:tcW w:w="473" w:type="pct"/>
            <w:vAlign w:val="center"/>
          </w:tcPr>
          <w:p w14:paraId="52B7BFD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6</w:t>
            </w:r>
          </w:p>
        </w:tc>
        <w:tc>
          <w:tcPr>
            <w:tcW w:w="614" w:type="pct"/>
            <w:noWrap/>
            <w:vAlign w:val="center"/>
          </w:tcPr>
          <w:p w14:paraId="6E466AF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Trend glavnih hotelskih pokazatelje uspješnosti poduzeća mete (popunjenost, RevPAR, slobodni novčani tijek i ADR)</w:t>
            </w:r>
          </w:p>
        </w:tc>
        <w:tc>
          <w:tcPr>
            <w:tcW w:w="797" w:type="pct"/>
            <w:noWrap/>
            <w:vAlign w:val="center"/>
          </w:tcPr>
          <w:p w14:paraId="1E81C4B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7363A106"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5025648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458D967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0,894</w:t>
            </w:r>
          </w:p>
        </w:tc>
        <w:tc>
          <w:tcPr>
            <w:tcW w:w="1593" w:type="pct"/>
            <w:vAlign w:val="center"/>
          </w:tcPr>
          <w:p w14:paraId="63D2E2EB" w14:textId="04FB902F"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Ovom čimbeniku ispitanici dodjeljuju visoku važnost. Smatraju ga ključnim čimbenikom.</w:t>
            </w:r>
          </w:p>
          <w:p w14:paraId="2C58435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ukazuje na to da ispitanici prepoznaju važnost ovog čimbenika.</w:t>
            </w:r>
          </w:p>
          <w:p w14:paraId="511C1EA5"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također 4, što pokazuje stabilnost mišljenja.</w:t>
            </w:r>
          </w:p>
          <w:p w14:paraId="3ED08911"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Blaga varijabilnost postoji što upućuje na umjereni konsenzus stavova ispitanika.</w:t>
            </w:r>
          </w:p>
        </w:tc>
      </w:tr>
      <w:tr w:rsidR="006571B5" w:rsidRPr="0086761B" w14:paraId="147B9C8B" w14:textId="77777777" w:rsidTr="002E5B41">
        <w:trPr>
          <w:trHeight w:val="255"/>
        </w:trPr>
        <w:tc>
          <w:tcPr>
            <w:tcW w:w="473" w:type="pct"/>
            <w:vAlign w:val="center"/>
          </w:tcPr>
          <w:p w14:paraId="35C1349A"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6</w:t>
            </w:r>
          </w:p>
        </w:tc>
        <w:tc>
          <w:tcPr>
            <w:tcW w:w="614" w:type="pct"/>
            <w:noWrap/>
            <w:vAlign w:val="center"/>
          </w:tcPr>
          <w:p w14:paraId="500BC5DF"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it-IT"/>
              </w:rPr>
              <w:t>Imidž turističke destinacije u kojoj posluje poduzeće meta</w:t>
            </w:r>
          </w:p>
        </w:tc>
        <w:tc>
          <w:tcPr>
            <w:tcW w:w="797" w:type="pct"/>
            <w:noWrap/>
            <w:vAlign w:val="center"/>
          </w:tcPr>
          <w:p w14:paraId="6EB2D24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5D38E413"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6A928C6F"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13226EDF"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0,632</w:t>
            </w:r>
          </w:p>
        </w:tc>
        <w:tc>
          <w:tcPr>
            <w:tcW w:w="1593" w:type="pct"/>
            <w:vAlign w:val="center"/>
          </w:tcPr>
          <w:p w14:paraId="2B040DBF"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Visoka važnost koju ispitanici dodjeljuju imidžu destinacije ukazuje da bi ovaj čimbenik mogao utjecati na odluku o preuzimanju.</w:t>
            </w:r>
          </w:p>
          <w:p w14:paraId="55901CB8"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ukazuje na dosljedno visoku ocjenu među ispitanicima, što imidž čini važnim čimbenikom.</w:t>
            </w:r>
          </w:p>
          <w:p w14:paraId="14AAB1DD"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također je 4, što pokazuje visok stupanj slaganja među ispitanicima.</w:t>
            </w:r>
          </w:p>
          <w:p w14:paraId="737617CA"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Niska varijabilnost upućuje na stabilnost mišljenja.</w:t>
            </w:r>
          </w:p>
        </w:tc>
      </w:tr>
      <w:tr w:rsidR="006571B5" w:rsidRPr="0086761B" w14:paraId="403DEA72" w14:textId="77777777" w:rsidTr="002E5B41">
        <w:trPr>
          <w:trHeight w:val="255"/>
        </w:trPr>
        <w:tc>
          <w:tcPr>
            <w:tcW w:w="473" w:type="pct"/>
            <w:vAlign w:val="center"/>
          </w:tcPr>
          <w:p w14:paraId="6531333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6</w:t>
            </w:r>
          </w:p>
        </w:tc>
        <w:tc>
          <w:tcPr>
            <w:tcW w:w="614" w:type="pct"/>
            <w:noWrap/>
            <w:vAlign w:val="center"/>
          </w:tcPr>
          <w:p w14:paraId="2B86EA6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Potreba kapitalnih izdataka kod poduzeća mete (npr. potencijalni troškovi obnove nekretnina)</w:t>
            </w:r>
          </w:p>
        </w:tc>
        <w:tc>
          <w:tcPr>
            <w:tcW w:w="797" w:type="pct"/>
            <w:noWrap/>
            <w:vAlign w:val="center"/>
          </w:tcPr>
          <w:p w14:paraId="71DC0D7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21FDA57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1AC0827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3</w:t>
            </w:r>
          </w:p>
        </w:tc>
        <w:tc>
          <w:tcPr>
            <w:tcW w:w="583" w:type="pct"/>
            <w:noWrap/>
            <w:vAlign w:val="center"/>
          </w:tcPr>
          <w:p w14:paraId="66591133"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0,894</w:t>
            </w:r>
          </w:p>
        </w:tc>
        <w:tc>
          <w:tcPr>
            <w:tcW w:w="1593" w:type="pct"/>
            <w:vAlign w:val="center"/>
          </w:tcPr>
          <w:p w14:paraId="01F5BDCE" w14:textId="41D700FD"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ovaj čimbenik smatraju važnim u fazi koja prethodi spajanju i/ili preuzimanju.</w:t>
            </w:r>
          </w:p>
          <w:p w14:paraId="4B7F2701"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kod preuzimanja.</w:t>
            </w:r>
          </w:p>
          <w:p w14:paraId="680840C8"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ukazuje na važnost kapitalnih izdataka kao čimbenika koji ispitanici prepoznaju kao značajan.</w:t>
            </w:r>
          </w:p>
          <w:p w14:paraId="1FAA2D52"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niža (3), što sugerira da neki ispitanici možda pridaju manju važnost ovom čimbeniku u usporedbi s drugima.</w:t>
            </w:r>
          </w:p>
          <w:p w14:paraId="5E997582"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Varijabilnost sugerira mješovite stavove ispitanika.</w:t>
            </w:r>
          </w:p>
        </w:tc>
      </w:tr>
      <w:tr w:rsidR="006571B5" w:rsidRPr="0086761B" w14:paraId="51CA3479" w14:textId="77777777" w:rsidTr="002E5B41">
        <w:trPr>
          <w:trHeight w:val="255"/>
        </w:trPr>
        <w:tc>
          <w:tcPr>
            <w:tcW w:w="473" w:type="pct"/>
            <w:vAlign w:val="center"/>
          </w:tcPr>
          <w:p w14:paraId="2257F8A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6</w:t>
            </w:r>
          </w:p>
        </w:tc>
        <w:tc>
          <w:tcPr>
            <w:tcW w:w="614" w:type="pct"/>
            <w:noWrap/>
            <w:vAlign w:val="center"/>
          </w:tcPr>
          <w:p w14:paraId="23EBAF7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Potencijalni učinak na jačanje marke i reputacije poduzeća preuzimatelja</w:t>
            </w:r>
          </w:p>
        </w:tc>
        <w:tc>
          <w:tcPr>
            <w:tcW w:w="797" w:type="pct"/>
            <w:noWrap/>
            <w:vAlign w:val="center"/>
          </w:tcPr>
          <w:p w14:paraId="23B7E916"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6175BDF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7D04B54B"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38ABE9EB"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w:t>
            </w:r>
          </w:p>
        </w:tc>
        <w:tc>
          <w:tcPr>
            <w:tcW w:w="1593" w:type="pct"/>
            <w:vAlign w:val="center"/>
          </w:tcPr>
          <w:p w14:paraId="3639B6F6"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pridaju visoku važnost ovom čimbeniku.</w:t>
            </w:r>
          </w:p>
          <w:p w14:paraId="5F2CC5FF"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potvrđuje da većina ispitanika dijeli slično mišljenje o važnosti ovog čimbenika.</w:t>
            </w:r>
          </w:p>
          <w:p w14:paraId="53B49E2E"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također 4, što pokazuje visoko slaganje među ispitanicima.</w:t>
            </w:r>
          </w:p>
          <w:p w14:paraId="53251CAF" w14:textId="704DC04D"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it-IT"/>
              </w:rPr>
              <w:t>Nema varijabilnosti, svi ispitanici se slažu oko važnosti ovog čimbenika.</w:t>
            </w:r>
          </w:p>
        </w:tc>
      </w:tr>
      <w:tr w:rsidR="006571B5" w:rsidRPr="0086761B" w14:paraId="0DCB66DB" w14:textId="77777777" w:rsidTr="002E5B41">
        <w:trPr>
          <w:trHeight w:val="255"/>
        </w:trPr>
        <w:tc>
          <w:tcPr>
            <w:tcW w:w="473" w:type="pct"/>
            <w:vAlign w:val="center"/>
          </w:tcPr>
          <w:p w14:paraId="554BEA0F"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6</w:t>
            </w:r>
          </w:p>
        </w:tc>
        <w:tc>
          <w:tcPr>
            <w:tcW w:w="614" w:type="pct"/>
            <w:noWrap/>
            <w:vAlign w:val="center"/>
          </w:tcPr>
          <w:p w14:paraId="5C5F351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Cijena ponude temelji se na konkurentnom položaju poduzeća mete u hotelskom sektoru</w:t>
            </w:r>
          </w:p>
        </w:tc>
        <w:tc>
          <w:tcPr>
            <w:tcW w:w="797" w:type="pct"/>
            <w:noWrap/>
            <w:vAlign w:val="center"/>
          </w:tcPr>
          <w:p w14:paraId="4B838B1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107AE65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55E459C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3455C30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1,095</w:t>
            </w:r>
          </w:p>
        </w:tc>
        <w:tc>
          <w:tcPr>
            <w:tcW w:w="1593" w:type="pct"/>
            <w:vAlign w:val="center"/>
          </w:tcPr>
          <w:p w14:paraId="59287854"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pridaju visoku važnost ovom čimbeniku.</w:t>
            </w:r>
          </w:p>
          <w:p w14:paraId="009D079C" w14:textId="71D7345E"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Većina dodijeljenih ocjena je dosljedna.</w:t>
            </w:r>
          </w:p>
          <w:p w14:paraId="23399E0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4, što pokazuje visoko slaganje među ispitanicima.</w:t>
            </w:r>
          </w:p>
          <w:p w14:paraId="7470286A" w14:textId="6800F7A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Standardna devijacija ukazuje na blagu varijabilnost što znači dapostojeblago različiti stavovi među ispitanicima.</w:t>
            </w:r>
          </w:p>
        </w:tc>
      </w:tr>
      <w:tr w:rsidR="006571B5" w:rsidRPr="0086761B" w14:paraId="3BB45252" w14:textId="77777777" w:rsidTr="002E5B41">
        <w:trPr>
          <w:trHeight w:val="255"/>
        </w:trPr>
        <w:tc>
          <w:tcPr>
            <w:tcW w:w="473" w:type="pct"/>
            <w:vAlign w:val="center"/>
          </w:tcPr>
          <w:p w14:paraId="4F35907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6</w:t>
            </w:r>
          </w:p>
        </w:tc>
        <w:tc>
          <w:tcPr>
            <w:tcW w:w="614" w:type="pct"/>
            <w:noWrap/>
            <w:vAlign w:val="center"/>
          </w:tcPr>
          <w:p w14:paraId="54F4D656"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Potencijalna upravljačka sinergija (tj. poboljšani konkurentni položaj poduzeća mete prijenosom upravljačkog znanja poduzeća preuzimatelja)</w:t>
            </w:r>
          </w:p>
        </w:tc>
        <w:tc>
          <w:tcPr>
            <w:tcW w:w="797" w:type="pct"/>
            <w:noWrap/>
            <w:vAlign w:val="center"/>
          </w:tcPr>
          <w:p w14:paraId="4FCF93A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0" w:type="pct"/>
            <w:noWrap/>
            <w:vAlign w:val="center"/>
          </w:tcPr>
          <w:p w14:paraId="69607BE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357D5D8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2578CD85"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0,632</w:t>
            </w:r>
          </w:p>
        </w:tc>
        <w:tc>
          <w:tcPr>
            <w:tcW w:w="1593" w:type="pct"/>
            <w:vAlign w:val="center"/>
          </w:tcPr>
          <w:p w14:paraId="26712EE0"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pridaju visoku važnost ovom čimbeniku.</w:t>
            </w:r>
          </w:p>
          <w:p w14:paraId="5F200CC2"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pokazuje stabilnost u ocjenama.</w:t>
            </w:r>
          </w:p>
          <w:p w14:paraId="6B964FF5"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4, što pokazuje konzistentnost mišljenja ispitanika.</w:t>
            </w:r>
          </w:p>
          <w:p w14:paraId="00864FE9"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Standardna devijacija ukazuje na nisku varijabilnost stavova ispitanika.</w:t>
            </w:r>
          </w:p>
        </w:tc>
      </w:tr>
      <w:tr w:rsidR="006571B5" w:rsidRPr="0086761B" w14:paraId="79B33013" w14:textId="77777777" w:rsidTr="002E5B41">
        <w:trPr>
          <w:trHeight w:val="255"/>
        </w:trPr>
        <w:tc>
          <w:tcPr>
            <w:tcW w:w="473" w:type="pct"/>
            <w:vAlign w:val="center"/>
          </w:tcPr>
          <w:p w14:paraId="0FC6E1DE"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7</w:t>
            </w:r>
          </w:p>
        </w:tc>
        <w:tc>
          <w:tcPr>
            <w:tcW w:w="614" w:type="pct"/>
            <w:noWrap/>
            <w:vAlign w:val="center"/>
          </w:tcPr>
          <w:p w14:paraId="5BD3CAED"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Vlasnička struktura poduzeća mete</w:t>
            </w:r>
          </w:p>
        </w:tc>
        <w:tc>
          <w:tcPr>
            <w:tcW w:w="797" w:type="pct"/>
            <w:noWrap/>
            <w:vAlign w:val="center"/>
          </w:tcPr>
          <w:p w14:paraId="671CD8A9"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3,833</w:t>
            </w:r>
          </w:p>
        </w:tc>
        <w:tc>
          <w:tcPr>
            <w:tcW w:w="580" w:type="pct"/>
            <w:noWrap/>
            <w:vAlign w:val="center"/>
          </w:tcPr>
          <w:p w14:paraId="58B0C12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0FEFF03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02DFDE34"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0,753</w:t>
            </w:r>
          </w:p>
        </w:tc>
        <w:tc>
          <w:tcPr>
            <w:tcW w:w="1593" w:type="pct"/>
            <w:vAlign w:val="center"/>
          </w:tcPr>
          <w:p w14:paraId="615C316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ovom čimbeniku dodjeljuju umjereno visoku ocjenu.</w:t>
            </w:r>
          </w:p>
          <w:p w14:paraId="28E02552"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sugerira visoku važnost ovog čimbenika jer većina ispitanika daje ocjenu 4.</w:t>
            </w:r>
          </w:p>
          <w:p w14:paraId="3A0490A8"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lastRenderedPageBreak/>
              <w:t>Najčešća ocjena također je 4, što pokazuje konzistentnost stavova ispitanika.</w:t>
            </w:r>
          </w:p>
          <w:p w14:paraId="5C2E5D03"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lang w:val="it-IT"/>
              </w:rPr>
              <w:t>Stabilnost stavova među ispitanicima potvrđuje i blaga varijabilnost.</w:t>
            </w:r>
          </w:p>
        </w:tc>
      </w:tr>
      <w:tr w:rsidR="006571B5" w:rsidRPr="0086761B" w14:paraId="17250ACD" w14:textId="77777777" w:rsidTr="002E5B41">
        <w:trPr>
          <w:trHeight w:val="255"/>
        </w:trPr>
        <w:tc>
          <w:tcPr>
            <w:tcW w:w="473" w:type="pct"/>
            <w:vAlign w:val="center"/>
          </w:tcPr>
          <w:p w14:paraId="6A484FFF"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lastRenderedPageBreak/>
              <w:t>7</w:t>
            </w:r>
          </w:p>
        </w:tc>
        <w:tc>
          <w:tcPr>
            <w:tcW w:w="614" w:type="pct"/>
            <w:noWrap/>
            <w:vAlign w:val="center"/>
          </w:tcPr>
          <w:p w14:paraId="7331D6A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it-IT"/>
              </w:rPr>
              <w:t>Preliminarni razgovori u poduzeću meti</w:t>
            </w:r>
          </w:p>
        </w:tc>
        <w:tc>
          <w:tcPr>
            <w:tcW w:w="797" w:type="pct"/>
            <w:noWrap/>
            <w:vAlign w:val="center"/>
          </w:tcPr>
          <w:p w14:paraId="5A04CFE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3,833</w:t>
            </w:r>
          </w:p>
        </w:tc>
        <w:tc>
          <w:tcPr>
            <w:tcW w:w="580" w:type="pct"/>
            <w:noWrap/>
            <w:vAlign w:val="center"/>
          </w:tcPr>
          <w:p w14:paraId="05A7FDD4"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359" w:type="pct"/>
            <w:noWrap/>
            <w:vAlign w:val="center"/>
          </w:tcPr>
          <w:p w14:paraId="18C150A3"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4</w:t>
            </w:r>
          </w:p>
        </w:tc>
        <w:tc>
          <w:tcPr>
            <w:tcW w:w="583" w:type="pct"/>
            <w:noWrap/>
            <w:vAlign w:val="center"/>
          </w:tcPr>
          <w:p w14:paraId="4B3F2D8B"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lang w:val="en-US"/>
              </w:rPr>
              <w:t>0,983</w:t>
            </w:r>
          </w:p>
        </w:tc>
        <w:tc>
          <w:tcPr>
            <w:tcW w:w="1593" w:type="pct"/>
            <w:vAlign w:val="center"/>
          </w:tcPr>
          <w:p w14:paraId="51C30D67"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Ispitanici dodjeljuju ovom čimbeniku umjereno nižu ocjenu.</w:t>
            </w:r>
          </w:p>
          <w:p w14:paraId="42E61570"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odražava važnost preliminarnih razgovora kao važnog čimbenika u fazi koja prethodi procesu spajanja i/ili preuzimanja.</w:t>
            </w:r>
          </w:p>
          <w:p w14:paraId="0FD14E8B"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4, što ukazuje na stabilnost mišljenja među ispitanicima.</w:t>
            </w:r>
          </w:p>
          <w:p w14:paraId="6BBEF0B4"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Umjerena varijabilnost ukazuje na moguće različite stavove ispitanika o ovom čimbeniku.</w:t>
            </w:r>
          </w:p>
        </w:tc>
      </w:tr>
      <w:tr w:rsidR="006571B5" w:rsidRPr="0086761B" w14:paraId="5EFEDB7A" w14:textId="77777777" w:rsidTr="002E5B41">
        <w:trPr>
          <w:trHeight w:val="255"/>
        </w:trPr>
        <w:tc>
          <w:tcPr>
            <w:tcW w:w="473" w:type="pct"/>
            <w:vAlign w:val="center"/>
          </w:tcPr>
          <w:p w14:paraId="031C130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8</w:t>
            </w:r>
          </w:p>
        </w:tc>
        <w:tc>
          <w:tcPr>
            <w:tcW w:w="614" w:type="pct"/>
            <w:noWrap/>
            <w:vAlign w:val="center"/>
            <w:hideMark/>
          </w:tcPr>
          <w:p w14:paraId="67136C2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Trend u operativnom novčanom toku poduzeća mete</w:t>
            </w:r>
          </w:p>
        </w:tc>
        <w:tc>
          <w:tcPr>
            <w:tcW w:w="797" w:type="pct"/>
            <w:noWrap/>
            <w:vAlign w:val="center"/>
            <w:hideMark/>
          </w:tcPr>
          <w:p w14:paraId="6F29083B"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hideMark/>
          </w:tcPr>
          <w:p w14:paraId="142DBE24"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3,5</w:t>
            </w:r>
          </w:p>
        </w:tc>
        <w:tc>
          <w:tcPr>
            <w:tcW w:w="359" w:type="pct"/>
            <w:noWrap/>
            <w:vAlign w:val="center"/>
            <w:hideMark/>
          </w:tcPr>
          <w:p w14:paraId="39E4248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hideMark/>
          </w:tcPr>
          <w:p w14:paraId="005AF4EA"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1,211</w:t>
            </w:r>
          </w:p>
        </w:tc>
        <w:tc>
          <w:tcPr>
            <w:tcW w:w="1593" w:type="pct"/>
            <w:vAlign w:val="center"/>
          </w:tcPr>
          <w:p w14:paraId="3C72779F"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Umjerena prosječna ocjena koju ispitanici dodjeljuju ovom čimbeniku sugerira da je ovaj čimbenik prepoznat kao važan, ali nije od primarne važnosti.</w:t>
            </w:r>
          </w:p>
          <w:p w14:paraId="0E63D49A"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Medijan je blago ispod aritmetičke sredine, što pokazuje da većina ispitanika smatra ovaj čimbenik važnim, ali ne i presudnim.</w:t>
            </w:r>
          </w:p>
          <w:p w14:paraId="26DFBE89"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Najčešća ocjena je 5, što sugerira da postoji skupina ispitanika koji ovaj čimbenik smatraju vrlo važnim, iako se ocjene razlikuju.</w:t>
            </w:r>
          </w:p>
          <w:p w14:paraId="709D5626" w14:textId="77777777" w:rsidR="006571B5" w:rsidRPr="0086761B" w:rsidRDefault="006571B5" w:rsidP="00A81B58">
            <w:pPr>
              <w:spacing w:line="259" w:lineRule="auto"/>
              <w:jc w:val="center"/>
              <w:rPr>
                <w:rFonts w:ascii="Times New Roman" w:hAnsi="Times New Roman" w:cs="Times New Roman"/>
              </w:rPr>
            </w:pPr>
            <w:r w:rsidRPr="0086761B">
              <w:rPr>
                <w:rFonts w:ascii="Times New Roman" w:hAnsi="Times New Roman" w:cs="Times New Roman"/>
              </w:rPr>
              <w:t>Značajna varijabilnost pokazuje različite stavove među ispitanicima o važnosti ovog čimbenika, možda zbog različitih očekivanja u pogledu financijskih performansi mete.</w:t>
            </w:r>
          </w:p>
        </w:tc>
      </w:tr>
      <w:tr w:rsidR="006571B5" w:rsidRPr="0086761B" w14:paraId="29E1A9EB" w14:textId="77777777" w:rsidTr="002E5B41">
        <w:trPr>
          <w:trHeight w:val="255"/>
        </w:trPr>
        <w:tc>
          <w:tcPr>
            <w:tcW w:w="473" w:type="pct"/>
            <w:vAlign w:val="center"/>
          </w:tcPr>
          <w:p w14:paraId="7236B1E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8</w:t>
            </w:r>
          </w:p>
        </w:tc>
        <w:tc>
          <w:tcPr>
            <w:tcW w:w="614" w:type="pct"/>
            <w:noWrap/>
            <w:vAlign w:val="center"/>
          </w:tcPr>
          <w:p w14:paraId="37540246"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 xml:space="preserve">Povezanost i kompatibilnost poduzeća mete s </w:t>
            </w:r>
            <w:r w:rsidRPr="0086761B">
              <w:rPr>
                <w:rFonts w:ascii="Times New Roman" w:hAnsi="Times New Roman" w:cs="Times New Roman"/>
              </w:rPr>
              <w:lastRenderedPageBreak/>
              <w:t>informacijskom infrastrukturom poduzeća preuzimatelja</w:t>
            </w:r>
          </w:p>
        </w:tc>
        <w:tc>
          <w:tcPr>
            <w:tcW w:w="797" w:type="pct"/>
            <w:noWrap/>
            <w:vAlign w:val="center"/>
          </w:tcPr>
          <w:p w14:paraId="2CE80DF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lastRenderedPageBreak/>
              <w:t>3,667</w:t>
            </w:r>
          </w:p>
        </w:tc>
        <w:tc>
          <w:tcPr>
            <w:tcW w:w="580" w:type="pct"/>
            <w:noWrap/>
            <w:vAlign w:val="center"/>
          </w:tcPr>
          <w:p w14:paraId="5D6CDB6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342AD9D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6AF4B10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1,033</w:t>
            </w:r>
          </w:p>
        </w:tc>
        <w:tc>
          <w:tcPr>
            <w:tcW w:w="1593" w:type="pct"/>
            <w:vAlign w:val="center"/>
          </w:tcPr>
          <w:p w14:paraId="483826CB" w14:textId="0829A51A"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Umjereno visoku važnost dodjeljuju ispitanici ovom čimbeniku.</w:t>
            </w:r>
          </w:p>
          <w:p w14:paraId="2D351E14"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Većina ispitanika ocijenila je ovaj čimbenik kao važan.</w:t>
            </w:r>
          </w:p>
          <w:p w14:paraId="69CFA10E"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lastRenderedPageBreak/>
              <w:t>Najčešća ocjena također je 4, što potvrđuje stabilnost mišljenja ispitanika.</w:t>
            </w:r>
          </w:p>
          <w:p w14:paraId="5D629457"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ukazuje na visoku varijabilnost, što sugerira različita mišljenja ispitanika o važnosti ovog čimbenika.</w:t>
            </w:r>
          </w:p>
        </w:tc>
      </w:tr>
      <w:tr w:rsidR="006571B5" w:rsidRPr="0086761B" w14:paraId="1123C70A" w14:textId="77777777" w:rsidTr="002E5B41">
        <w:trPr>
          <w:trHeight w:val="255"/>
        </w:trPr>
        <w:tc>
          <w:tcPr>
            <w:tcW w:w="473" w:type="pct"/>
            <w:vAlign w:val="center"/>
          </w:tcPr>
          <w:p w14:paraId="51406DD1"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8</w:t>
            </w:r>
          </w:p>
        </w:tc>
        <w:tc>
          <w:tcPr>
            <w:tcW w:w="614" w:type="pct"/>
            <w:noWrap/>
            <w:vAlign w:val="center"/>
          </w:tcPr>
          <w:p w14:paraId="2FC1D5C6" w14:textId="7B017482"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Trend glavnih računovodstvenih pokazatelja uspješnosti poduzeća mete</w:t>
            </w:r>
          </w:p>
        </w:tc>
        <w:tc>
          <w:tcPr>
            <w:tcW w:w="797" w:type="pct"/>
            <w:noWrap/>
            <w:vAlign w:val="center"/>
          </w:tcPr>
          <w:p w14:paraId="3A32E78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4DE8A3F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3,5</w:t>
            </w:r>
          </w:p>
        </w:tc>
        <w:tc>
          <w:tcPr>
            <w:tcW w:w="359" w:type="pct"/>
            <w:noWrap/>
            <w:vAlign w:val="center"/>
          </w:tcPr>
          <w:p w14:paraId="70E65174"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4ECFC77A"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0,816</w:t>
            </w:r>
          </w:p>
        </w:tc>
        <w:tc>
          <w:tcPr>
            <w:tcW w:w="1593" w:type="pct"/>
            <w:vAlign w:val="center"/>
          </w:tcPr>
          <w:p w14:paraId="1424625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Ispitanici dodijeljuju umjereno visoku važnost ovom čimbeniku.</w:t>
            </w:r>
          </w:p>
          <w:p w14:paraId="52DEA230"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odražava visoku važnost, no s nešto nižom ocjenom u usporedbi s hotelskim pokazateljima primjerice.</w:t>
            </w:r>
          </w:p>
          <w:p w14:paraId="4200F6C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je 3, što može upućivati na mješovita mišljenja među ispitanicima.</w:t>
            </w:r>
          </w:p>
          <w:p w14:paraId="3A094834" w14:textId="40AF8B58"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Umjerena varijabilnost postoji što znači da postoje razlike u mišljenima među ispitanicima.</w:t>
            </w:r>
          </w:p>
        </w:tc>
      </w:tr>
      <w:tr w:rsidR="006571B5" w:rsidRPr="0086761B" w14:paraId="2F4C82C5" w14:textId="77777777" w:rsidTr="002E5B41">
        <w:trPr>
          <w:trHeight w:val="255"/>
        </w:trPr>
        <w:tc>
          <w:tcPr>
            <w:tcW w:w="473" w:type="pct"/>
            <w:vAlign w:val="center"/>
          </w:tcPr>
          <w:p w14:paraId="24977D70"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8</w:t>
            </w:r>
          </w:p>
        </w:tc>
        <w:tc>
          <w:tcPr>
            <w:tcW w:w="614" w:type="pct"/>
            <w:noWrap/>
            <w:vAlign w:val="center"/>
          </w:tcPr>
          <w:p w14:paraId="62B3EB01" w14:textId="01DFA0B6"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Strateška povezanost između poduzeća preuzimatelja i poduzeća mete</w:t>
            </w:r>
          </w:p>
        </w:tc>
        <w:tc>
          <w:tcPr>
            <w:tcW w:w="797" w:type="pct"/>
            <w:noWrap/>
            <w:vAlign w:val="center"/>
          </w:tcPr>
          <w:p w14:paraId="2B4B83D8"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0B0DC053"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2997F53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45A7EAC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1,033</w:t>
            </w:r>
          </w:p>
        </w:tc>
        <w:tc>
          <w:tcPr>
            <w:tcW w:w="1593" w:type="pct"/>
            <w:vAlign w:val="center"/>
          </w:tcPr>
          <w:p w14:paraId="55E65797"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Ovaj čimbenik ispitanici ocijenjuju kao umjereno važan.</w:t>
            </w:r>
          </w:p>
          <w:p w14:paraId="00BB1566"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Većina ocjena je oko 4, što pokazuje konzistentnu percepciju važnosti.</w:t>
            </w:r>
          </w:p>
          <w:p w14:paraId="24309FDB"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4 pokazuje stabilnost u stavovima ispitanika.</w:t>
            </w:r>
          </w:p>
          <w:p w14:paraId="78715811"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ukazuje na  različite stavove među ispitanicima.</w:t>
            </w:r>
          </w:p>
        </w:tc>
      </w:tr>
      <w:tr w:rsidR="006571B5" w:rsidRPr="0086761B" w14:paraId="5C63963A" w14:textId="77777777" w:rsidTr="002E5B41">
        <w:trPr>
          <w:trHeight w:val="255"/>
        </w:trPr>
        <w:tc>
          <w:tcPr>
            <w:tcW w:w="473" w:type="pct"/>
            <w:vAlign w:val="center"/>
          </w:tcPr>
          <w:p w14:paraId="254181BB"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8</w:t>
            </w:r>
          </w:p>
        </w:tc>
        <w:tc>
          <w:tcPr>
            <w:tcW w:w="614" w:type="pct"/>
            <w:noWrap/>
            <w:vAlign w:val="center"/>
          </w:tcPr>
          <w:p w14:paraId="5D1AA55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Način akvizicije (npr. spajanje, neprijateljsko preuzimanje, itd.)</w:t>
            </w:r>
          </w:p>
        </w:tc>
        <w:tc>
          <w:tcPr>
            <w:tcW w:w="797" w:type="pct"/>
            <w:noWrap/>
            <w:vAlign w:val="center"/>
          </w:tcPr>
          <w:p w14:paraId="62451214"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0ED37A8F"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62118C00"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5634C3D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0,516</w:t>
            </w:r>
          </w:p>
        </w:tc>
        <w:tc>
          <w:tcPr>
            <w:tcW w:w="1593" w:type="pct"/>
            <w:vAlign w:val="center"/>
          </w:tcPr>
          <w:p w14:paraId="414A5298"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Umjerena važnost dodijeljena je ovom čimbeniku.</w:t>
            </w:r>
          </w:p>
          <w:p w14:paraId="5B4F673C"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Većina dodijeljenih ocjena ukazuje na važnost ovog čimbenika.</w:t>
            </w:r>
          </w:p>
          <w:p w14:paraId="103856B8" w14:textId="298191F3"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Najčešća ocjena također je 4, što potvrđuje slaganje ispitanika.</w:t>
            </w:r>
          </w:p>
        </w:tc>
      </w:tr>
      <w:tr w:rsidR="006571B5" w:rsidRPr="0086761B" w14:paraId="67BB0C53" w14:textId="77777777" w:rsidTr="002E5B41">
        <w:trPr>
          <w:trHeight w:val="255"/>
        </w:trPr>
        <w:tc>
          <w:tcPr>
            <w:tcW w:w="473" w:type="pct"/>
            <w:vAlign w:val="center"/>
          </w:tcPr>
          <w:p w14:paraId="7387108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8</w:t>
            </w:r>
          </w:p>
        </w:tc>
        <w:tc>
          <w:tcPr>
            <w:tcW w:w="614" w:type="pct"/>
            <w:noWrap/>
            <w:vAlign w:val="center"/>
          </w:tcPr>
          <w:p w14:paraId="1F92D721" w14:textId="7B250582"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en-US"/>
              </w:rPr>
              <w:t>Iznos akvizicijske premije</w:t>
            </w:r>
          </w:p>
        </w:tc>
        <w:tc>
          <w:tcPr>
            <w:tcW w:w="797" w:type="pct"/>
            <w:noWrap/>
            <w:vAlign w:val="center"/>
          </w:tcPr>
          <w:p w14:paraId="5F53C1A9"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2B3964D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3,5</w:t>
            </w:r>
          </w:p>
        </w:tc>
        <w:tc>
          <w:tcPr>
            <w:tcW w:w="359" w:type="pct"/>
            <w:noWrap/>
            <w:vAlign w:val="center"/>
          </w:tcPr>
          <w:p w14:paraId="53DE238F"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0C06F92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0,816</w:t>
            </w:r>
          </w:p>
        </w:tc>
        <w:tc>
          <w:tcPr>
            <w:tcW w:w="1593" w:type="pct"/>
            <w:vAlign w:val="center"/>
          </w:tcPr>
          <w:p w14:paraId="0291C6C2"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Ispitanici dodijeljuju umjereno visoku važnost ovom čimbeniku.</w:t>
            </w:r>
          </w:p>
          <w:p w14:paraId="2D82B5AD"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sugerira slaganje oko srednje važnosti ovog čimbenika.</w:t>
            </w:r>
          </w:p>
          <w:p w14:paraId="0A808658"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lastRenderedPageBreak/>
              <w:t>Najčešća ocjena je 3, što ukazuje na stabilnost mišljenja ispitanika.</w:t>
            </w:r>
          </w:p>
          <w:p w14:paraId="7FAE95F0"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ukazuje na umjerenu varijabilnost stavova ispitanika.</w:t>
            </w:r>
          </w:p>
        </w:tc>
      </w:tr>
      <w:tr w:rsidR="006571B5" w:rsidRPr="0086761B" w14:paraId="6364D3BC" w14:textId="77777777" w:rsidTr="002E5B41">
        <w:trPr>
          <w:trHeight w:val="255"/>
        </w:trPr>
        <w:tc>
          <w:tcPr>
            <w:tcW w:w="473" w:type="pct"/>
            <w:vAlign w:val="center"/>
          </w:tcPr>
          <w:p w14:paraId="0DD4BAFA"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8</w:t>
            </w:r>
          </w:p>
        </w:tc>
        <w:tc>
          <w:tcPr>
            <w:tcW w:w="614" w:type="pct"/>
            <w:noWrap/>
            <w:vAlign w:val="center"/>
          </w:tcPr>
          <w:p w14:paraId="3515AEB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Potencijalna potražnju za proizvodima (uslugama) poduzeća (kombiniranog poduzeća ili poduzeća mete ukoliko ostaje kao samostalna pravna osoba u sljedećih pet godina)</w:t>
            </w:r>
          </w:p>
        </w:tc>
        <w:tc>
          <w:tcPr>
            <w:tcW w:w="797" w:type="pct"/>
            <w:noWrap/>
            <w:vAlign w:val="center"/>
          </w:tcPr>
          <w:p w14:paraId="1BDD38B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10D4A25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4864946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5</w:t>
            </w:r>
          </w:p>
        </w:tc>
        <w:tc>
          <w:tcPr>
            <w:tcW w:w="583" w:type="pct"/>
            <w:noWrap/>
            <w:vAlign w:val="center"/>
          </w:tcPr>
          <w:p w14:paraId="559D56F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1,366</w:t>
            </w:r>
          </w:p>
        </w:tc>
        <w:tc>
          <w:tcPr>
            <w:tcW w:w="1593" w:type="pct"/>
            <w:vAlign w:val="center"/>
          </w:tcPr>
          <w:p w14:paraId="101DC94D"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Ispitanici ovaj čimbenik ocjenjuju umjereno važnim.</w:t>
            </w:r>
          </w:p>
          <w:p w14:paraId="61C04FB5"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ukazuje da je ovaj čimbenik percipiran kao jako važan kod mnogih ispitanika.</w:t>
            </w:r>
          </w:p>
          <w:p w14:paraId="29BED08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5 pokazuje da neki smatraju ovaj čimbenik vrlo važnim.</w:t>
            </w:r>
          </w:p>
          <w:p w14:paraId="1853D6D1" w14:textId="6AC8EF1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ukazuje na visoku varijabilnost, što implicira podijeljene stavove među ispitanicima.</w:t>
            </w:r>
          </w:p>
        </w:tc>
      </w:tr>
      <w:tr w:rsidR="006571B5" w:rsidRPr="0086761B" w14:paraId="246136C5" w14:textId="77777777" w:rsidTr="002E5B41">
        <w:trPr>
          <w:trHeight w:val="255"/>
        </w:trPr>
        <w:tc>
          <w:tcPr>
            <w:tcW w:w="473" w:type="pct"/>
            <w:vAlign w:val="center"/>
          </w:tcPr>
          <w:p w14:paraId="2E1BBBE6"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8</w:t>
            </w:r>
          </w:p>
        </w:tc>
        <w:tc>
          <w:tcPr>
            <w:tcW w:w="614" w:type="pct"/>
            <w:noWrap/>
            <w:vAlign w:val="center"/>
          </w:tcPr>
          <w:p w14:paraId="79042FE8" w14:textId="5651508D"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Kapitalna strukturu i troškovi kapitala poduzeća mete</w:t>
            </w:r>
          </w:p>
        </w:tc>
        <w:tc>
          <w:tcPr>
            <w:tcW w:w="797" w:type="pct"/>
            <w:noWrap/>
            <w:vAlign w:val="center"/>
          </w:tcPr>
          <w:p w14:paraId="30AED0D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3,667</w:t>
            </w:r>
          </w:p>
        </w:tc>
        <w:tc>
          <w:tcPr>
            <w:tcW w:w="580" w:type="pct"/>
            <w:noWrap/>
            <w:vAlign w:val="center"/>
          </w:tcPr>
          <w:p w14:paraId="3D8DAD6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7F4138B4"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042942C3"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1,033</w:t>
            </w:r>
          </w:p>
        </w:tc>
        <w:tc>
          <w:tcPr>
            <w:tcW w:w="1593" w:type="pct"/>
            <w:vAlign w:val="center"/>
          </w:tcPr>
          <w:p w14:paraId="3DF2DF93"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umjerenu važnost.</w:t>
            </w:r>
          </w:p>
          <w:p w14:paraId="2977CEBD"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Većina ocjena ispitanika ukazuje na dosljednost..</w:t>
            </w:r>
          </w:p>
          <w:p w14:paraId="7442F54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također je 4, što dodatno potvrđuje dosljednost u mišljenju.</w:t>
            </w:r>
          </w:p>
          <w:p w14:paraId="47C9D0EF"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Visoka varijabilnost ukazuje na postojanje različitih stavova među ispitanicima.</w:t>
            </w:r>
          </w:p>
        </w:tc>
      </w:tr>
      <w:tr w:rsidR="006571B5" w:rsidRPr="0086761B" w14:paraId="0E6AC76D" w14:textId="77777777" w:rsidTr="002E5B41">
        <w:trPr>
          <w:trHeight w:val="255"/>
        </w:trPr>
        <w:tc>
          <w:tcPr>
            <w:tcW w:w="473" w:type="pct"/>
            <w:vAlign w:val="center"/>
          </w:tcPr>
          <w:p w14:paraId="407EE428"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9</w:t>
            </w:r>
          </w:p>
        </w:tc>
        <w:tc>
          <w:tcPr>
            <w:tcW w:w="614" w:type="pct"/>
            <w:noWrap/>
            <w:vAlign w:val="center"/>
          </w:tcPr>
          <w:p w14:paraId="5F039C09"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Upravljačke naknade i franšizne naknade poduzeća mete</w:t>
            </w:r>
          </w:p>
        </w:tc>
        <w:tc>
          <w:tcPr>
            <w:tcW w:w="797" w:type="pct"/>
            <w:noWrap/>
            <w:vAlign w:val="center"/>
          </w:tcPr>
          <w:p w14:paraId="2885E66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3,5</w:t>
            </w:r>
          </w:p>
        </w:tc>
        <w:tc>
          <w:tcPr>
            <w:tcW w:w="580" w:type="pct"/>
            <w:noWrap/>
            <w:vAlign w:val="center"/>
          </w:tcPr>
          <w:p w14:paraId="33E3DA4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359" w:type="pct"/>
            <w:noWrap/>
            <w:vAlign w:val="center"/>
          </w:tcPr>
          <w:p w14:paraId="473A854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2B16DAD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0,836</w:t>
            </w:r>
          </w:p>
        </w:tc>
        <w:tc>
          <w:tcPr>
            <w:tcW w:w="1593" w:type="pct"/>
            <w:vAlign w:val="center"/>
          </w:tcPr>
          <w:p w14:paraId="26D5535A"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umjerenu važnost.</w:t>
            </w:r>
          </w:p>
          <w:p w14:paraId="60EB6BD9"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Većina se ispitanika slaže da je ovaj čimbenik važan.</w:t>
            </w:r>
          </w:p>
          <w:p w14:paraId="429560F6"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također je 4, što potvrđuje stabilnost mišljenja ispitanika.</w:t>
            </w:r>
          </w:p>
          <w:p w14:paraId="77B5A43E"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Standardna devijacija upućuje na umjerenu varijabilnost.</w:t>
            </w:r>
          </w:p>
        </w:tc>
      </w:tr>
      <w:tr w:rsidR="006571B5" w:rsidRPr="0086761B" w14:paraId="3461353B" w14:textId="77777777" w:rsidTr="002E5B41">
        <w:trPr>
          <w:trHeight w:val="255"/>
        </w:trPr>
        <w:tc>
          <w:tcPr>
            <w:tcW w:w="473" w:type="pct"/>
            <w:vAlign w:val="center"/>
          </w:tcPr>
          <w:p w14:paraId="31715F77"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lastRenderedPageBreak/>
              <w:t>10</w:t>
            </w:r>
          </w:p>
        </w:tc>
        <w:tc>
          <w:tcPr>
            <w:tcW w:w="614" w:type="pct"/>
            <w:noWrap/>
            <w:vAlign w:val="center"/>
          </w:tcPr>
          <w:p w14:paraId="65681AEA"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Potencijalni utjecaj na jačanje marke i reputacije poduzeća mete kroz stvaranje novog poduzeća</w:t>
            </w:r>
          </w:p>
        </w:tc>
        <w:tc>
          <w:tcPr>
            <w:tcW w:w="797" w:type="pct"/>
            <w:noWrap/>
            <w:vAlign w:val="center"/>
          </w:tcPr>
          <w:p w14:paraId="65DD762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3,333</w:t>
            </w:r>
          </w:p>
        </w:tc>
        <w:tc>
          <w:tcPr>
            <w:tcW w:w="580" w:type="pct"/>
            <w:noWrap/>
            <w:vAlign w:val="center"/>
          </w:tcPr>
          <w:p w14:paraId="7C0B56CA"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3,5</w:t>
            </w:r>
          </w:p>
        </w:tc>
        <w:tc>
          <w:tcPr>
            <w:tcW w:w="359" w:type="pct"/>
            <w:noWrap/>
            <w:vAlign w:val="center"/>
          </w:tcPr>
          <w:p w14:paraId="5A0D774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4</w:t>
            </w:r>
          </w:p>
        </w:tc>
        <w:tc>
          <w:tcPr>
            <w:tcW w:w="583" w:type="pct"/>
            <w:noWrap/>
            <w:vAlign w:val="center"/>
          </w:tcPr>
          <w:p w14:paraId="51A67873"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0,816</w:t>
            </w:r>
          </w:p>
        </w:tc>
        <w:tc>
          <w:tcPr>
            <w:tcW w:w="1593" w:type="pct"/>
            <w:vAlign w:val="center"/>
          </w:tcPr>
          <w:p w14:paraId="7A67A572"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Ovaj čimbenik je ocijenjen kao umjereno važan.</w:t>
            </w:r>
          </w:p>
          <w:p w14:paraId="7543062A"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Većina ispitanika dodijelila mu je slične ocjene.</w:t>
            </w:r>
          </w:p>
          <w:p w14:paraId="27506DEC"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je 4, što sugerira da neki ispitanici vide ovaj čimbenik kao važniji.</w:t>
            </w:r>
          </w:p>
          <w:p w14:paraId="5395C987"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Umjerena varijabilnost ukazuje na različite stavove.</w:t>
            </w:r>
          </w:p>
        </w:tc>
      </w:tr>
      <w:tr w:rsidR="006571B5" w:rsidRPr="0086761B" w14:paraId="27DD67D2" w14:textId="77777777" w:rsidTr="002E5B41">
        <w:trPr>
          <w:trHeight w:val="255"/>
        </w:trPr>
        <w:tc>
          <w:tcPr>
            <w:tcW w:w="473" w:type="pct"/>
            <w:vAlign w:val="center"/>
          </w:tcPr>
          <w:p w14:paraId="1043F593"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10</w:t>
            </w:r>
          </w:p>
        </w:tc>
        <w:tc>
          <w:tcPr>
            <w:tcW w:w="614" w:type="pct"/>
            <w:noWrap/>
            <w:vAlign w:val="center"/>
          </w:tcPr>
          <w:p w14:paraId="1A30B36A"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en-US"/>
              </w:rPr>
              <w:t>Savjeti renomiranih investicijskih banaka</w:t>
            </w:r>
          </w:p>
        </w:tc>
        <w:tc>
          <w:tcPr>
            <w:tcW w:w="797" w:type="pct"/>
            <w:noWrap/>
            <w:vAlign w:val="center"/>
          </w:tcPr>
          <w:p w14:paraId="595FA70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3,333</w:t>
            </w:r>
          </w:p>
        </w:tc>
        <w:tc>
          <w:tcPr>
            <w:tcW w:w="580" w:type="pct"/>
            <w:noWrap/>
            <w:vAlign w:val="center"/>
          </w:tcPr>
          <w:p w14:paraId="45976FE4"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tcPr>
          <w:p w14:paraId="5DAC481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355627B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0,516</w:t>
            </w:r>
          </w:p>
        </w:tc>
        <w:tc>
          <w:tcPr>
            <w:tcW w:w="1593" w:type="pct"/>
            <w:vAlign w:val="center"/>
          </w:tcPr>
          <w:p w14:paraId="453D97E1"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umjerenu važnost.</w:t>
            </w:r>
          </w:p>
          <w:p w14:paraId="66F85FC3"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Većina ocjena pokazuje srednju važnost ovog čimbenika.</w:t>
            </w:r>
          </w:p>
          <w:p w14:paraId="617EB18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Najčešća ocjena je također 3, što ukazuje na dosljednost u stavovima.</w:t>
            </w:r>
          </w:p>
          <w:p w14:paraId="546E55C6"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Standardna devijacija ukazuje na nisku varijabilnost.</w:t>
            </w:r>
          </w:p>
        </w:tc>
      </w:tr>
      <w:tr w:rsidR="006571B5" w:rsidRPr="0086761B" w14:paraId="7D961F5A" w14:textId="77777777" w:rsidTr="002E5B41">
        <w:trPr>
          <w:trHeight w:val="255"/>
        </w:trPr>
        <w:tc>
          <w:tcPr>
            <w:tcW w:w="473" w:type="pct"/>
            <w:vAlign w:val="center"/>
          </w:tcPr>
          <w:p w14:paraId="73E4A36D"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10</w:t>
            </w:r>
          </w:p>
        </w:tc>
        <w:tc>
          <w:tcPr>
            <w:tcW w:w="614" w:type="pct"/>
            <w:noWrap/>
            <w:vAlign w:val="center"/>
          </w:tcPr>
          <w:p w14:paraId="255E7905"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Postojanje više mogućih ponuđača (čime se podiže cijena pa i finalni iznos kontrolne premije)</w:t>
            </w:r>
          </w:p>
        </w:tc>
        <w:tc>
          <w:tcPr>
            <w:tcW w:w="797" w:type="pct"/>
            <w:noWrap/>
            <w:vAlign w:val="center"/>
          </w:tcPr>
          <w:p w14:paraId="3455885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3,333</w:t>
            </w:r>
          </w:p>
        </w:tc>
        <w:tc>
          <w:tcPr>
            <w:tcW w:w="580" w:type="pct"/>
            <w:noWrap/>
            <w:vAlign w:val="center"/>
          </w:tcPr>
          <w:p w14:paraId="505D1F9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tcPr>
          <w:p w14:paraId="1F90D7F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12B9F3DA"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1,033</w:t>
            </w:r>
          </w:p>
        </w:tc>
        <w:tc>
          <w:tcPr>
            <w:tcW w:w="1593" w:type="pct"/>
            <w:vAlign w:val="center"/>
          </w:tcPr>
          <w:p w14:paraId="02CCB2D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umjerenu važnost.</w:t>
            </w:r>
          </w:p>
          <w:p w14:paraId="01F67266"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Većina ocjena ukazuje na srednju važnost.</w:t>
            </w:r>
          </w:p>
          <w:p w14:paraId="668F69A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Najčešća ocjena također je 3, što ukazuje na slaganje ispitanika.</w:t>
            </w:r>
          </w:p>
          <w:p w14:paraId="26D612A6"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Standardna devijacija ukazuje na veću varijabilnost što implicira različite percepcije ispitanika o ovom čimbeniku.</w:t>
            </w:r>
          </w:p>
        </w:tc>
      </w:tr>
      <w:tr w:rsidR="006571B5" w:rsidRPr="0086761B" w14:paraId="5E7B3DB6" w14:textId="77777777" w:rsidTr="002E5B41">
        <w:trPr>
          <w:trHeight w:val="255"/>
        </w:trPr>
        <w:tc>
          <w:tcPr>
            <w:tcW w:w="473" w:type="pct"/>
            <w:vAlign w:val="center"/>
          </w:tcPr>
          <w:p w14:paraId="033DB09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10</w:t>
            </w:r>
          </w:p>
        </w:tc>
        <w:tc>
          <w:tcPr>
            <w:tcW w:w="614" w:type="pct"/>
            <w:noWrap/>
            <w:vAlign w:val="center"/>
          </w:tcPr>
          <w:p w14:paraId="70AD46AE"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Način plaćanja (tj. gotovinsko, dioničko, itd.)</w:t>
            </w:r>
          </w:p>
        </w:tc>
        <w:tc>
          <w:tcPr>
            <w:tcW w:w="797" w:type="pct"/>
            <w:noWrap/>
            <w:vAlign w:val="center"/>
          </w:tcPr>
          <w:p w14:paraId="427D84A3"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3,333</w:t>
            </w:r>
          </w:p>
        </w:tc>
        <w:tc>
          <w:tcPr>
            <w:tcW w:w="580" w:type="pct"/>
            <w:noWrap/>
            <w:vAlign w:val="center"/>
          </w:tcPr>
          <w:p w14:paraId="645642B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tcPr>
          <w:p w14:paraId="5C498C9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0CA271B8"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1,033</w:t>
            </w:r>
          </w:p>
        </w:tc>
        <w:tc>
          <w:tcPr>
            <w:tcW w:w="1593" w:type="pct"/>
            <w:vAlign w:val="center"/>
          </w:tcPr>
          <w:p w14:paraId="4EF1478E"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umjerenu važnost.</w:t>
            </w:r>
          </w:p>
          <w:p w14:paraId="1952F6C5"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Većina ispitanika ocjenjuje ovaj čimbenik kao srednje važan.</w:t>
            </w:r>
          </w:p>
          <w:p w14:paraId="1ED1916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Najčešća ocjena također je 3, što pokazuje slaganje među ispitanicima.</w:t>
            </w:r>
          </w:p>
          <w:p w14:paraId="68C4BC5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Veća varijabilnost ukazuje na različita mišljenja.</w:t>
            </w:r>
          </w:p>
        </w:tc>
      </w:tr>
      <w:tr w:rsidR="006571B5" w:rsidRPr="0086761B" w14:paraId="74D09B37" w14:textId="77777777" w:rsidTr="002E5B41">
        <w:trPr>
          <w:trHeight w:val="255"/>
        </w:trPr>
        <w:tc>
          <w:tcPr>
            <w:tcW w:w="473" w:type="pct"/>
            <w:vAlign w:val="center"/>
          </w:tcPr>
          <w:p w14:paraId="38FB479C"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11</w:t>
            </w:r>
          </w:p>
        </w:tc>
        <w:tc>
          <w:tcPr>
            <w:tcW w:w="614" w:type="pct"/>
            <w:noWrap/>
            <w:vAlign w:val="center"/>
          </w:tcPr>
          <w:p w14:paraId="1AF6F302" w14:textId="77777777" w:rsidR="006571B5" w:rsidRPr="0086761B" w:rsidRDefault="006571B5" w:rsidP="0086761B">
            <w:pPr>
              <w:spacing w:line="259" w:lineRule="auto"/>
              <w:jc w:val="center"/>
              <w:rPr>
                <w:rFonts w:ascii="Times New Roman" w:hAnsi="Times New Roman" w:cs="Times New Roman"/>
              </w:rPr>
            </w:pPr>
            <w:r w:rsidRPr="0086761B">
              <w:rPr>
                <w:rFonts w:ascii="Times New Roman" w:hAnsi="Times New Roman" w:cs="Times New Roman"/>
              </w:rPr>
              <w:t>Razumijevanje reakcije dioničara na transakciju</w:t>
            </w:r>
          </w:p>
        </w:tc>
        <w:tc>
          <w:tcPr>
            <w:tcW w:w="797" w:type="pct"/>
            <w:noWrap/>
            <w:vAlign w:val="center"/>
          </w:tcPr>
          <w:p w14:paraId="0ED5443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3,167</w:t>
            </w:r>
          </w:p>
        </w:tc>
        <w:tc>
          <w:tcPr>
            <w:tcW w:w="580" w:type="pct"/>
            <w:noWrap/>
            <w:vAlign w:val="center"/>
          </w:tcPr>
          <w:p w14:paraId="26A66CBD"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tcPr>
          <w:p w14:paraId="59A64D13"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tcPr>
          <w:p w14:paraId="5BE7B78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0,408</w:t>
            </w:r>
          </w:p>
        </w:tc>
        <w:tc>
          <w:tcPr>
            <w:tcW w:w="1593" w:type="pct"/>
            <w:vAlign w:val="center"/>
          </w:tcPr>
          <w:p w14:paraId="6377B564"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Ispitanici ovom čimbeniku dodijeljuju srednju važnost.</w:t>
            </w:r>
          </w:p>
          <w:p w14:paraId="02769BE4"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Medijan ukazuje na umjereno važnu ocjenu, pri čemu ispitanici općenito smatraju reakciju dioničara srednje važnom.</w:t>
            </w:r>
          </w:p>
          <w:p w14:paraId="1B473626"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lastRenderedPageBreak/>
              <w:t>Najčešća ocjena je također 3, što pokazuje suglasnost u stavovima.</w:t>
            </w:r>
          </w:p>
          <w:p w14:paraId="15F50BC1"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Mala varijabilnost upućuje na suglasje među ispitanicima.</w:t>
            </w:r>
          </w:p>
        </w:tc>
      </w:tr>
      <w:tr w:rsidR="006571B5" w:rsidRPr="0086761B" w14:paraId="730D5780" w14:textId="77777777" w:rsidTr="002E5B41">
        <w:trPr>
          <w:trHeight w:val="255"/>
        </w:trPr>
        <w:tc>
          <w:tcPr>
            <w:tcW w:w="473" w:type="pct"/>
            <w:vAlign w:val="center"/>
          </w:tcPr>
          <w:p w14:paraId="01DF7E5A"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lastRenderedPageBreak/>
              <w:t>12</w:t>
            </w:r>
          </w:p>
        </w:tc>
        <w:tc>
          <w:tcPr>
            <w:tcW w:w="614" w:type="pct"/>
            <w:noWrap/>
            <w:vAlign w:val="center"/>
            <w:hideMark/>
          </w:tcPr>
          <w:p w14:paraId="75FEEF6D"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Mjera prirasta ili razrjeđenja dionica / Gotovinski tijek / FFO</w:t>
            </w:r>
          </w:p>
        </w:tc>
        <w:tc>
          <w:tcPr>
            <w:tcW w:w="797" w:type="pct"/>
            <w:noWrap/>
            <w:vAlign w:val="center"/>
            <w:hideMark/>
          </w:tcPr>
          <w:p w14:paraId="5034134C"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0" w:type="pct"/>
            <w:noWrap/>
            <w:vAlign w:val="center"/>
            <w:hideMark/>
          </w:tcPr>
          <w:p w14:paraId="78D52E56"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hideMark/>
          </w:tcPr>
          <w:p w14:paraId="255F906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3" w:type="pct"/>
            <w:noWrap/>
            <w:vAlign w:val="center"/>
            <w:hideMark/>
          </w:tcPr>
          <w:p w14:paraId="5E32ABE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0,894</w:t>
            </w:r>
          </w:p>
        </w:tc>
        <w:tc>
          <w:tcPr>
            <w:tcW w:w="1593" w:type="pct"/>
            <w:vAlign w:val="center"/>
          </w:tcPr>
          <w:p w14:paraId="58F8E45A"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Umjerena važnost ukazuje da ispitanici ne smatraju ovaj čimbenik presudnim.</w:t>
            </w:r>
          </w:p>
          <w:p w14:paraId="5F5D3612"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Medijan pokazuje da je ovaj čimbenik ocijenjen kao umjereno važan.</w:t>
            </w:r>
          </w:p>
          <w:p w14:paraId="15F04787"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Najčešća ocjena također iznosi 3, što ukazuje na suglasnost ispitanika o umjerenoj važnosti ovog čimbenika.</w:t>
            </w:r>
          </w:p>
          <w:p w14:paraId="3DF4CA9A" w14:textId="77777777" w:rsidR="006571B5" w:rsidRPr="0086761B" w:rsidRDefault="006571B5" w:rsidP="00A81B58">
            <w:pPr>
              <w:spacing w:line="259" w:lineRule="auto"/>
              <w:jc w:val="center"/>
              <w:rPr>
                <w:rFonts w:ascii="Times New Roman" w:hAnsi="Times New Roman" w:cs="Times New Roman"/>
                <w:lang w:val="it-IT"/>
              </w:rPr>
            </w:pPr>
            <w:r w:rsidRPr="0086761B">
              <w:rPr>
                <w:rFonts w:ascii="Times New Roman" w:hAnsi="Times New Roman" w:cs="Times New Roman"/>
                <w:lang w:val="it-IT"/>
              </w:rPr>
              <w:t>Blaga varijabilnost može značiti da neki ispitanici pridaju veći značaj, ali u načelu je stav ispitanika konzistentan.</w:t>
            </w:r>
          </w:p>
        </w:tc>
      </w:tr>
      <w:tr w:rsidR="006571B5" w:rsidRPr="0086761B" w14:paraId="542EBAB6" w14:textId="77777777" w:rsidTr="002E5B41">
        <w:trPr>
          <w:trHeight w:val="255"/>
        </w:trPr>
        <w:tc>
          <w:tcPr>
            <w:tcW w:w="473" w:type="pct"/>
            <w:vAlign w:val="center"/>
          </w:tcPr>
          <w:p w14:paraId="61E2B65E" w14:textId="77777777" w:rsidR="006571B5" w:rsidRPr="0086761B" w:rsidRDefault="006571B5" w:rsidP="0086761B">
            <w:pPr>
              <w:spacing w:line="259" w:lineRule="auto"/>
              <w:jc w:val="center"/>
              <w:rPr>
                <w:rFonts w:ascii="Times New Roman" w:hAnsi="Times New Roman" w:cs="Times New Roman"/>
                <w:lang w:val="it-IT"/>
              </w:rPr>
            </w:pPr>
            <w:r w:rsidRPr="0086761B">
              <w:rPr>
                <w:rFonts w:ascii="Times New Roman" w:hAnsi="Times New Roman" w:cs="Times New Roman"/>
                <w:lang w:val="it-IT"/>
              </w:rPr>
              <w:t>12</w:t>
            </w:r>
          </w:p>
        </w:tc>
        <w:tc>
          <w:tcPr>
            <w:tcW w:w="614" w:type="pct"/>
            <w:noWrap/>
            <w:vAlign w:val="center"/>
            <w:hideMark/>
          </w:tcPr>
          <w:p w14:paraId="517B3181"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Reputacija poduzeća mete</w:t>
            </w:r>
          </w:p>
        </w:tc>
        <w:tc>
          <w:tcPr>
            <w:tcW w:w="797" w:type="pct"/>
            <w:noWrap/>
            <w:vAlign w:val="center"/>
            <w:hideMark/>
          </w:tcPr>
          <w:p w14:paraId="7E26F747"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580" w:type="pct"/>
            <w:noWrap/>
            <w:vAlign w:val="center"/>
            <w:hideMark/>
          </w:tcPr>
          <w:p w14:paraId="37E961B2"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3</w:t>
            </w:r>
          </w:p>
        </w:tc>
        <w:tc>
          <w:tcPr>
            <w:tcW w:w="359" w:type="pct"/>
            <w:noWrap/>
            <w:vAlign w:val="center"/>
            <w:hideMark/>
          </w:tcPr>
          <w:p w14:paraId="0F55A9BB"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2</w:t>
            </w:r>
          </w:p>
        </w:tc>
        <w:tc>
          <w:tcPr>
            <w:tcW w:w="583" w:type="pct"/>
            <w:noWrap/>
            <w:vAlign w:val="center"/>
            <w:hideMark/>
          </w:tcPr>
          <w:p w14:paraId="645D2A05" w14:textId="77777777" w:rsidR="006571B5" w:rsidRPr="0086761B" w:rsidRDefault="006571B5" w:rsidP="0086761B">
            <w:pPr>
              <w:spacing w:line="259" w:lineRule="auto"/>
              <w:jc w:val="center"/>
              <w:rPr>
                <w:rFonts w:ascii="Times New Roman" w:hAnsi="Times New Roman" w:cs="Times New Roman"/>
                <w:lang w:val="en-US"/>
              </w:rPr>
            </w:pPr>
            <w:r w:rsidRPr="0086761B">
              <w:rPr>
                <w:rFonts w:ascii="Times New Roman" w:hAnsi="Times New Roman" w:cs="Times New Roman"/>
                <w:lang w:val="en-US"/>
              </w:rPr>
              <w:t>0,894</w:t>
            </w:r>
          </w:p>
        </w:tc>
        <w:tc>
          <w:tcPr>
            <w:tcW w:w="1593" w:type="pct"/>
            <w:vAlign w:val="center"/>
          </w:tcPr>
          <w:p w14:paraId="6521FFC5"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Prosječna ocjena ukazuje na umjerenu važnost ovog čimbenika.</w:t>
            </w:r>
          </w:p>
          <w:p w14:paraId="645E0F5E"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Medijan pokazuje srednju važnost, ukazujući da većina ispitanika smatra reputaciju važnom, ali ne ključnom.</w:t>
            </w:r>
          </w:p>
          <w:p w14:paraId="07806B15"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Niži mod ukazuje na to da neki ispitanici pridaju manji značaj reputaciji, što sugerira podijeljena mišljenja.</w:t>
            </w:r>
          </w:p>
          <w:p w14:paraId="6498C79D" w14:textId="77777777" w:rsidR="006571B5" w:rsidRPr="0086761B" w:rsidRDefault="006571B5" w:rsidP="00A81B58">
            <w:pPr>
              <w:spacing w:line="259" w:lineRule="auto"/>
              <w:jc w:val="center"/>
              <w:rPr>
                <w:rFonts w:ascii="Times New Roman" w:hAnsi="Times New Roman" w:cs="Times New Roman"/>
                <w:lang w:val="en-US"/>
              </w:rPr>
            </w:pPr>
            <w:r w:rsidRPr="0086761B">
              <w:rPr>
                <w:rFonts w:ascii="Times New Roman" w:hAnsi="Times New Roman" w:cs="Times New Roman"/>
                <w:lang w:val="en-US"/>
              </w:rPr>
              <w:t>Umjerena varijabilnost potvrđuje da je stav prema ovom čimbeniku podijeljen među ispitanicima.</w:t>
            </w:r>
          </w:p>
        </w:tc>
      </w:tr>
      <w:tr w:rsidR="006571B5" w:rsidRPr="0086761B" w14:paraId="79239844" w14:textId="77777777" w:rsidTr="002E5B41">
        <w:trPr>
          <w:trHeight w:val="255"/>
        </w:trPr>
        <w:tc>
          <w:tcPr>
            <w:tcW w:w="473" w:type="pct"/>
          </w:tcPr>
          <w:p w14:paraId="1FBDA871" w14:textId="77777777" w:rsidR="006571B5" w:rsidRPr="0086761B" w:rsidRDefault="006571B5" w:rsidP="006571B5">
            <w:pPr>
              <w:spacing w:line="259" w:lineRule="auto"/>
              <w:rPr>
                <w:rFonts w:ascii="Times New Roman" w:hAnsi="Times New Roman" w:cs="Times New Roman"/>
                <w:lang w:val="en-US"/>
              </w:rPr>
            </w:pPr>
          </w:p>
        </w:tc>
        <w:tc>
          <w:tcPr>
            <w:tcW w:w="614" w:type="pct"/>
            <w:noWrap/>
            <w:hideMark/>
          </w:tcPr>
          <w:p w14:paraId="49F3C61A" w14:textId="77777777" w:rsidR="006571B5" w:rsidRPr="0086761B" w:rsidRDefault="006571B5" w:rsidP="006571B5">
            <w:pPr>
              <w:spacing w:line="259" w:lineRule="auto"/>
              <w:rPr>
                <w:rFonts w:ascii="Times New Roman" w:hAnsi="Times New Roman" w:cs="Times New Roman"/>
                <w:b/>
                <w:lang w:val="it-IT"/>
              </w:rPr>
            </w:pPr>
            <w:r w:rsidRPr="0086761B">
              <w:rPr>
                <w:rFonts w:ascii="Times New Roman" w:hAnsi="Times New Roman" w:cs="Times New Roman"/>
                <w:b/>
                <w:lang w:val="it-IT"/>
              </w:rPr>
              <w:t xml:space="preserve">Neki drugi čimbenici uspjeha koji nisu spomenuti. </w:t>
            </w:r>
          </w:p>
        </w:tc>
        <w:tc>
          <w:tcPr>
            <w:tcW w:w="797" w:type="pct"/>
            <w:noWrap/>
          </w:tcPr>
          <w:p w14:paraId="28039F20" w14:textId="77777777" w:rsidR="006571B5" w:rsidRPr="0086761B" w:rsidRDefault="006571B5" w:rsidP="006571B5">
            <w:pPr>
              <w:spacing w:line="259" w:lineRule="auto"/>
              <w:rPr>
                <w:rFonts w:ascii="Times New Roman" w:hAnsi="Times New Roman" w:cs="Times New Roman"/>
                <w:lang w:val="it-IT"/>
              </w:rPr>
            </w:pPr>
          </w:p>
        </w:tc>
        <w:tc>
          <w:tcPr>
            <w:tcW w:w="580" w:type="pct"/>
            <w:noWrap/>
          </w:tcPr>
          <w:p w14:paraId="2DFC53A3" w14:textId="77777777" w:rsidR="006571B5" w:rsidRPr="0086761B" w:rsidRDefault="006571B5" w:rsidP="006571B5">
            <w:pPr>
              <w:spacing w:line="259" w:lineRule="auto"/>
              <w:rPr>
                <w:rFonts w:ascii="Times New Roman" w:hAnsi="Times New Roman" w:cs="Times New Roman"/>
                <w:lang w:val="it-IT"/>
              </w:rPr>
            </w:pPr>
          </w:p>
        </w:tc>
        <w:tc>
          <w:tcPr>
            <w:tcW w:w="359" w:type="pct"/>
            <w:noWrap/>
          </w:tcPr>
          <w:p w14:paraId="442152DB" w14:textId="77777777" w:rsidR="006571B5" w:rsidRPr="0086761B" w:rsidRDefault="006571B5" w:rsidP="006571B5">
            <w:pPr>
              <w:spacing w:line="259" w:lineRule="auto"/>
              <w:rPr>
                <w:rFonts w:ascii="Times New Roman" w:hAnsi="Times New Roman" w:cs="Times New Roman"/>
                <w:lang w:val="it-IT"/>
              </w:rPr>
            </w:pPr>
          </w:p>
        </w:tc>
        <w:tc>
          <w:tcPr>
            <w:tcW w:w="583" w:type="pct"/>
            <w:noWrap/>
          </w:tcPr>
          <w:p w14:paraId="4D746FB4" w14:textId="77777777" w:rsidR="006571B5" w:rsidRPr="0086761B" w:rsidRDefault="006571B5" w:rsidP="006571B5">
            <w:pPr>
              <w:spacing w:line="259" w:lineRule="auto"/>
              <w:rPr>
                <w:rFonts w:ascii="Times New Roman" w:hAnsi="Times New Roman" w:cs="Times New Roman"/>
                <w:lang w:val="it-IT"/>
              </w:rPr>
            </w:pPr>
          </w:p>
        </w:tc>
        <w:tc>
          <w:tcPr>
            <w:tcW w:w="1593" w:type="pct"/>
          </w:tcPr>
          <w:p w14:paraId="06EE258F" w14:textId="77777777" w:rsidR="006571B5" w:rsidRPr="0086761B" w:rsidRDefault="006571B5" w:rsidP="006571B5">
            <w:pPr>
              <w:spacing w:line="259" w:lineRule="auto"/>
              <w:rPr>
                <w:rFonts w:ascii="Times New Roman" w:hAnsi="Times New Roman" w:cs="Times New Roman"/>
                <w:lang w:val="it-IT"/>
              </w:rPr>
            </w:pPr>
          </w:p>
        </w:tc>
      </w:tr>
      <w:tr w:rsidR="006571B5" w:rsidRPr="0086761B" w14:paraId="176A5378" w14:textId="77777777" w:rsidTr="002E5B41">
        <w:trPr>
          <w:trHeight w:val="255"/>
        </w:trPr>
        <w:tc>
          <w:tcPr>
            <w:tcW w:w="473" w:type="pct"/>
          </w:tcPr>
          <w:p w14:paraId="6595672E" w14:textId="77777777" w:rsidR="006571B5" w:rsidRPr="0086761B" w:rsidRDefault="006571B5" w:rsidP="006571B5">
            <w:pPr>
              <w:spacing w:line="259" w:lineRule="auto"/>
              <w:rPr>
                <w:rFonts w:ascii="Times New Roman" w:hAnsi="Times New Roman" w:cs="Times New Roman"/>
                <w:lang w:val="it-IT"/>
              </w:rPr>
            </w:pPr>
          </w:p>
        </w:tc>
        <w:tc>
          <w:tcPr>
            <w:tcW w:w="614" w:type="pct"/>
            <w:noWrap/>
          </w:tcPr>
          <w:p w14:paraId="2FA440EE" w14:textId="77777777" w:rsidR="006571B5" w:rsidRPr="0086761B" w:rsidRDefault="006571B5" w:rsidP="006571B5">
            <w:pPr>
              <w:spacing w:line="259" w:lineRule="auto"/>
              <w:rPr>
                <w:rFonts w:ascii="Times New Roman" w:hAnsi="Times New Roman" w:cs="Times New Roman"/>
                <w:lang w:val="it-IT"/>
              </w:rPr>
            </w:pPr>
            <w:r w:rsidRPr="0086761B">
              <w:rPr>
                <w:rFonts w:ascii="Times New Roman" w:hAnsi="Times New Roman" w:cs="Times New Roman"/>
                <w:lang w:val="it-IT"/>
              </w:rPr>
              <w:t xml:space="preserve">Globalna ekonomska situacija </w:t>
            </w:r>
          </w:p>
        </w:tc>
        <w:tc>
          <w:tcPr>
            <w:tcW w:w="3913" w:type="pct"/>
            <w:gridSpan w:val="5"/>
            <w:noWrap/>
          </w:tcPr>
          <w:p w14:paraId="4B5BAF8B" w14:textId="77777777" w:rsidR="006571B5" w:rsidRPr="0086761B" w:rsidRDefault="006571B5" w:rsidP="006571B5">
            <w:pPr>
              <w:spacing w:line="259" w:lineRule="auto"/>
              <w:rPr>
                <w:rFonts w:ascii="Times New Roman" w:hAnsi="Times New Roman" w:cs="Times New Roman"/>
                <w:lang w:val="it-IT"/>
              </w:rPr>
            </w:pPr>
            <w:r w:rsidRPr="0086761B">
              <w:rPr>
                <w:rFonts w:ascii="Times New Roman" w:hAnsi="Times New Roman" w:cs="Times New Roman"/>
                <w:lang w:val="it-IT"/>
              </w:rPr>
              <w:t>N/P</w:t>
            </w:r>
          </w:p>
        </w:tc>
      </w:tr>
    </w:tbl>
    <w:bookmarkEnd w:id="287"/>
    <w:p w14:paraId="6510F29D" w14:textId="77777777" w:rsidR="006571B5" w:rsidRPr="0086761B" w:rsidRDefault="006571B5" w:rsidP="006571B5">
      <w:pPr>
        <w:rPr>
          <w:rFonts w:ascii="Times New Roman" w:hAnsi="Times New Roman" w:cs="Times New Roman"/>
        </w:rPr>
      </w:pPr>
      <w:r w:rsidRPr="0086761B">
        <w:rPr>
          <w:rFonts w:ascii="Times New Roman" w:hAnsi="Times New Roman" w:cs="Times New Roman"/>
        </w:rPr>
        <w:t>Izvor: izrada autora</w:t>
      </w:r>
    </w:p>
    <w:p w14:paraId="2828D735" w14:textId="77777777" w:rsidR="006571B5" w:rsidRPr="00E2667C" w:rsidRDefault="006571B5" w:rsidP="006571B5">
      <w:pPr>
        <w:rPr>
          <w:rFonts w:ascii="Times New Roman" w:hAnsi="Times New Roman" w:cs="Times New Roman"/>
          <w:highlight w:val="yellow"/>
        </w:rPr>
      </w:pPr>
    </w:p>
    <w:p w14:paraId="41D4D8FB" w14:textId="77777777" w:rsidR="006571B5" w:rsidRPr="00AD0906" w:rsidRDefault="006571B5" w:rsidP="006571B5">
      <w:pPr>
        <w:rPr>
          <w:rFonts w:ascii="Times New Roman" w:hAnsi="Times New Roman" w:cs="Times New Roman"/>
          <w:bCs/>
          <w:lang w:val="it-IT"/>
        </w:rPr>
      </w:pPr>
      <w:r w:rsidRPr="00AD0906">
        <w:rPr>
          <w:rFonts w:ascii="Times New Roman" w:hAnsi="Times New Roman" w:cs="Times New Roman"/>
          <w:bCs/>
        </w:rPr>
        <w:lastRenderedPageBreak/>
        <w:t xml:space="preserve">Tablica 7: </w:t>
      </w:r>
      <w:r w:rsidRPr="00AD0906">
        <w:rPr>
          <w:rFonts w:ascii="Times New Roman" w:hAnsi="Times New Roman" w:cs="Times New Roman"/>
          <w:bCs/>
          <w:lang w:val="it-IT"/>
        </w:rPr>
        <w:t>Rezultati prvog ciklusa Delphi postupka – čimbenici uspjeha u fazi integracije</w:t>
      </w:r>
    </w:p>
    <w:tbl>
      <w:tblPr>
        <w:tblStyle w:val="TableGrid"/>
        <w:tblW w:w="0" w:type="auto"/>
        <w:tblLook w:val="04A0" w:firstRow="1" w:lastRow="0" w:firstColumn="1" w:lastColumn="0" w:noHBand="0" w:noVBand="1"/>
      </w:tblPr>
      <w:tblGrid>
        <w:gridCol w:w="718"/>
        <w:gridCol w:w="2197"/>
        <w:gridCol w:w="1279"/>
        <w:gridCol w:w="1093"/>
        <w:gridCol w:w="723"/>
        <w:gridCol w:w="1329"/>
        <w:gridCol w:w="2011"/>
      </w:tblGrid>
      <w:tr w:rsidR="006571B5" w:rsidRPr="00AD0906" w14:paraId="3FD7CA78" w14:textId="77777777" w:rsidTr="00AD0906">
        <w:trPr>
          <w:trHeight w:val="255"/>
        </w:trPr>
        <w:tc>
          <w:tcPr>
            <w:tcW w:w="672" w:type="dxa"/>
            <w:vAlign w:val="center"/>
          </w:tcPr>
          <w:p w14:paraId="1D94EF06" w14:textId="79D68225" w:rsidR="006571B5" w:rsidRPr="00AD0906" w:rsidRDefault="00AD0906" w:rsidP="00AD0906">
            <w:pPr>
              <w:spacing w:after="160" w:line="259" w:lineRule="auto"/>
              <w:jc w:val="center"/>
              <w:rPr>
                <w:rFonts w:ascii="Times New Roman" w:hAnsi="Times New Roman" w:cs="Times New Roman"/>
                <w:b/>
              </w:rPr>
            </w:pPr>
            <w:r w:rsidRPr="00AD0906">
              <w:rPr>
                <w:rFonts w:ascii="Times New Roman" w:hAnsi="Times New Roman" w:cs="Times New Roman"/>
                <w:b/>
              </w:rPr>
              <w:t>R</w:t>
            </w:r>
            <w:r w:rsidR="002E5B41">
              <w:rPr>
                <w:rFonts w:ascii="Times New Roman" w:hAnsi="Times New Roman" w:cs="Times New Roman"/>
                <w:b/>
              </w:rPr>
              <w:t>ang</w:t>
            </w:r>
          </w:p>
        </w:tc>
        <w:tc>
          <w:tcPr>
            <w:tcW w:w="2197" w:type="dxa"/>
            <w:noWrap/>
            <w:vAlign w:val="center"/>
            <w:hideMark/>
          </w:tcPr>
          <w:p w14:paraId="75A28AD9" w14:textId="73BDB4A6" w:rsidR="006571B5" w:rsidRPr="00AD0906" w:rsidRDefault="006571B5" w:rsidP="00AD0906">
            <w:pPr>
              <w:spacing w:after="160" w:line="259" w:lineRule="auto"/>
              <w:jc w:val="center"/>
              <w:rPr>
                <w:rFonts w:ascii="Times New Roman" w:hAnsi="Times New Roman" w:cs="Times New Roman"/>
                <w:b/>
                <w:lang w:val="en-US"/>
              </w:rPr>
            </w:pPr>
            <w:r w:rsidRPr="00AD0906">
              <w:rPr>
                <w:rFonts w:ascii="Times New Roman" w:hAnsi="Times New Roman" w:cs="Times New Roman"/>
                <w:b/>
              </w:rPr>
              <w:t>Čimbenici</w:t>
            </w:r>
          </w:p>
        </w:tc>
        <w:tc>
          <w:tcPr>
            <w:tcW w:w="1262" w:type="dxa"/>
            <w:noWrap/>
            <w:vAlign w:val="center"/>
            <w:hideMark/>
          </w:tcPr>
          <w:p w14:paraId="77B5A695" w14:textId="77777777" w:rsidR="006571B5" w:rsidRPr="00AD0906" w:rsidRDefault="006571B5" w:rsidP="00AD0906">
            <w:pPr>
              <w:spacing w:after="160" w:line="259" w:lineRule="auto"/>
              <w:jc w:val="center"/>
              <w:rPr>
                <w:rFonts w:ascii="Times New Roman" w:hAnsi="Times New Roman" w:cs="Times New Roman"/>
                <w:b/>
                <w:bCs/>
              </w:rPr>
            </w:pPr>
            <w:r w:rsidRPr="00AD0906">
              <w:rPr>
                <w:rFonts w:ascii="Times New Roman" w:hAnsi="Times New Roman" w:cs="Times New Roman"/>
                <w:b/>
                <w:bCs/>
              </w:rPr>
              <w:t>Arimetička sredina</w:t>
            </w:r>
          </w:p>
        </w:tc>
        <w:tc>
          <w:tcPr>
            <w:tcW w:w="1093" w:type="dxa"/>
            <w:noWrap/>
            <w:vAlign w:val="center"/>
            <w:hideMark/>
          </w:tcPr>
          <w:p w14:paraId="0EC496CC" w14:textId="77777777" w:rsidR="006571B5" w:rsidRPr="00AD0906" w:rsidRDefault="006571B5" w:rsidP="00AD0906">
            <w:pPr>
              <w:spacing w:after="160" w:line="259" w:lineRule="auto"/>
              <w:jc w:val="center"/>
              <w:rPr>
                <w:rFonts w:ascii="Times New Roman" w:hAnsi="Times New Roman" w:cs="Times New Roman"/>
                <w:b/>
                <w:bCs/>
              </w:rPr>
            </w:pPr>
            <w:r w:rsidRPr="00AD0906">
              <w:rPr>
                <w:rFonts w:ascii="Times New Roman" w:hAnsi="Times New Roman" w:cs="Times New Roman"/>
                <w:b/>
                <w:bCs/>
              </w:rPr>
              <w:t>Medijan</w:t>
            </w:r>
          </w:p>
        </w:tc>
        <w:tc>
          <w:tcPr>
            <w:tcW w:w="723" w:type="dxa"/>
            <w:noWrap/>
            <w:vAlign w:val="center"/>
            <w:hideMark/>
          </w:tcPr>
          <w:p w14:paraId="26D9BC8B" w14:textId="77777777" w:rsidR="006571B5" w:rsidRPr="00AD0906" w:rsidRDefault="006571B5" w:rsidP="00AD0906">
            <w:pPr>
              <w:spacing w:after="160" w:line="259" w:lineRule="auto"/>
              <w:jc w:val="center"/>
              <w:rPr>
                <w:rFonts w:ascii="Times New Roman" w:hAnsi="Times New Roman" w:cs="Times New Roman"/>
                <w:b/>
                <w:bCs/>
              </w:rPr>
            </w:pPr>
            <w:r w:rsidRPr="00AD0906">
              <w:rPr>
                <w:rFonts w:ascii="Times New Roman" w:hAnsi="Times New Roman" w:cs="Times New Roman"/>
                <w:b/>
                <w:bCs/>
              </w:rPr>
              <w:t>Mod</w:t>
            </w:r>
          </w:p>
        </w:tc>
        <w:tc>
          <w:tcPr>
            <w:tcW w:w="1279" w:type="dxa"/>
            <w:noWrap/>
            <w:vAlign w:val="center"/>
            <w:hideMark/>
          </w:tcPr>
          <w:p w14:paraId="0A22EF53" w14:textId="77777777" w:rsidR="006571B5" w:rsidRPr="00AD0906" w:rsidRDefault="006571B5" w:rsidP="00AD0906">
            <w:pPr>
              <w:spacing w:after="160" w:line="259" w:lineRule="auto"/>
              <w:jc w:val="center"/>
              <w:rPr>
                <w:rFonts w:ascii="Times New Roman" w:hAnsi="Times New Roman" w:cs="Times New Roman"/>
                <w:b/>
                <w:bCs/>
              </w:rPr>
            </w:pPr>
            <w:r w:rsidRPr="00AD0906">
              <w:rPr>
                <w:rFonts w:ascii="Times New Roman" w:hAnsi="Times New Roman" w:cs="Times New Roman"/>
                <w:b/>
                <w:bCs/>
              </w:rPr>
              <w:t>Standardna devijacija</w:t>
            </w:r>
          </w:p>
        </w:tc>
        <w:tc>
          <w:tcPr>
            <w:tcW w:w="3542" w:type="dxa"/>
            <w:vAlign w:val="center"/>
          </w:tcPr>
          <w:p w14:paraId="7943F9EC" w14:textId="77777777" w:rsidR="006571B5" w:rsidRPr="00AD0906" w:rsidRDefault="006571B5" w:rsidP="00AD0906">
            <w:pPr>
              <w:spacing w:after="160" w:line="259" w:lineRule="auto"/>
              <w:jc w:val="center"/>
              <w:rPr>
                <w:rFonts w:ascii="Times New Roman" w:hAnsi="Times New Roman" w:cs="Times New Roman"/>
                <w:b/>
                <w:bCs/>
              </w:rPr>
            </w:pPr>
            <w:r w:rsidRPr="00AD0906">
              <w:rPr>
                <w:rFonts w:ascii="Times New Roman" w:hAnsi="Times New Roman" w:cs="Times New Roman"/>
                <w:b/>
                <w:bCs/>
              </w:rPr>
              <w:t>Interpretacija</w:t>
            </w:r>
          </w:p>
        </w:tc>
      </w:tr>
      <w:tr w:rsidR="006571B5" w:rsidRPr="00AD0906" w14:paraId="5C9EAD33" w14:textId="77777777" w:rsidTr="00A81B58">
        <w:trPr>
          <w:trHeight w:val="255"/>
        </w:trPr>
        <w:tc>
          <w:tcPr>
            <w:tcW w:w="672" w:type="dxa"/>
            <w:vAlign w:val="center"/>
          </w:tcPr>
          <w:p w14:paraId="547F419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w:t>
            </w:r>
          </w:p>
        </w:tc>
        <w:tc>
          <w:tcPr>
            <w:tcW w:w="2197" w:type="dxa"/>
            <w:noWrap/>
            <w:vAlign w:val="center"/>
            <w:hideMark/>
          </w:tcPr>
          <w:p w14:paraId="31055D6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Definiranje nove strategije razvoja poduzeća nakon akvizicije (novog zajedničkog poduzeća ili pak svakog pojedinog poduzeća koje je sudjelovalo u procesu akvizicije ako ostaju kao samostalne pravne osobe)</w:t>
            </w:r>
          </w:p>
        </w:tc>
        <w:tc>
          <w:tcPr>
            <w:tcW w:w="1262" w:type="dxa"/>
            <w:noWrap/>
            <w:vAlign w:val="center"/>
            <w:hideMark/>
          </w:tcPr>
          <w:p w14:paraId="35DD472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5,000</w:t>
            </w:r>
          </w:p>
        </w:tc>
        <w:tc>
          <w:tcPr>
            <w:tcW w:w="1093" w:type="dxa"/>
            <w:noWrap/>
            <w:vAlign w:val="center"/>
            <w:hideMark/>
          </w:tcPr>
          <w:p w14:paraId="04FFA45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hideMark/>
          </w:tcPr>
          <w:p w14:paraId="5E50A38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hideMark/>
          </w:tcPr>
          <w:p w14:paraId="569D560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0,000</w:t>
            </w:r>
          </w:p>
        </w:tc>
        <w:tc>
          <w:tcPr>
            <w:tcW w:w="3542" w:type="dxa"/>
            <w:vAlign w:val="center"/>
          </w:tcPr>
          <w:p w14:paraId="6CFAB717"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iznimno važnim.</w:t>
            </w:r>
          </w:p>
          <w:p w14:paraId="694ED80D"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je čimbenik percipiran kao vrlo važan kod svih ispitanika.</w:t>
            </w:r>
          </w:p>
          <w:p w14:paraId="10C35DB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pokazuje da svi ispitanici smatraju ovaj čimbenik vrlo važnim.</w:t>
            </w:r>
          </w:p>
          <w:p w14:paraId="31EFEE8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Standardna devijacija je nula, što znači potpuni konsenzus među ispitanicima.</w:t>
            </w:r>
          </w:p>
        </w:tc>
      </w:tr>
      <w:tr w:rsidR="006571B5" w:rsidRPr="00AD0906" w14:paraId="10C3A154" w14:textId="77777777" w:rsidTr="00A81B58">
        <w:trPr>
          <w:trHeight w:val="255"/>
        </w:trPr>
        <w:tc>
          <w:tcPr>
            <w:tcW w:w="672" w:type="dxa"/>
            <w:vAlign w:val="center"/>
          </w:tcPr>
          <w:p w14:paraId="4E67568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w:t>
            </w:r>
          </w:p>
        </w:tc>
        <w:tc>
          <w:tcPr>
            <w:tcW w:w="2197" w:type="dxa"/>
            <w:noWrap/>
            <w:vAlign w:val="center"/>
          </w:tcPr>
          <w:p w14:paraId="6D6FE43E" w14:textId="4FC83EF6"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Formalni plan zajedničke integracije od strane vodećih upravljačkih timova oba poduzeća (poduzeća preuzimatelja i poduzeća mete)</w:t>
            </w:r>
          </w:p>
        </w:tc>
        <w:tc>
          <w:tcPr>
            <w:tcW w:w="1262" w:type="dxa"/>
            <w:noWrap/>
            <w:vAlign w:val="center"/>
          </w:tcPr>
          <w:p w14:paraId="7893FEE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4,833</w:t>
            </w:r>
          </w:p>
        </w:tc>
        <w:tc>
          <w:tcPr>
            <w:tcW w:w="1093" w:type="dxa"/>
            <w:noWrap/>
            <w:vAlign w:val="center"/>
          </w:tcPr>
          <w:p w14:paraId="60A5EE5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58B5F33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573FB2B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0,408</w:t>
            </w:r>
          </w:p>
        </w:tc>
        <w:tc>
          <w:tcPr>
            <w:tcW w:w="3542" w:type="dxa"/>
            <w:vAlign w:val="center"/>
          </w:tcPr>
          <w:p w14:paraId="41B7B90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kao vrlo važan.</w:t>
            </w:r>
          </w:p>
          <w:p w14:paraId="4041EAE7"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većina ispitanika smatra ovaj čimbenik vrlo važnim.</w:t>
            </w:r>
          </w:p>
          <w:p w14:paraId="3BDD83F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također sugerira visoku važnost.</w:t>
            </w:r>
          </w:p>
          <w:p w14:paraId="3C1BC79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Niska standardna devijacija ukazuje na relativnu suglasnost među ispitanicima.</w:t>
            </w:r>
          </w:p>
        </w:tc>
      </w:tr>
      <w:tr w:rsidR="006571B5" w:rsidRPr="00AD0906" w14:paraId="3F96992F" w14:textId="77777777" w:rsidTr="00A81B58">
        <w:trPr>
          <w:trHeight w:val="255"/>
        </w:trPr>
        <w:tc>
          <w:tcPr>
            <w:tcW w:w="672" w:type="dxa"/>
            <w:vAlign w:val="center"/>
          </w:tcPr>
          <w:p w14:paraId="3C10C7F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w:t>
            </w:r>
          </w:p>
        </w:tc>
        <w:tc>
          <w:tcPr>
            <w:tcW w:w="2197" w:type="dxa"/>
            <w:noWrap/>
            <w:vAlign w:val="center"/>
          </w:tcPr>
          <w:p w14:paraId="6AD42E43"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 xml:space="preserve">Osiguranje resursa potrebnih za </w:t>
            </w:r>
            <w:r w:rsidRPr="00AD0906">
              <w:rPr>
                <w:rFonts w:ascii="Times New Roman" w:hAnsi="Times New Roman" w:cs="Times New Roman"/>
              </w:rPr>
              <w:lastRenderedPageBreak/>
              <w:t>integraciju nakon procesa akvizicije</w:t>
            </w:r>
          </w:p>
        </w:tc>
        <w:tc>
          <w:tcPr>
            <w:tcW w:w="1262" w:type="dxa"/>
            <w:noWrap/>
            <w:vAlign w:val="center"/>
          </w:tcPr>
          <w:p w14:paraId="68FFB0E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4,833</w:t>
            </w:r>
          </w:p>
        </w:tc>
        <w:tc>
          <w:tcPr>
            <w:tcW w:w="1093" w:type="dxa"/>
            <w:noWrap/>
            <w:vAlign w:val="center"/>
          </w:tcPr>
          <w:p w14:paraId="3431A15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6F07A59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1368EFB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0,408</w:t>
            </w:r>
          </w:p>
        </w:tc>
        <w:tc>
          <w:tcPr>
            <w:tcW w:w="3542" w:type="dxa"/>
            <w:vAlign w:val="center"/>
          </w:tcPr>
          <w:p w14:paraId="3BC1398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kao vrlo važan.</w:t>
            </w:r>
          </w:p>
          <w:p w14:paraId="7EC938D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lastRenderedPageBreak/>
              <w:t>Medijan pokazuje percepciju visoke važnosti kod većine ispitanika.</w:t>
            </w:r>
          </w:p>
          <w:p w14:paraId="0896D53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također sugerira važnost resursa.</w:t>
            </w:r>
          </w:p>
          <w:p w14:paraId="1D7F817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Niska standardna devijacija pokazuje opće slaganje.</w:t>
            </w:r>
          </w:p>
        </w:tc>
      </w:tr>
      <w:tr w:rsidR="006571B5" w:rsidRPr="00AD0906" w14:paraId="032DAE6C" w14:textId="77777777" w:rsidTr="00A81B58">
        <w:trPr>
          <w:trHeight w:val="255"/>
        </w:trPr>
        <w:tc>
          <w:tcPr>
            <w:tcW w:w="672" w:type="dxa"/>
            <w:vAlign w:val="center"/>
          </w:tcPr>
          <w:p w14:paraId="0F7F699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3</w:t>
            </w:r>
          </w:p>
        </w:tc>
        <w:tc>
          <w:tcPr>
            <w:tcW w:w="2197" w:type="dxa"/>
            <w:noWrap/>
            <w:vAlign w:val="center"/>
          </w:tcPr>
          <w:p w14:paraId="260233E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c>
          <w:tcPr>
            <w:tcW w:w="1262" w:type="dxa"/>
            <w:noWrap/>
            <w:vAlign w:val="center"/>
          </w:tcPr>
          <w:p w14:paraId="3D8CDB7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4,667</w:t>
            </w:r>
          </w:p>
        </w:tc>
        <w:tc>
          <w:tcPr>
            <w:tcW w:w="1093" w:type="dxa"/>
            <w:noWrap/>
            <w:vAlign w:val="center"/>
          </w:tcPr>
          <w:p w14:paraId="5FCB20F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0EBC964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73DEB10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0,516</w:t>
            </w:r>
          </w:p>
        </w:tc>
        <w:tc>
          <w:tcPr>
            <w:tcW w:w="3542" w:type="dxa"/>
            <w:vAlign w:val="center"/>
          </w:tcPr>
          <w:p w14:paraId="413A6E6D"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kao vrlo važan.</w:t>
            </w:r>
          </w:p>
          <w:p w14:paraId="79AB227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komunikacija percipirana kao važna kod većine ispitanika.</w:t>
            </w:r>
          </w:p>
          <w:p w14:paraId="3555108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sugerira da mnogi smatraju ovaj čimbenik vrlo važnim.</w:t>
            </w:r>
          </w:p>
          <w:p w14:paraId="1B68165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Standardna devijacija ukazuje na relativno nisku varijabilnost, što sugerira slaganje među ispitanicima.</w:t>
            </w:r>
          </w:p>
        </w:tc>
      </w:tr>
      <w:tr w:rsidR="006571B5" w:rsidRPr="00AD0906" w14:paraId="4AD34421" w14:textId="77777777" w:rsidTr="00A81B58">
        <w:trPr>
          <w:trHeight w:val="255"/>
        </w:trPr>
        <w:tc>
          <w:tcPr>
            <w:tcW w:w="672" w:type="dxa"/>
            <w:vAlign w:val="center"/>
          </w:tcPr>
          <w:p w14:paraId="0A891C2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w:t>
            </w:r>
          </w:p>
        </w:tc>
        <w:tc>
          <w:tcPr>
            <w:tcW w:w="2197" w:type="dxa"/>
            <w:noWrap/>
            <w:vAlign w:val="center"/>
          </w:tcPr>
          <w:p w14:paraId="490A09D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Odlučan i pravedan odnos prema zaposlenicima koje je potrebno otpustiti</w:t>
            </w:r>
          </w:p>
        </w:tc>
        <w:tc>
          <w:tcPr>
            <w:tcW w:w="1262" w:type="dxa"/>
            <w:noWrap/>
            <w:vAlign w:val="center"/>
          </w:tcPr>
          <w:p w14:paraId="21286FB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4,667</w:t>
            </w:r>
          </w:p>
        </w:tc>
        <w:tc>
          <w:tcPr>
            <w:tcW w:w="1093" w:type="dxa"/>
            <w:noWrap/>
            <w:vAlign w:val="center"/>
          </w:tcPr>
          <w:p w14:paraId="27536CC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4680838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4B41BFB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0,516</w:t>
            </w:r>
          </w:p>
        </w:tc>
        <w:tc>
          <w:tcPr>
            <w:tcW w:w="3542" w:type="dxa"/>
            <w:vAlign w:val="center"/>
          </w:tcPr>
          <w:p w14:paraId="3464666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vrlo važnim.</w:t>
            </w:r>
          </w:p>
          <w:p w14:paraId="0AB993F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većina ispitanika percipira važnost ovog čimbenika.</w:t>
            </w:r>
          </w:p>
          <w:p w14:paraId="0C6DA7E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 xml:space="preserve">Najčešća ocjena 5 ukazuje na visoku percepciju važnosti ovog čimbenika </w:t>
            </w:r>
            <w:r w:rsidRPr="00AD0906">
              <w:rPr>
                <w:rFonts w:ascii="Times New Roman" w:hAnsi="Times New Roman" w:cs="Times New Roman"/>
              </w:rPr>
              <w:lastRenderedPageBreak/>
              <w:t>kod većine ispitanika.</w:t>
            </w:r>
          </w:p>
          <w:p w14:paraId="65CED52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Relativno niska standardna devijacija ukazuje na suglasnost među ispitanicima.</w:t>
            </w:r>
          </w:p>
        </w:tc>
      </w:tr>
      <w:tr w:rsidR="006571B5" w:rsidRPr="00AD0906" w14:paraId="3E1A53AA" w14:textId="77777777" w:rsidTr="00A81B58">
        <w:trPr>
          <w:trHeight w:val="255"/>
        </w:trPr>
        <w:tc>
          <w:tcPr>
            <w:tcW w:w="672" w:type="dxa"/>
            <w:vAlign w:val="center"/>
          </w:tcPr>
          <w:p w14:paraId="25E98A7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4</w:t>
            </w:r>
          </w:p>
        </w:tc>
        <w:tc>
          <w:tcPr>
            <w:tcW w:w="2197" w:type="dxa"/>
            <w:noWrap/>
            <w:vAlign w:val="center"/>
          </w:tcPr>
          <w:p w14:paraId="0B71E754"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Učinkovita komunikacija s javnošću</w:t>
            </w:r>
          </w:p>
        </w:tc>
        <w:tc>
          <w:tcPr>
            <w:tcW w:w="1262" w:type="dxa"/>
            <w:noWrap/>
            <w:vAlign w:val="center"/>
          </w:tcPr>
          <w:p w14:paraId="2BC42AC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4,500</w:t>
            </w:r>
          </w:p>
        </w:tc>
        <w:tc>
          <w:tcPr>
            <w:tcW w:w="1093" w:type="dxa"/>
            <w:noWrap/>
            <w:vAlign w:val="center"/>
          </w:tcPr>
          <w:p w14:paraId="1FAAD78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4,5</w:t>
            </w:r>
          </w:p>
        </w:tc>
        <w:tc>
          <w:tcPr>
            <w:tcW w:w="723" w:type="dxa"/>
            <w:noWrap/>
            <w:vAlign w:val="center"/>
          </w:tcPr>
          <w:p w14:paraId="781B6D2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4F3818F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0,548</w:t>
            </w:r>
          </w:p>
        </w:tc>
        <w:tc>
          <w:tcPr>
            <w:tcW w:w="3542" w:type="dxa"/>
            <w:vAlign w:val="center"/>
          </w:tcPr>
          <w:p w14:paraId="362359E2"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053C00E2"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sugerira da je komunikacija s javnošću percipirana kao važna kod većine ispitanika.</w:t>
            </w:r>
          </w:p>
          <w:p w14:paraId="69FA800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ukazuje na visok stupanj važnosti.</w:t>
            </w:r>
          </w:p>
          <w:p w14:paraId="4A0F0AB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sugerira razlike u percepciji važnosti ovog čimbenika.</w:t>
            </w:r>
          </w:p>
        </w:tc>
      </w:tr>
      <w:tr w:rsidR="006571B5" w:rsidRPr="00AD0906" w14:paraId="49F527BE" w14:textId="77777777" w:rsidTr="00A81B58">
        <w:trPr>
          <w:trHeight w:val="255"/>
        </w:trPr>
        <w:tc>
          <w:tcPr>
            <w:tcW w:w="672" w:type="dxa"/>
            <w:vAlign w:val="center"/>
          </w:tcPr>
          <w:p w14:paraId="1308640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2197" w:type="dxa"/>
            <w:noWrap/>
            <w:vAlign w:val="center"/>
          </w:tcPr>
          <w:p w14:paraId="43F2D82E" w14:textId="756AF469"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Postavljanje nove upravljačke strukture u poduzeću meti</w:t>
            </w:r>
          </w:p>
        </w:tc>
        <w:tc>
          <w:tcPr>
            <w:tcW w:w="1262" w:type="dxa"/>
            <w:noWrap/>
            <w:vAlign w:val="center"/>
          </w:tcPr>
          <w:p w14:paraId="565C42E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4,500</w:t>
            </w:r>
          </w:p>
        </w:tc>
        <w:tc>
          <w:tcPr>
            <w:tcW w:w="1093" w:type="dxa"/>
            <w:noWrap/>
            <w:vAlign w:val="center"/>
          </w:tcPr>
          <w:p w14:paraId="2C7FDB8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4016BA8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42FF25D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0,837</w:t>
            </w:r>
          </w:p>
        </w:tc>
        <w:tc>
          <w:tcPr>
            <w:tcW w:w="3542" w:type="dxa"/>
            <w:vAlign w:val="center"/>
          </w:tcPr>
          <w:p w14:paraId="515A62B2"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1389211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sugerira percepciju visoke važnosti kod većine ispitanika.</w:t>
            </w:r>
          </w:p>
          <w:p w14:paraId="0EC7C58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potvrđuje percepciju visoke važnosti.</w:t>
            </w:r>
          </w:p>
          <w:p w14:paraId="20F09E4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 xml:space="preserve">Umjerena standardna devijacija ukazuje na raznolike </w:t>
            </w:r>
            <w:r w:rsidRPr="00AD0906">
              <w:rPr>
                <w:rFonts w:ascii="Times New Roman" w:hAnsi="Times New Roman" w:cs="Times New Roman"/>
              </w:rPr>
              <w:lastRenderedPageBreak/>
              <w:t>poglede među ispitanicima.</w:t>
            </w:r>
          </w:p>
        </w:tc>
      </w:tr>
      <w:tr w:rsidR="006571B5" w:rsidRPr="00AD0906" w14:paraId="1FEB9D2A" w14:textId="77777777" w:rsidTr="00A81B58">
        <w:trPr>
          <w:trHeight w:val="255"/>
        </w:trPr>
        <w:tc>
          <w:tcPr>
            <w:tcW w:w="672" w:type="dxa"/>
            <w:vAlign w:val="center"/>
          </w:tcPr>
          <w:p w14:paraId="5D0279F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5</w:t>
            </w:r>
          </w:p>
        </w:tc>
        <w:tc>
          <w:tcPr>
            <w:tcW w:w="2197" w:type="dxa"/>
            <w:noWrap/>
            <w:vAlign w:val="center"/>
          </w:tcPr>
          <w:p w14:paraId="430DDFA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Identificiranje i usmjeravanje na ostvarivanje glavnih vrijednosnih pokretača procesa akvizicije</w:t>
            </w:r>
          </w:p>
        </w:tc>
        <w:tc>
          <w:tcPr>
            <w:tcW w:w="1262" w:type="dxa"/>
            <w:noWrap/>
            <w:vAlign w:val="center"/>
          </w:tcPr>
          <w:p w14:paraId="064B061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4,333</w:t>
            </w:r>
          </w:p>
        </w:tc>
        <w:tc>
          <w:tcPr>
            <w:tcW w:w="1093" w:type="dxa"/>
            <w:noWrap/>
            <w:vAlign w:val="center"/>
          </w:tcPr>
          <w:p w14:paraId="07350E6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4,5</w:t>
            </w:r>
          </w:p>
        </w:tc>
        <w:tc>
          <w:tcPr>
            <w:tcW w:w="723" w:type="dxa"/>
            <w:noWrap/>
            <w:vAlign w:val="center"/>
          </w:tcPr>
          <w:p w14:paraId="19753BF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41892F7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0,816</w:t>
            </w:r>
          </w:p>
        </w:tc>
        <w:tc>
          <w:tcPr>
            <w:tcW w:w="3542" w:type="dxa"/>
            <w:vAlign w:val="center"/>
          </w:tcPr>
          <w:p w14:paraId="46EEDACC"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544C938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visoku percepciju važnosti kod većine ispitanika.</w:t>
            </w:r>
          </w:p>
          <w:p w14:paraId="18C4B6E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sugerira da mnogi smatraju ovaj čimbenik vrlo važnim.</w:t>
            </w:r>
          </w:p>
          <w:p w14:paraId="4DAA78DD"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ukazuje na neke varijacije u stavovima.</w:t>
            </w:r>
          </w:p>
        </w:tc>
      </w:tr>
      <w:tr w:rsidR="006571B5" w:rsidRPr="00AD0906" w14:paraId="0A2F271B" w14:textId="77777777" w:rsidTr="00A81B58">
        <w:trPr>
          <w:trHeight w:val="255"/>
        </w:trPr>
        <w:tc>
          <w:tcPr>
            <w:tcW w:w="672" w:type="dxa"/>
            <w:vAlign w:val="center"/>
          </w:tcPr>
          <w:p w14:paraId="2CF916C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2197" w:type="dxa"/>
            <w:noWrap/>
            <w:vAlign w:val="center"/>
          </w:tcPr>
          <w:p w14:paraId="6AEC4EF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Brza integracija radi ostvarivanja zacrtanog plana</w:t>
            </w:r>
          </w:p>
        </w:tc>
        <w:tc>
          <w:tcPr>
            <w:tcW w:w="1262" w:type="dxa"/>
            <w:noWrap/>
            <w:vAlign w:val="center"/>
          </w:tcPr>
          <w:p w14:paraId="069E8F83"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4,333</w:t>
            </w:r>
          </w:p>
        </w:tc>
        <w:tc>
          <w:tcPr>
            <w:tcW w:w="1093" w:type="dxa"/>
            <w:noWrap/>
            <w:vAlign w:val="center"/>
          </w:tcPr>
          <w:p w14:paraId="0BF43B2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338F1C1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14358A0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1,033</w:t>
            </w:r>
          </w:p>
        </w:tc>
        <w:tc>
          <w:tcPr>
            <w:tcW w:w="3542" w:type="dxa"/>
            <w:vAlign w:val="center"/>
          </w:tcPr>
          <w:p w14:paraId="64FD090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5A51481C"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brza integracija percipirana kao važna kod mnogih ispitanika.</w:t>
            </w:r>
          </w:p>
          <w:p w14:paraId="7B4834D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ukazuje na percepciju ovog čimbenika kao vrlo važnog kod nekih ispitanika.</w:t>
            </w:r>
          </w:p>
          <w:p w14:paraId="1C1FC757"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sugerira podijeljene stavove, što implicira različite poglede među ispitanicima.</w:t>
            </w:r>
          </w:p>
        </w:tc>
      </w:tr>
      <w:tr w:rsidR="006571B5" w:rsidRPr="00AD0906" w14:paraId="1E90A8A1" w14:textId="77777777" w:rsidTr="00A81B58">
        <w:trPr>
          <w:trHeight w:val="255"/>
        </w:trPr>
        <w:tc>
          <w:tcPr>
            <w:tcW w:w="672" w:type="dxa"/>
            <w:vAlign w:val="center"/>
          </w:tcPr>
          <w:p w14:paraId="4DFBE9C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5</w:t>
            </w:r>
          </w:p>
        </w:tc>
        <w:tc>
          <w:tcPr>
            <w:tcW w:w="2197" w:type="dxa"/>
            <w:noWrap/>
            <w:vAlign w:val="center"/>
          </w:tcPr>
          <w:p w14:paraId="5443A51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 xml:space="preserve">Identificiranje prilika </w:t>
            </w:r>
            <w:bookmarkStart w:id="288" w:name="_Hlk181962086"/>
            <w:r w:rsidRPr="00AD0906">
              <w:rPr>
                <w:rFonts w:ascii="Times New Roman" w:hAnsi="Times New Roman" w:cs="Times New Roman"/>
              </w:rPr>
              <w:t>za poboljšanje konkurentske pozicije novostvorenog zajedničkog poduzeća ili oba poduzeća koja su sudjelovala u procesu spajanja i preuzimanja, ali su ostala kao samostalne pravne osobe</w:t>
            </w:r>
            <w:bookmarkEnd w:id="288"/>
          </w:p>
        </w:tc>
        <w:tc>
          <w:tcPr>
            <w:tcW w:w="1262" w:type="dxa"/>
            <w:noWrap/>
            <w:vAlign w:val="center"/>
          </w:tcPr>
          <w:p w14:paraId="42217FF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4,333</w:t>
            </w:r>
          </w:p>
        </w:tc>
        <w:tc>
          <w:tcPr>
            <w:tcW w:w="1093" w:type="dxa"/>
            <w:noWrap/>
            <w:vAlign w:val="center"/>
          </w:tcPr>
          <w:p w14:paraId="1A36A59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4,5</w:t>
            </w:r>
          </w:p>
        </w:tc>
        <w:tc>
          <w:tcPr>
            <w:tcW w:w="723" w:type="dxa"/>
            <w:noWrap/>
            <w:vAlign w:val="center"/>
          </w:tcPr>
          <w:p w14:paraId="3D7C0FB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5B73A23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0,816</w:t>
            </w:r>
          </w:p>
        </w:tc>
        <w:tc>
          <w:tcPr>
            <w:tcW w:w="3542" w:type="dxa"/>
            <w:vAlign w:val="center"/>
          </w:tcPr>
          <w:p w14:paraId="7E23F84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44F931E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se većina slaže oko važnosti ovog čimbenika.</w:t>
            </w:r>
          </w:p>
          <w:p w14:paraId="26FD6BD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dodatno potvrđuje percepciju važnosti kod ispitanika.</w:t>
            </w:r>
          </w:p>
          <w:p w14:paraId="631E5ADC"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sugerira raznolike poglede.</w:t>
            </w:r>
          </w:p>
        </w:tc>
      </w:tr>
      <w:tr w:rsidR="006571B5" w:rsidRPr="00AD0906" w14:paraId="6F3F9733" w14:textId="77777777" w:rsidTr="00A81B58">
        <w:trPr>
          <w:trHeight w:val="255"/>
        </w:trPr>
        <w:tc>
          <w:tcPr>
            <w:tcW w:w="672" w:type="dxa"/>
            <w:vAlign w:val="center"/>
          </w:tcPr>
          <w:p w14:paraId="2EA1E1E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2197" w:type="dxa"/>
            <w:noWrap/>
            <w:vAlign w:val="center"/>
          </w:tcPr>
          <w:p w14:paraId="13637A30" w14:textId="232F4DD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Uspostavljanje odgovarajućih unutarnjih mehanizama za prijenos kompetencija i sredstava između poslovnih jedinica</w:t>
            </w:r>
          </w:p>
        </w:tc>
        <w:tc>
          <w:tcPr>
            <w:tcW w:w="1262" w:type="dxa"/>
            <w:noWrap/>
            <w:vAlign w:val="center"/>
          </w:tcPr>
          <w:p w14:paraId="6A534A2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4,333</w:t>
            </w:r>
          </w:p>
        </w:tc>
        <w:tc>
          <w:tcPr>
            <w:tcW w:w="1093" w:type="dxa"/>
            <w:noWrap/>
            <w:vAlign w:val="center"/>
          </w:tcPr>
          <w:p w14:paraId="18513F7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723" w:type="dxa"/>
            <w:noWrap/>
            <w:vAlign w:val="center"/>
          </w:tcPr>
          <w:p w14:paraId="7FFBBA7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5</w:t>
            </w:r>
          </w:p>
        </w:tc>
        <w:tc>
          <w:tcPr>
            <w:tcW w:w="1279" w:type="dxa"/>
            <w:noWrap/>
            <w:vAlign w:val="center"/>
          </w:tcPr>
          <w:p w14:paraId="772EA24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1,211</w:t>
            </w:r>
          </w:p>
        </w:tc>
        <w:tc>
          <w:tcPr>
            <w:tcW w:w="3542" w:type="dxa"/>
            <w:vAlign w:val="center"/>
          </w:tcPr>
          <w:p w14:paraId="53147FA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5471AE8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mnogi ispitanici smatraju ovaj čimbenik vrlo važnim.</w:t>
            </w:r>
          </w:p>
          <w:p w14:paraId="2841B68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5 sugerira percepciju važnosti kod dijela ispitanika.</w:t>
            </w:r>
          </w:p>
          <w:p w14:paraId="7C0537E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ukazuje na podijeljene stavove među ispitanicima, što sugerira različite poglede.</w:t>
            </w:r>
          </w:p>
        </w:tc>
      </w:tr>
      <w:tr w:rsidR="006571B5" w:rsidRPr="00AD0906" w14:paraId="2243CBB6" w14:textId="77777777" w:rsidTr="00A81B58">
        <w:trPr>
          <w:trHeight w:val="255"/>
        </w:trPr>
        <w:tc>
          <w:tcPr>
            <w:tcW w:w="672" w:type="dxa"/>
            <w:vAlign w:val="center"/>
          </w:tcPr>
          <w:p w14:paraId="7598758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6</w:t>
            </w:r>
          </w:p>
        </w:tc>
        <w:tc>
          <w:tcPr>
            <w:tcW w:w="2197" w:type="dxa"/>
            <w:noWrap/>
            <w:vAlign w:val="center"/>
          </w:tcPr>
          <w:p w14:paraId="74E20C44"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 xml:space="preserve">Detektiranje i zadržavanje ključnih zaposlenika i menadžere poduzeća mete ako poduzeća koja su sudjelovala u akvizicijskom procesu </w:t>
            </w:r>
            <w:r w:rsidRPr="00AD0906">
              <w:rPr>
                <w:rFonts w:ascii="Times New Roman" w:hAnsi="Times New Roman" w:cs="Times New Roman"/>
              </w:rPr>
              <w:lastRenderedPageBreak/>
              <w:t>ostaju kao samostalne pravne osobe</w:t>
            </w:r>
          </w:p>
        </w:tc>
        <w:tc>
          <w:tcPr>
            <w:tcW w:w="1262" w:type="dxa"/>
            <w:noWrap/>
            <w:vAlign w:val="center"/>
          </w:tcPr>
          <w:p w14:paraId="1EFD8484"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4,167</w:t>
            </w:r>
          </w:p>
        </w:tc>
        <w:tc>
          <w:tcPr>
            <w:tcW w:w="1093" w:type="dxa"/>
            <w:noWrap/>
            <w:vAlign w:val="center"/>
          </w:tcPr>
          <w:p w14:paraId="7ED1808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463C032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07518F7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0,753</w:t>
            </w:r>
          </w:p>
        </w:tc>
        <w:tc>
          <w:tcPr>
            <w:tcW w:w="3542" w:type="dxa"/>
            <w:vAlign w:val="center"/>
          </w:tcPr>
          <w:p w14:paraId="5EF986B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također ocjenjuju umjereno važnim.</w:t>
            </w:r>
          </w:p>
          <w:p w14:paraId="25B22D6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ga većina ispitanika smatra važnim.</w:t>
            </w:r>
          </w:p>
          <w:p w14:paraId="3F851CE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lastRenderedPageBreak/>
              <w:t>Najčešća ocjena 4 sugerira da ga mnogi percipiraju kao važan čimbenik.</w:t>
            </w:r>
          </w:p>
          <w:p w14:paraId="70B31BF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Standardna devijacija pokazuje umjerenu varijabilnost među stavovima.</w:t>
            </w:r>
          </w:p>
        </w:tc>
      </w:tr>
      <w:tr w:rsidR="006571B5" w:rsidRPr="00AD0906" w14:paraId="17FBAB58" w14:textId="77777777" w:rsidTr="00A81B58">
        <w:trPr>
          <w:trHeight w:val="255"/>
        </w:trPr>
        <w:tc>
          <w:tcPr>
            <w:tcW w:w="672" w:type="dxa"/>
            <w:vAlign w:val="center"/>
          </w:tcPr>
          <w:p w14:paraId="1DEAD2F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7</w:t>
            </w:r>
          </w:p>
        </w:tc>
        <w:tc>
          <w:tcPr>
            <w:tcW w:w="2197" w:type="dxa"/>
            <w:noWrap/>
            <w:vAlign w:val="center"/>
          </w:tcPr>
          <w:p w14:paraId="54AC435E" w14:textId="68CA07F2"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Povezivanje naknada (kompenzacija)  s poboljšanjima u realizaciji slobodnih novčanih tokova (u novoosnovanom zajedničkom poduzeću ili u oba poduzeća koja su sudjelovala u procesu preuzimanja)</w:t>
            </w:r>
          </w:p>
        </w:tc>
        <w:tc>
          <w:tcPr>
            <w:tcW w:w="1262" w:type="dxa"/>
            <w:noWrap/>
            <w:vAlign w:val="center"/>
          </w:tcPr>
          <w:p w14:paraId="6FA14DB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4,000</w:t>
            </w:r>
          </w:p>
        </w:tc>
        <w:tc>
          <w:tcPr>
            <w:tcW w:w="1093" w:type="dxa"/>
            <w:noWrap/>
            <w:vAlign w:val="center"/>
          </w:tcPr>
          <w:p w14:paraId="1A2FDDF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39624CA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0B2478C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1,095</w:t>
            </w:r>
          </w:p>
        </w:tc>
        <w:tc>
          <w:tcPr>
            <w:tcW w:w="3542" w:type="dxa"/>
            <w:vAlign w:val="center"/>
          </w:tcPr>
          <w:p w14:paraId="113AC57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16B5FEC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na percepciju važnosti kod većine ispitanika.</w:t>
            </w:r>
          </w:p>
          <w:p w14:paraId="5EFD14D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sugerira da ispitanici smatraju ovaj čimbenik važnim.</w:t>
            </w:r>
          </w:p>
          <w:p w14:paraId="2E15DE3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pokazuje podijeljene stavove, što implicira raznolike poglede na važnost ovog čimbenika.</w:t>
            </w:r>
          </w:p>
        </w:tc>
      </w:tr>
      <w:tr w:rsidR="006571B5" w:rsidRPr="00AD0906" w14:paraId="7E972871" w14:textId="77777777" w:rsidTr="00A81B58">
        <w:trPr>
          <w:trHeight w:val="255"/>
        </w:trPr>
        <w:tc>
          <w:tcPr>
            <w:tcW w:w="672" w:type="dxa"/>
            <w:vAlign w:val="center"/>
          </w:tcPr>
          <w:p w14:paraId="2CE9190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7</w:t>
            </w:r>
          </w:p>
        </w:tc>
        <w:tc>
          <w:tcPr>
            <w:tcW w:w="2197" w:type="dxa"/>
            <w:noWrap/>
            <w:vAlign w:val="center"/>
          </w:tcPr>
          <w:p w14:paraId="0570DA2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Promptna objava plana razvoja ljudskih resursa nakon procesa akvizicije (npr. ključne funkcije, ovlasti i odgovornosti, planovi otpuštanja itd. u novoosnovanom zajedničkom poduzeću ili u oba poduzeća koje su sudjelovala u akvizicijskom procesu)</w:t>
            </w:r>
          </w:p>
        </w:tc>
        <w:tc>
          <w:tcPr>
            <w:tcW w:w="1262" w:type="dxa"/>
            <w:noWrap/>
            <w:vAlign w:val="center"/>
          </w:tcPr>
          <w:p w14:paraId="556E237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4,000</w:t>
            </w:r>
          </w:p>
        </w:tc>
        <w:tc>
          <w:tcPr>
            <w:tcW w:w="1093" w:type="dxa"/>
            <w:noWrap/>
            <w:vAlign w:val="center"/>
          </w:tcPr>
          <w:p w14:paraId="7D53A4D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0CE865D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4A979B6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0,632</w:t>
            </w:r>
          </w:p>
        </w:tc>
        <w:tc>
          <w:tcPr>
            <w:tcW w:w="3542" w:type="dxa"/>
            <w:vAlign w:val="center"/>
          </w:tcPr>
          <w:p w14:paraId="3530D3D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važnim.</w:t>
            </w:r>
          </w:p>
          <w:p w14:paraId="2D3CE09D"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se mnogi slažu oko važnosti ovog čimbenika.</w:t>
            </w:r>
          </w:p>
          <w:p w14:paraId="1381AF4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dodatno potvrđuje da ispitanici percipiraju ovaj čimbenik kao važan.</w:t>
            </w:r>
          </w:p>
          <w:p w14:paraId="712DA17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lastRenderedPageBreak/>
              <w:t>Umjerena standardna devijacija ukazuje na podijeljena mišljenja među ispitanicima.</w:t>
            </w:r>
          </w:p>
        </w:tc>
      </w:tr>
      <w:tr w:rsidR="006571B5" w:rsidRPr="00AD0906" w14:paraId="6A70D979" w14:textId="77777777" w:rsidTr="00A81B58">
        <w:trPr>
          <w:trHeight w:val="255"/>
        </w:trPr>
        <w:tc>
          <w:tcPr>
            <w:tcW w:w="672" w:type="dxa"/>
            <w:vAlign w:val="center"/>
          </w:tcPr>
          <w:p w14:paraId="07F7607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8</w:t>
            </w:r>
          </w:p>
        </w:tc>
        <w:tc>
          <w:tcPr>
            <w:tcW w:w="2197" w:type="dxa"/>
            <w:noWrap/>
            <w:vAlign w:val="center"/>
            <w:hideMark/>
          </w:tcPr>
          <w:p w14:paraId="383CF1A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Detektiranje i zadržavanje ključnih zaposlenika i menadžera poduzeća mete ako dolazi do spajanja poduzeća</w:t>
            </w:r>
          </w:p>
        </w:tc>
        <w:tc>
          <w:tcPr>
            <w:tcW w:w="1262" w:type="dxa"/>
            <w:noWrap/>
            <w:vAlign w:val="center"/>
            <w:hideMark/>
          </w:tcPr>
          <w:p w14:paraId="15104D0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3,833</w:t>
            </w:r>
          </w:p>
        </w:tc>
        <w:tc>
          <w:tcPr>
            <w:tcW w:w="1093" w:type="dxa"/>
            <w:noWrap/>
            <w:vAlign w:val="center"/>
            <w:hideMark/>
          </w:tcPr>
          <w:p w14:paraId="2D67841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hideMark/>
          </w:tcPr>
          <w:p w14:paraId="774461C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hideMark/>
          </w:tcPr>
          <w:p w14:paraId="15687BF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0,753</w:t>
            </w:r>
          </w:p>
        </w:tc>
        <w:tc>
          <w:tcPr>
            <w:tcW w:w="3542" w:type="dxa"/>
            <w:vAlign w:val="center"/>
          </w:tcPr>
          <w:p w14:paraId="6469919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41044C2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ovaj čimbenik percipiran kao važan kod mnogih ispitanika.</w:t>
            </w:r>
          </w:p>
          <w:p w14:paraId="5CE9D09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pokazuje da neki ispitanici smatraju ovaj čimbenik važnim.</w:t>
            </w:r>
          </w:p>
          <w:p w14:paraId="10F38CE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Standardna devijacija pokazuje umjerenu varijabilnost, što ukazuje na podijeljene stavove.</w:t>
            </w:r>
          </w:p>
        </w:tc>
      </w:tr>
      <w:tr w:rsidR="006571B5" w:rsidRPr="00AD0906" w14:paraId="288338A6" w14:textId="77777777" w:rsidTr="00A81B58">
        <w:trPr>
          <w:trHeight w:val="255"/>
        </w:trPr>
        <w:tc>
          <w:tcPr>
            <w:tcW w:w="672" w:type="dxa"/>
            <w:vAlign w:val="center"/>
          </w:tcPr>
          <w:p w14:paraId="0653DE3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8</w:t>
            </w:r>
          </w:p>
        </w:tc>
        <w:tc>
          <w:tcPr>
            <w:tcW w:w="2197" w:type="dxa"/>
            <w:noWrap/>
            <w:vAlign w:val="center"/>
          </w:tcPr>
          <w:p w14:paraId="5A807CA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Integracija informacijske infrastrukturu poduzeća koja su sudjelovale u akvizicijskom procesu</w:t>
            </w:r>
          </w:p>
        </w:tc>
        <w:tc>
          <w:tcPr>
            <w:tcW w:w="1262" w:type="dxa"/>
            <w:noWrap/>
            <w:vAlign w:val="center"/>
          </w:tcPr>
          <w:p w14:paraId="0E3A237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3,833</w:t>
            </w:r>
          </w:p>
        </w:tc>
        <w:tc>
          <w:tcPr>
            <w:tcW w:w="1093" w:type="dxa"/>
            <w:noWrap/>
            <w:vAlign w:val="center"/>
          </w:tcPr>
          <w:p w14:paraId="676FC3E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45BA704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1C72DA1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0,753</w:t>
            </w:r>
          </w:p>
        </w:tc>
        <w:tc>
          <w:tcPr>
            <w:tcW w:w="3542" w:type="dxa"/>
            <w:vAlign w:val="center"/>
          </w:tcPr>
          <w:p w14:paraId="7D2687D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4A352B6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većina ispitanika smatra ovaj čimbenik važnim.</w:t>
            </w:r>
          </w:p>
          <w:p w14:paraId="74CDE29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sugerira percepciju važnosti kod mnogih ispitanika.</w:t>
            </w:r>
          </w:p>
          <w:p w14:paraId="197B4142"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ukazuje na raznolike stavove među ispitanicima.</w:t>
            </w:r>
          </w:p>
        </w:tc>
      </w:tr>
      <w:tr w:rsidR="006571B5" w:rsidRPr="00AD0906" w14:paraId="652E8DE2" w14:textId="77777777" w:rsidTr="00A81B58">
        <w:trPr>
          <w:trHeight w:val="255"/>
        </w:trPr>
        <w:tc>
          <w:tcPr>
            <w:tcW w:w="672" w:type="dxa"/>
            <w:vAlign w:val="center"/>
          </w:tcPr>
          <w:p w14:paraId="4D21109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8</w:t>
            </w:r>
          </w:p>
        </w:tc>
        <w:tc>
          <w:tcPr>
            <w:tcW w:w="2197" w:type="dxa"/>
            <w:noWrap/>
            <w:vAlign w:val="center"/>
          </w:tcPr>
          <w:p w14:paraId="088589D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Niveliranje razlika u stilovima upravljanja između poduzeća koja su sudjelovale u procesu spajanja i preuzimanja</w:t>
            </w:r>
          </w:p>
        </w:tc>
        <w:tc>
          <w:tcPr>
            <w:tcW w:w="1262" w:type="dxa"/>
            <w:noWrap/>
            <w:vAlign w:val="center"/>
          </w:tcPr>
          <w:p w14:paraId="06056D3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3,833</w:t>
            </w:r>
          </w:p>
        </w:tc>
        <w:tc>
          <w:tcPr>
            <w:tcW w:w="1093" w:type="dxa"/>
            <w:noWrap/>
            <w:vAlign w:val="center"/>
          </w:tcPr>
          <w:p w14:paraId="193BEA1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2A8F572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580F703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0,753</w:t>
            </w:r>
          </w:p>
        </w:tc>
        <w:tc>
          <w:tcPr>
            <w:tcW w:w="3542" w:type="dxa"/>
            <w:vAlign w:val="center"/>
          </w:tcPr>
          <w:p w14:paraId="63511A9D"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3976E60E"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niveliranje stilova upravljanja percipirano kao važno kod mnogih ispitanika.</w:t>
            </w:r>
          </w:p>
          <w:p w14:paraId="21648BF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potvrđuje važnost kod dijela ispitanika.</w:t>
            </w:r>
          </w:p>
          <w:p w14:paraId="295962C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sugerira različite poglede među ispitanicima.</w:t>
            </w:r>
          </w:p>
        </w:tc>
      </w:tr>
      <w:tr w:rsidR="006571B5" w:rsidRPr="00AD0906" w14:paraId="3EAAD20D" w14:textId="77777777" w:rsidTr="00A81B58">
        <w:trPr>
          <w:trHeight w:val="255"/>
        </w:trPr>
        <w:tc>
          <w:tcPr>
            <w:tcW w:w="672" w:type="dxa"/>
            <w:vAlign w:val="center"/>
          </w:tcPr>
          <w:p w14:paraId="4605F60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9</w:t>
            </w:r>
          </w:p>
        </w:tc>
        <w:tc>
          <w:tcPr>
            <w:tcW w:w="2197" w:type="dxa"/>
            <w:noWrap/>
            <w:vAlign w:val="center"/>
            <w:hideMark/>
          </w:tcPr>
          <w:p w14:paraId="6DBC966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Razvojni programi kojima se potiče osjećaj zajedništva između zaposlenika poduzeća koja su sudjelovala u akvizicijskom procesu (bez obzira na njihov trenutni pravni status)</w:t>
            </w:r>
          </w:p>
        </w:tc>
        <w:tc>
          <w:tcPr>
            <w:tcW w:w="1262" w:type="dxa"/>
            <w:noWrap/>
            <w:vAlign w:val="center"/>
            <w:hideMark/>
          </w:tcPr>
          <w:p w14:paraId="76E3C7A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3,667</w:t>
            </w:r>
          </w:p>
        </w:tc>
        <w:tc>
          <w:tcPr>
            <w:tcW w:w="1093" w:type="dxa"/>
            <w:noWrap/>
            <w:vAlign w:val="center"/>
            <w:hideMark/>
          </w:tcPr>
          <w:p w14:paraId="1B6F862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hideMark/>
          </w:tcPr>
          <w:p w14:paraId="207B0F7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hideMark/>
          </w:tcPr>
          <w:p w14:paraId="2C0E0F8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1,033</w:t>
            </w:r>
          </w:p>
        </w:tc>
        <w:tc>
          <w:tcPr>
            <w:tcW w:w="3542" w:type="dxa"/>
            <w:vAlign w:val="center"/>
          </w:tcPr>
          <w:p w14:paraId="3276246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795E668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na percepciju važnosti kod dijela ispitanika.</w:t>
            </w:r>
          </w:p>
          <w:p w14:paraId="358FC88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pokazuje da ga neki ispitanici smatraju važnim.</w:t>
            </w:r>
          </w:p>
          <w:p w14:paraId="680C65D0"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ukazuje na podijeljene stavove među ispitanicima.</w:t>
            </w:r>
          </w:p>
        </w:tc>
      </w:tr>
      <w:tr w:rsidR="006571B5" w:rsidRPr="00AD0906" w14:paraId="4746DB4F" w14:textId="77777777" w:rsidTr="00A81B58">
        <w:trPr>
          <w:trHeight w:val="255"/>
        </w:trPr>
        <w:tc>
          <w:tcPr>
            <w:tcW w:w="672" w:type="dxa"/>
            <w:vAlign w:val="center"/>
          </w:tcPr>
          <w:p w14:paraId="3A490F5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9</w:t>
            </w:r>
          </w:p>
        </w:tc>
        <w:tc>
          <w:tcPr>
            <w:tcW w:w="2197" w:type="dxa"/>
            <w:noWrap/>
            <w:vAlign w:val="center"/>
          </w:tcPr>
          <w:p w14:paraId="1FDF706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 xml:space="preserve">Uspostavljanje proceduru za izgradnju zajedničkih alata, praksi, procesa, procedura i jezika (u slučaju spajanja poduzeća, ali i kada svako poduzeće ostaje </w:t>
            </w:r>
            <w:r w:rsidRPr="00AD0906">
              <w:rPr>
                <w:rFonts w:ascii="Times New Roman" w:hAnsi="Times New Roman" w:cs="Times New Roman"/>
              </w:rPr>
              <w:lastRenderedPageBreak/>
              <w:t>kao samostalna pravna osoba s obzirom na novu vlasničku strukturu mete)</w:t>
            </w:r>
          </w:p>
        </w:tc>
        <w:tc>
          <w:tcPr>
            <w:tcW w:w="1262" w:type="dxa"/>
            <w:noWrap/>
            <w:vAlign w:val="center"/>
          </w:tcPr>
          <w:p w14:paraId="59E7DE6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3,667</w:t>
            </w:r>
          </w:p>
        </w:tc>
        <w:tc>
          <w:tcPr>
            <w:tcW w:w="1093" w:type="dxa"/>
            <w:noWrap/>
            <w:vAlign w:val="center"/>
          </w:tcPr>
          <w:p w14:paraId="2F4D18F3"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723" w:type="dxa"/>
            <w:noWrap/>
            <w:vAlign w:val="center"/>
          </w:tcPr>
          <w:p w14:paraId="3BC2E6D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3F1E814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1,366</w:t>
            </w:r>
          </w:p>
        </w:tc>
        <w:tc>
          <w:tcPr>
            <w:tcW w:w="3542" w:type="dxa"/>
            <w:vAlign w:val="center"/>
          </w:tcPr>
          <w:p w14:paraId="10532D7C"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62049E9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mnogi smatraju ovaj čimbenik važnim.</w:t>
            </w:r>
          </w:p>
          <w:p w14:paraId="66454865"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lastRenderedPageBreak/>
              <w:t>Najčešća ocjena 4 potvrđuje percepciju važnosti.</w:t>
            </w:r>
          </w:p>
          <w:p w14:paraId="0AF72B5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ukazuje na podijeljene stavove.</w:t>
            </w:r>
          </w:p>
        </w:tc>
      </w:tr>
      <w:tr w:rsidR="006571B5" w:rsidRPr="00AD0906" w14:paraId="7506FE42" w14:textId="77777777" w:rsidTr="00A81B58">
        <w:trPr>
          <w:trHeight w:val="255"/>
        </w:trPr>
        <w:tc>
          <w:tcPr>
            <w:tcW w:w="672" w:type="dxa"/>
            <w:vAlign w:val="center"/>
          </w:tcPr>
          <w:p w14:paraId="045847B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9</w:t>
            </w:r>
          </w:p>
        </w:tc>
        <w:tc>
          <w:tcPr>
            <w:tcW w:w="2197" w:type="dxa"/>
            <w:noWrap/>
            <w:vAlign w:val="center"/>
          </w:tcPr>
          <w:p w14:paraId="49C3B4B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Uspostavljanje novih programa procjene učinka uspješnosti u poduzećima koje su sudjelovale u procesu spajanja i preuzimanja bez obzira na njihovu trenutnu pravnu osobnost</w:t>
            </w:r>
          </w:p>
        </w:tc>
        <w:tc>
          <w:tcPr>
            <w:tcW w:w="1262" w:type="dxa"/>
            <w:noWrap/>
            <w:vAlign w:val="center"/>
          </w:tcPr>
          <w:p w14:paraId="73F8684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3,667</w:t>
            </w:r>
          </w:p>
        </w:tc>
        <w:tc>
          <w:tcPr>
            <w:tcW w:w="1093" w:type="dxa"/>
            <w:noWrap/>
            <w:vAlign w:val="center"/>
          </w:tcPr>
          <w:p w14:paraId="1BC66F6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3,5</w:t>
            </w:r>
          </w:p>
        </w:tc>
        <w:tc>
          <w:tcPr>
            <w:tcW w:w="723" w:type="dxa"/>
            <w:noWrap/>
            <w:vAlign w:val="center"/>
          </w:tcPr>
          <w:p w14:paraId="26AC67A9"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w:t>
            </w:r>
          </w:p>
        </w:tc>
        <w:tc>
          <w:tcPr>
            <w:tcW w:w="1279" w:type="dxa"/>
            <w:noWrap/>
            <w:vAlign w:val="center"/>
          </w:tcPr>
          <w:p w14:paraId="3F117C6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0,816</w:t>
            </w:r>
          </w:p>
        </w:tc>
        <w:tc>
          <w:tcPr>
            <w:tcW w:w="3542" w:type="dxa"/>
            <w:vAlign w:val="center"/>
          </w:tcPr>
          <w:p w14:paraId="1CDF977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48C1EA8C"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je ovaj čimbenik percipiran kao važan kod dijela ispitanika.</w:t>
            </w:r>
          </w:p>
          <w:p w14:paraId="524FD98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3 sugerira percepciju manje važnosti kod dijela ispitanika.</w:t>
            </w:r>
          </w:p>
          <w:p w14:paraId="5C599DC9"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ukazuje na podijeljene stavove među ispitanicima.</w:t>
            </w:r>
          </w:p>
        </w:tc>
      </w:tr>
      <w:tr w:rsidR="006571B5" w:rsidRPr="00AD0906" w14:paraId="5648DD3D" w14:textId="77777777" w:rsidTr="00A81B58">
        <w:trPr>
          <w:trHeight w:val="255"/>
        </w:trPr>
        <w:tc>
          <w:tcPr>
            <w:tcW w:w="672" w:type="dxa"/>
            <w:vAlign w:val="center"/>
          </w:tcPr>
          <w:p w14:paraId="28552CCE"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w:t>
            </w:r>
          </w:p>
        </w:tc>
        <w:tc>
          <w:tcPr>
            <w:tcW w:w="2197" w:type="dxa"/>
            <w:noWrap/>
            <w:vAlign w:val="center"/>
          </w:tcPr>
          <w:p w14:paraId="66A4940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Asimiliranje kulturoloških sustava poduzeća preuzimatelja (tj. vrijednosti, norme) u poslovnu kulturu poduzeća mete</w:t>
            </w:r>
          </w:p>
        </w:tc>
        <w:tc>
          <w:tcPr>
            <w:tcW w:w="1262" w:type="dxa"/>
            <w:noWrap/>
            <w:vAlign w:val="center"/>
          </w:tcPr>
          <w:p w14:paraId="52CEDAE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3,500</w:t>
            </w:r>
          </w:p>
        </w:tc>
        <w:tc>
          <w:tcPr>
            <w:tcW w:w="1093" w:type="dxa"/>
            <w:noWrap/>
            <w:vAlign w:val="center"/>
          </w:tcPr>
          <w:p w14:paraId="64B0C96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3,5</w:t>
            </w:r>
          </w:p>
        </w:tc>
        <w:tc>
          <w:tcPr>
            <w:tcW w:w="723" w:type="dxa"/>
            <w:noWrap/>
            <w:vAlign w:val="center"/>
          </w:tcPr>
          <w:p w14:paraId="6D2A529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0BAE9E0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1,049</w:t>
            </w:r>
          </w:p>
        </w:tc>
        <w:tc>
          <w:tcPr>
            <w:tcW w:w="3542" w:type="dxa"/>
            <w:vAlign w:val="center"/>
          </w:tcPr>
          <w:p w14:paraId="44F2520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1F41D9A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važnost ovog čimbenika prepoznata kod dijela ispitanika.</w:t>
            </w:r>
          </w:p>
          <w:p w14:paraId="3C484A0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sugerira percepciju važnosti kod dijela ispitanika.</w:t>
            </w:r>
          </w:p>
          <w:p w14:paraId="3C4C4D93"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sugerira razlike u stavovima ispitanika.</w:t>
            </w:r>
          </w:p>
        </w:tc>
      </w:tr>
      <w:tr w:rsidR="006571B5" w:rsidRPr="00AD0906" w14:paraId="484BCD01" w14:textId="77777777" w:rsidTr="00A81B58">
        <w:trPr>
          <w:trHeight w:val="255"/>
        </w:trPr>
        <w:tc>
          <w:tcPr>
            <w:tcW w:w="672" w:type="dxa"/>
            <w:vAlign w:val="center"/>
          </w:tcPr>
          <w:p w14:paraId="445C490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11</w:t>
            </w:r>
          </w:p>
        </w:tc>
        <w:tc>
          <w:tcPr>
            <w:tcW w:w="2197" w:type="dxa"/>
            <w:noWrap/>
            <w:vAlign w:val="center"/>
            <w:hideMark/>
          </w:tcPr>
          <w:p w14:paraId="236A392F"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Ujednačavanje motiva zbog kojih se poduzeće preuzimatelj odlučilo za akviziciju i operativne strategije preuzetog poduzeća (novoosnovanog zajedničkog poduzeća ili zasebne pravne osobe)</w:t>
            </w:r>
          </w:p>
        </w:tc>
        <w:tc>
          <w:tcPr>
            <w:tcW w:w="1262" w:type="dxa"/>
            <w:noWrap/>
            <w:vAlign w:val="center"/>
            <w:hideMark/>
          </w:tcPr>
          <w:p w14:paraId="3D2076E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3,333</w:t>
            </w:r>
          </w:p>
        </w:tc>
        <w:tc>
          <w:tcPr>
            <w:tcW w:w="1093" w:type="dxa"/>
            <w:noWrap/>
            <w:vAlign w:val="center"/>
            <w:hideMark/>
          </w:tcPr>
          <w:p w14:paraId="217F1414"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w:t>
            </w:r>
          </w:p>
        </w:tc>
        <w:tc>
          <w:tcPr>
            <w:tcW w:w="723" w:type="dxa"/>
            <w:noWrap/>
            <w:vAlign w:val="center"/>
            <w:hideMark/>
          </w:tcPr>
          <w:p w14:paraId="2331FCA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w:t>
            </w:r>
          </w:p>
        </w:tc>
        <w:tc>
          <w:tcPr>
            <w:tcW w:w="1279" w:type="dxa"/>
            <w:noWrap/>
            <w:vAlign w:val="center"/>
            <w:hideMark/>
          </w:tcPr>
          <w:p w14:paraId="4FB6BE7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1,033</w:t>
            </w:r>
          </w:p>
        </w:tc>
        <w:tc>
          <w:tcPr>
            <w:tcW w:w="3542" w:type="dxa"/>
            <w:vAlign w:val="center"/>
          </w:tcPr>
          <w:p w14:paraId="30B63B6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kao umjereno važnim.</w:t>
            </w:r>
          </w:p>
          <w:p w14:paraId="5A123D5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ukazuje da dio ispitanika ovaj čimbenik vidi kao manje važan.</w:t>
            </w:r>
          </w:p>
          <w:p w14:paraId="08C7A7F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3 pokazuje određeni skepticizam o važnosti.</w:t>
            </w:r>
          </w:p>
          <w:p w14:paraId="6E839082"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sugerira značajnu varijabilnost u stavovima.</w:t>
            </w:r>
          </w:p>
        </w:tc>
      </w:tr>
      <w:tr w:rsidR="006571B5" w:rsidRPr="00AD0906" w14:paraId="3A7A6FEA" w14:textId="77777777" w:rsidTr="00A81B58">
        <w:trPr>
          <w:trHeight w:val="255"/>
        </w:trPr>
        <w:tc>
          <w:tcPr>
            <w:tcW w:w="672" w:type="dxa"/>
            <w:vAlign w:val="center"/>
          </w:tcPr>
          <w:p w14:paraId="1F0469E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11</w:t>
            </w:r>
          </w:p>
        </w:tc>
        <w:tc>
          <w:tcPr>
            <w:tcW w:w="2197" w:type="dxa"/>
            <w:noWrap/>
            <w:vAlign w:val="center"/>
          </w:tcPr>
          <w:p w14:paraId="07602BF3" w14:textId="299FBCC3"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Utvrđivanje razine centralizacije i autonomije zaposlenika poduzeća mete</w:t>
            </w:r>
          </w:p>
        </w:tc>
        <w:tc>
          <w:tcPr>
            <w:tcW w:w="1262" w:type="dxa"/>
            <w:noWrap/>
            <w:vAlign w:val="center"/>
          </w:tcPr>
          <w:p w14:paraId="0F82B903"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3,333</w:t>
            </w:r>
          </w:p>
        </w:tc>
        <w:tc>
          <w:tcPr>
            <w:tcW w:w="1093" w:type="dxa"/>
            <w:noWrap/>
            <w:vAlign w:val="center"/>
          </w:tcPr>
          <w:p w14:paraId="2500504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3,5</w:t>
            </w:r>
          </w:p>
        </w:tc>
        <w:tc>
          <w:tcPr>
            <w:tcW w:w="723" w:type="dxa"/>
            <w:noWrap/>
            <w:vAlign w:val="center"/>
          </w:tcPr>
          <w:p w14:paraId="18138EE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4</w:t>
            </w:r>
          </w:p>
        </w:tc>
        <w:tc>
          <w:tcPr>
            <w:tcW w:w="1279" w:type="dxa"/>
            <w:noWrap/>
            <w:vAlign w:val="center"/>
          </w:tcPr>
          <w:p w14:paraId="415D093B"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0,816</w:t>
            </w:r>
          </w:p>
        </w:tc>
        <w:tc>
          <w:tcPr>
            <w:tcW w:w="3542" w:type="dxa"/>
            <w:vAlign w:val="center"/>
          </w:tcPr>
          <w:p w14:paraId="2937FED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umjereno važnim.</w:t>
            </w:r>
          </w:p>
          <w:p w14:paraId="64375E5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da je percepcija važnosti ovog čimbenika prisutna kod dijela ispitanika.</w:t>
            </w:r>
          </w:p>
          <w:p w14:paraId="3B2BBF5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4 sugerira percepciju važnosti kod većine.</w:t>
            </w:r>
          </w:p>
          <w:p w14:paraId="1859721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ukazuje na razlike u stavovima.</w:t>
            </w:r>
          </w:p>
        </w:tc>
      </w:tr>
      <w:tr w:rsidR="006571B5" w:rsidRPr="00AD0906" w14:paraId="3A474AFB" w14:textId="77777777" w:rsidTr="00A81B58">
        <w:trPr>
          <w:trHeight w:val="255"/>
        </w:trPr>
        <w:tc>
          <w:tcPr>
            <w:tcW w:w="672" w:type="dxa"/>
            <w:vAlign w:val="center"/>
          </w:tcPr>
          <w:p w14:paraId="06242726"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12</w:t>
            </w:r>
          </w:p>
        </w:tc>
        <w:tc>
          <w:tcPr>
            <w:tcW w:w="2197" w:type="dxa"/>
            <w:noWrap/>
            <w:vAlign w:val="center"/>
          </w:tcPr>
          <w:p w14:paraId="33FE86B1"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 xml:space="preserve">Razvoj novog skup konkurentskih proizvoda (ponude, doživljaja, portfelje proizvoda/usluga) za novostvoreno zajedničko poduzeće </w:t>
            </w:r>
            <w:r w:rsidRPr="00AD0906">
              <w:rPr>
                <w:rFonts w:ascii="Times New Roman" w:hAnsi="Times New Roman" w:cs="Times New Roman"/>
              </w:rPr>
              <w:lastRenderedPageBreak/>
              <w:t>(ili poduzeća koje su sudjelovala u akvizicijskom procesu, ali su ostala kao samostalne pravne osobe)</w:t>
            </w:r>
          </w:p>
        </w:tc>
        <w:tc>
          <w:tcPr>
            <w:tcW w:w="1262" w:type="dxa"/>
            <w:noWrap/>
            <w:vAlign w:val="center"/>
          </w:tcPr>
          <w:p w14:paraId="4681FC62"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3,167</w:t>
            </w:r>
          </w:p>
        </w:tc>
        <w:tc>
          <w:tcPr>
            <w:tcW w:w="1093" w:type="dxa"/>
            <w:noWrap/>
            <w:vAlign w:val="center"/>
          </w:tcPr>
          <w:p w14:paraId="03BC0B67"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2,5</w:t>
            </w:r>
          </w:p>
        </w:tc>
        <w:tc>
          <w:tcPr>
            <w:tcW w:w="723" w:type="dxa"/>
            <w:noWrap/>
            <w:vAlign w:val="center"/>
          </w:tcPr>
          <w:p w14:paraId="600E330D"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w:t>
            </w:r>
          </w:p>
        </w:tc>
        <w:tc>
          <w:tcPr>
            <w:tcW w:w="1279" w:type="dxa"/>
            <w:noWrap/>
            <w:vAlign w:val="center"/>
          </w:tcPr>
          <w:p w14:paraId="1BC96240"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1,472</w:t>
            </w:r>
          </w:p>
        </w:tc>
        <w:tc>
          <w:tcPr>
            <w:tcW w:w="3542" w:type="dxa"/>
            <w:vAlign w:val="center"/>
          </w:tcPr>
          <w:p w14:paraId="17CAF3A4"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manje važnim.</w:t>
            </w:r>
          </w:p>
          <w:p w14:paraId="5FF18B81"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 xml:space="preserve">Medijan ukazuje na manju važnost ovog </w:t>
            </w:r>
            <w:r w:rsidRPr="00AD0906">
              <w:rPr>
                <w:rFonts w:ascii="Times New Roman" w:hAnsi="Times New Roman" w:cs="Times New Roman"/>
              </w:rPr>
              <w:lastRenderedPageBreak/>
              <w:t>čimbenika kod ispitanika.</w:t>
            </w:r>
          </w:p>
          <w:p w14:paraId="5081C527"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2 sugerira da neki ispitanici smatraju ovaj čimbenik manje važnim.</w:t>
            </w:r>
          </w:p>
          <w:p w14:paraId="1D755B96"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Visoka standardna devijacija ukazuje na velike razlike u percepciji važnosti među ispitanicima.</w:t>
            </w:r>
          </w:p>
        </w:tc>
      </w:tr>
      <w:tr w:rsidR="006571B5" w:rsidRPr="00AD0906" w14:paraId="4F1301BA" w14:textId="77777777" w:rsidTr="00A81B58">
        <w:trPr>
          <w:trHeight w:val="255"/>
        </w:trPr>
        <w:tc>
          <w:tcPr>
            <w:tcW w:w="672" w:type="dxa"/>
            <w:vAlign w:val="center"/>
          </w:tcPr>
          <w:p w14:paraId="5C144F95"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lastRenderedPageBreak/>
              <w:t>13</w:t>
            </w:r>
          </w:p>
        </w:tc>
        <w:tc>
          <w:tcPr>
            <w:tcW w:w="2197" w:type="dxa"/>
            <w:noWrap/>
            <w:vAlign w:val="center"/>
          </w:tcPr>
          <w:p w14:paraId="123DDD26" w14:textId="70194341"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Definiranje novih metoda i postupaka analize konkurencije u hotelskom sektoru</w:t>
            </w:r>
          </w:p>
        </w:tc>
        <w:tc>
          <w:tcPr>
            <w:tcW w:w="1262" w:type="dxa"/>
            <w:noWrap/>
            <w:vAlign w:val="center"/>
          </w:tcPr>
          <w:p w14:paraId="6A59C25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2,833</w:t>
            </w:r>
          </w:p>
        </w:tc>
        <w:tc>
          <w:tcPr>
            <w:tcW w:w="1093" w:type="dxa"/>
            <w:noWrap/>
            <w:vAlign w:val="center"/>
          </w:tcPr>
          <w:p w14:paraId="10822F2C"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2,5</w:t>
            </w:r>
          </w:p>
        </w:tc>
        <w:tc>
          <w:tcPr>
            <w:tcW w:w="723" w:type="dxa"/>
            <w:noWrap/>
            <w:vAlign w:val="center"/>
          </w:tcPr>
          <w:p w14:paraId="6D58661A"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2</w:t>
            </w:r>
          </w:p>
        </w:tc>
        <w:tc>
          <w:tcPr>
            <w:tcW w:w="1279" w:type="dxa"/>
            <w:noWrap/>
            <w:vAlign w:val="center"/>
          </w:tcPr>
          <w:p w14:paraId="7351D958" w14:textId="77777777" w:rsidR="006571B5" w:rsidRPr="00AD0906" w:rsidRDefault="006571B5" w:rsidP="00AD0906">
            <w:pPr>
              <w:spacing w:after="160" w:line="259" w:lineRule="auto"/>
              <w:jc w:val="center"/>
              <w:rPr>
                <w:rFonts w:ascii="Times New Roman" w:hAnsi="Times New Roman" w:cs="Times New Roman"/>
              </w:rPr>
            </w:pPr>
            <w:r w:rsidRPr="00AD0906">
              <w:rPr>
                <w:rFonts w:ascii="Times New Roman" w:hAnsi="Times New Roman" w:cs="Times New Roman"/>
              </w:rPr>
              <w:t>0,983</w:t>
            </w:r>
          </w:p>
        </w:tc>
        <w:tc>
          <w:tcPr>
            <w:tcW w:w="3542" w:type="dxa"/>
            <w:vAlign w:val="center"/>
          </w:tcPr>
          <w:p w14:paraId="260C065F"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Ispitanici ovaj čimbenik ocjenjuju kao manje važnim.</w:t>
            </w:r>
          </w:p>
          <w:p w14:paraId="365D38AA"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Medijan pokazuje percepciju manje važnosti kod većine ispitanika.</w:t>
            </w:r>
          </w:p>
          <w:p w14:paraId="3153968B"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Najčešća ocjena 2 sugerira da većina ispitanika smatra ovaj čimbenik manje važnim.</w:t>
            </w:r>
          </w:p>
          <w:p w14:paraId="6EC32298" w14:textId="77777777" w:rsidR="006571B5" w:rsidRPr="00AD0906" w:rsidRDefault="006571B5" w:rsidP="00A81B58">
            <w:pPr>
              <w:spacing w:after="160" w:line="259" w:lineRule="auto"/>
              <w:jc w:val="center"/>
              <w:rPr>
                <w:rFonts w:ascii="Times New Roman" w:hAnsi="Times New Roman" w:cs="Times New Roman"/>
              </w:rPr>
            </w:pPr>
            <w:r w:rsidRPr="00AD0906">
              <w:rPr>
                <w:rFonts w:ascii="Times New Roman" w:hAnsi="Times New Roman" w:cs="Times New Roman"/>
              </w:rPr>
              <w:t>Umjerena standardna devijacija ukazuje na podijeljene stavove.</w:t>
            </w:r>
          </w:p>
        </w:tc>
      </w:tr>
    </w:tbl>
    <w:p w14:paraId="2736149D" w14:textId="77777777" w:rsidR="006571B5" w:rsidRPr="00AD0906" w:rsidRDefault="006571B5" w:rsidP="006571B5">
      <w:pPr>
        <w:rPr>
          <w:rFonts w:ascii="Times New Roman" w:hAnsi="Times New Roman" w:cs="Times New Roman"/>
        </w:rPr>
      </w:pPr>
      <w:r w:rsidRPr="00AD0906">
        <w:rPr>
          <w:rFonts w:ascii="Times New Roman" w:hAnsi="Times New Roman" w:cs="Times New Roman"/>
        </w:rPr>
        <w:t>Izvor: obrada autora</w:t>
      </w:r>
    </w:p>
    <w:p w14:paraId="60C18EEB" w14:textId="77777777" w:rsidR="006571B5" w:rsidRPr="00AD0906" w:rsidRDefault="006571B5" w:rsidP="006571B5">
      <w:pPr>
        <w:rPr>
          <w:rFonts w:ascii="Times New Roman" w:hAnsi="Times New Roman" w:cs="Times New Roman"/>
          <w:lang w:val="it-IT"/>
        </w:rPr>
      </w:pPr>
      <w:r w:rsidRPr="00AD0906">
        <w:rPr>
          <w:rFonts w:ascii="Times New Roman" w:hAnsi="Times New Roman" w:cs="Times New Roman"/>
        </w:rPr>
        <w:t xml:space="preserve">Tablica 8: </w:t>
      </w:r>
      <w:r w:rsidRPr="00AD0906">
        <w:rPr>
          <w:rFonts w:ascii="Times New Roman" w:hAnsi="Times New Roman" w:cs="Times New Roman"/>
          <w:lang w:val="it-IT"/>
        </w:rPr>
        <w:t>Rezultati prvog ciklusa Delphi postupka – čimbenici uspješnosti u postakvizicijskoj fazi</w:t>
      </w:r>
    </w:p>
    <w:tbl>
      <w:tblPr>
        <w:tblStyle w:val="TableGrid"/>
        <w:tblW w:w="4957" w:type="pct"/>
        <w:tblLayout w:type="fixed"/>
        <w:tblLook w:val="04A0" w:firstRow="1" w:lastRow="0" w:firstColumn="1" w:lastColumn="0" w:noHBand="0" w:noVBand="1"/>
      </w:tblPr>
      <w:tblGrid>
        <w:gridCol w:w="1413"/>
        <w:gridCol w:w="1559"/>
        <w:gridCol w:w="1135"/>
        <w:gridCol w:w="708"/>
        <w:gridCol w:w="2267"/>
        <w:gridCol w:w="2188"/>
      </w:tblGrid>
      <w:tr w:rsidR="006571B5" w:rsidRPr="00AD0906" w14:paraId="7614F941" w14:textId="77777777" w:rsidTr="00A81B58">
        <w:trPr>
          <w:trHeight w:val="445"/>
        </w:trPr>
        <w:tc>
          <w:tcPr>
            <w:tcW w:w="762" w:type="pct"/>
            <w:noWrap/>
            <w:vAlign w:val="center"/>
            <w:hideMark/>
          </w:tcPr>
          <w:p w14:paraId="7C94BCF0" w14:textId="0E011034" w:rsidR="006571B5" w:rsidRPr="00AD0906" w:rsidRDefault="006571B5" w:rsidP="00AD0906">
            <w:pPr>
              <w:spacing w:line="259" w:lineRule="auto"/>
              <w:jc w:val="center"/>
              <w:rPr>
                <w:rFonts w:ascii="Times New Roman" w:hAnsi="Times New Roman" w:cs="Times New Roman"/>
                <w:b/>
                <w:lang w:val="en-US"/>
              </w:rPr>
            </w:pPr>
            <w:r w:rsidRPr="00AD0906">
              <w:rPr>
                <w:rFonts w:ascii="Times New Roman" w:hAnsi="Times New Roman" w:cs="Times New Roman"/>
                <w:b/>
                <w:lang w:val="en-US"/>
              </w:rPr>
              <w:t>Čimbenici</w:t>
            </w:r>
          </w:p>
        </w:tc>
        <w:tc>
          <w:tcPr>
            <w:tcW w:w="841" w:type="pct"/>
            <w:noWrap/>
            <w:vAlign w:val="center"/>
            <w:hideMark/>
          </w:tcPr>
          <w:p w14:paraId="71212EC8" w14:textId="77777777" w:rsidR="006571B5" w:rsidRPr="00AD0906" w:rsidRDefault="006571B5" w:rsidP="00AD0906">
            <w:pPr>
              <w:spacing w:line="259" w:lineRule="auto"/>
              <w:jc w:val="center"/>
              <w:rPr>
                <w:rFonts w:ascii="Times New Roman" w:hAnsi="Times New Roman" w:cs="Times New Roman"/>
                <w:b/>
                <w:lang w:val="en-US"/>
              </w:rPr>
            </w:pPr>
            <w:r w:rsidRPr="00AD0906">
              <w:rPr>
                <w:rFonts w:ascii="Times New Roman" w:hAnsi="Times New Roman" w:cs="Times New Roman"/>
                <w:b/>
                <w:lang w:val="en-US"/>
              </w:rPr>
              <w:t>Aritmetička sredina</w:t>
            </w:r>
          </w:p>
        </w:tc>
        <w:tc>
          <w:tcPr>
            <w:tcW w:w="612" w:type="pct"/>
            <w:noWrap/>
            <w:vAlign w:val="center"/>
            <w:hideMark/>
          </w:tcPr>
          <w:p w14:paraId="210CA891" w14:textId="77777777" w:rsidR="006571B5" w:rsidRPr="00AD0906" w:rsidRDefault="006571B5" w:rsidP="00AD0906">
            <w:pPr>
              <w:spacing w:line="259" w:lineRule="auto"/>
              <w:jc w:val="center"/>
              <w:rPr>
                <w:rFonts w:ascii="Times New Roman" w:hAnsi="Times New Roman" w:cs="Times New Roman"/>
                <w:b/>
                <w:lang w:val="en-US"/>
              </w:rPr>
            </w:pPr>
            <w:r w:rsidRPr="00AD0906">
              <w:rPr>
                <w:rFonts w:ascii="Times New Roman" w:hAnsi="Times New Roman" w:cs="Times New Roman"/>
                <w:b/>
                <w:lang w:val="en-US"/>
              </w:rPr>
              <w:t>Medijan</w:t>
            </w:r>
          </w:p>
        </w:tc>
        <w:tc>
          <w:tcPr>
            <w:tcW w:w="382" w:type="pct"/>
            <w:noWrap/>
            <w:vAlign w:val="center"/>
            <w:hideMark/>
          </w:tcPr>
          <w:p w14:paraId="7DAB8A87" w14:textId="77777777" w:rsidR="006571B5" w:rsidRPr="00AD0906" w:rsidRDefault="006571B5" w:rsidP="00AD0906">
            <w:pPr>
              <w:spacing w:line="259" w:lineRule="auto"/>
              <w:jc w:val="center"/>
              <w:rPr>
                <w:rFonts w:ascii="Times New Roman" w:hAnsi="Times New Roman" w:cs="Times New Roman"/>
                <w:b/>
                <w:lang w:val="en-US"/>
              </w:rPr>
            </w:pPr>
            <w:r w:rsidRPr="00AD0906">
              <w:rPr>
                <w:rFonts w:ascii="Times New Roman" w:hAnsi="Times New Roman" w:cs="Times New Roman"/>
                <w:b/>
                <w:lang w:val="en-US"/>
              </w:rPr>
              <w:t>Mod</w:t>
            </w:r>
          </w:p>
        </w:tc>
        <w:tc>
          <w:tcPr>
            <w:tcW w:w="1223" w:type="pct"/>
            <w:noWrap/>
            <w:vAlign w:val="center"/>
            <w:hideMark/>
          </w:tcPr>
          <w:p w14:paraId="38EE64AA" w14:textId="77777777" w:rsidR="006571B5" w:rsidRPr="00AD0906" w:rsidRDefault="006571B5" w:rsidP="00AD0906">
            <w:pPr>
              <w:spacing w:line="259" w:lineRule="auto"/>
              <w:jc w:val="center"/>
              <w:rPr>
                <w:rFonts w:ascii="Times New Roman" w:hAnsi="Times New Roman" w:cs="Times New Roman"/>
                <w:b/>
                <w:lang w:val="en-US"/>
              </w:rPr>
            </w:pPr>
            <w:r w:rsidRPr="00AD0906">
              <w:rPr>
                <w:rFonts w:ascii="Times New Roman" w:hAnsi="Times New Roman" w:cs="Times New Roman"/>
                <w:b/>
                <w:lang w:val="en-US"/>
              </w:rPr>
              <w:t>Standardna devijacija</w:t>
            </w:r>
          </w:p>
        </w:tc>
        <w:tc>
          <w:tcPr>
            <w:tcW w:w="1180" w:type="pct"/>
            <w:vAlign w:val="center"/>
          </w:tcPr>
          <w:p w14:paraId="2C989EE8" w14:textId="4DA83C44" w:rsidR="006571B5" w:rsidRPr="00AD0906" w:rsidRDefault="002E5B41" w:rsidP="00AD0906">
            <w:pPr>
              <w:spacing w:line="259" w:lineRule="auto"/>
              <w:jc w:val="center"/>
              <w:rPr>
                <w:rFonts w:ascii="Times New Roman" w:hAnsi="Times New Roman" w:cs="Times New Roman"/>
                <w:b/>
                <w:lang w:val="en-US"/>
              </w:rPr>
            </w:pPr>
            <w:r>
              <w:rPr>
                <w:rFonts w:ascii="Times New Roman" w:hAnsi="Times New Roman" w:cs="Times New Roman"/>
                <w:b/>
                <w:lang w:val="en-US"/>
              </w:rPr>
              <w:t>Interpretacija</w:t>
            </w:r>
          </w:p>
        </w:tc>
      </w:tr>
      <w:tr w:rsidR="006571B5" w:rsidRPr="00AD0906" w14:paraId="3DDAE476" w14:textId="77777777" w:rsidTr="00A81B58">
        <w:trPr>
          <w:trHeight w:val="445"/>
        </w:trPr>
        <w:tc>
          <w:tcPr>
            <w:tcW w:w="762" w:type="pct"/>
            <w:noWrap/>
            <w:vAlign w:val="center"/>
            <w:hideMark/>
          </w:tcPr>
          <w:p w14:paraId="1DAB1DB0" w14:textId="4B03DDDA"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Povrat na ukupno uloženi kapital</w:t>
            </w:r>
          </w:p>
        </w:tc>
        <w:tc>
          <w:tcPr>
            <w:tcW w:w="841" w:type="pct"/>
            <w:noWrap/>
            <w:vAlign w:val="center"/>
            <w:hideMark/>
          </w:tcPr>
          <w:p w14:paraId="489EB224"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4,667</w:t>
            </w:r>
          </w:p>
        </w:tc>
        <w:tc>
          <w:tcPr>
            <w:tcW w:w="612" w:type="pct"/>
            <w:noWrap/>
            <w:vAlign w:val="center"/>
            <w:hideMark/>
          </w:tcPr>
          <w:p w14:paraId="0B24FAAE"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382" w:type="pct"/>
            <w:noWrap/>
            <w:vAlign w:val="center"/>
            <w:hideMark/>
          </w:tcPr>
          <w:p w14:paraId="24B19265"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1223" w:type="pct"/>
            <w:noWrap/>
            <w:vAlign w:val="center"/>
            <w:hideMark/>
          </w:tcPr>
          <w:p w14:paraId="4B49F479"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0,516</w:t>
            </w:r>
          </w:p>
        </w:tc>
        <w:tc>
          <w:tcPr>
            <w:tcW w:w="1180" w:type="pct"/>
            <w:vAlign w:val="center"/>
          </w:tcPr>
          <w:p w14:paraId="6F34A03E"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vrlo važan.</w:t>
            </w:r>
          </w:p>
          <w:p w14:paraId="50F46601"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vrlo važnim.</w:t>
            </w:r>
          </w:p>
          <w:p w14:paraId="4AFA1B64"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lastRenderedPageBreak/>
              <w:t>Najčešća ocjena 5 također sugerira visoku važnost.</w:t>
            </w:r>
          </w:p>
          <w:p w14:paraId="77F99BCC"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(0,516) ukazuje na relativnu suglasnost među ispitanicima.</w:t>
            </w:r>
          </w:p>
        </w:tc>
      </w:tr>
      <w:tr w:rsidR="006571B5" w:rsidRPr="00AD0906" w14:paraId="19DD9133" w14:textId="77777777" w:rsidTr="00A81B58">
        <w:trPr>
          <w:trHeight w:val="445"/>
        </w:trPr>
        <w:tc>
          <w:tcPr>
            <w:tcW w:w="762" w:type="pct"/>
            <w:noWrap/>
            <w:vAlign w:val="center"/>
          </w:tcPr>
          <w:p w14:paraId="117B4661" w14:textId="77777777" w:rsidR="006571B5" w:rsidRPr="00AD0906" w:rsidRDefault="006571B5" w:rsidP="00A81B58">
            <w:pPr>
              <w:spacing w:line="259" w:lineRule="auto"/>
              <w:jc w:val="center"/>
              <w:rPr>
                <w:rFonts w:ascii="Times New Roman" w:hAnsi="Times New Roman" w:cs="Times New Roman"/>
              </w:rPr>
            </w:pPr>
            <w:r w:rsidRPr="00AD0906">
              <w:rPr>
                <w:rFonts w:ascii="Times New Roman" w:hAnsi="Times New Roman" w:cs="Times New Roman"/>
              </w:rPr>
              <w:lastRenderedPageBreak/>
              <w:t xml:space="preserve">Novčani tijek iz operacija (prodaja umanjena za troškove prodanih dobara i usluga, administrativne troškove uvećano za depricijaciju i </w:t>
            </w:r>
            <w:r w:rsidRPr="00AD0906">
              <w:rPr>
                <w:rFonts w:ascii="Times New Roman" w:hAnsi="Times New Roman" w:cs="Times New Roman"/>
                <w:i/>
              </w:rPr>
              <w:t>goodwill</w:t>
            </w:r>
            <w:r w:rsidRPr="00AD0906">
              <w:rPr>
                <w:rFonts w:ascii="Times New Roman" w:hAnsi="Times New Roman" w:cs="Times New Roman"/>
              </w:rPr>
              <w:t>)</w:t>
            </w:r>
          </w:p>
        </w:tc>
        <w:tc>
          <w:tcPr>
            <w:tcW w:w="841" w:type="pct"/>
            <w:noWrap/>
            <w:vAlign w:val="center"/>
          </w:tcPr>
          <w:p w14:paraId="4147C3F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4,667</w:t>
            </w:r>
          </w:p>
        </w:tc>
        <w:tc>
          <w:tcPr>
            <w:tcW w:w="612" w:type="pct"/>
            <w:noWrap/>
            <w:vAlign w:val="center"/>
          </w:tcPr>
          <w:p w14:paraId="7935B491"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382" w:type="pct"/>
            <w:noWrap/>
            <w:vAlign w:val="center"/>
          </w:tcPr>
          <w:p w14:paraId="1C5D16B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1223" w:type="pct"/>
            <w:noWrap/>
            <w:vAlign w:val="center"/>
          </w:tcPr>
          <w:p w14:paraId="3A3D1DA8"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0,516</w:t>
            </w:r>
          </w:p>
        </w:tc>
        <w:tc>
          <w:tcPr>
            <w:tcW w:w="1180" w:type="pct"/>
            <w:vAlign w:val="center"/>
          </w:tcPr>
          <w:p w14:paraId="55A79231"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vrlo važan.</w:t>
            </w:r>
          </w:p>
          <w:p w14:paraId="18A04BAD"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vrlo važnim.</w:t>
            </w:r>
          </w:p>
          <w:p w14:paraId="5883F893"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5 također sugerira visoku važnost.</w:t>
            </w:r>
          </w:p>
          <w:p w14:paraId="59E3F93D"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(0,516) ukazuje na relativnu suglasnost među ispitanicima.</w:t>
            </w:r>
          </w:p>
        </w:tc>
      </w:tr>
      <w:tr w:rsidR="006571B5" w:rsidRPr="00AD0906" w14:paraId="2A7B530E" w14:textId="77777777" w:rsidTr="00A81B58">
        <w:trPr>
          <w:trHeight w:val="445"/>
        </w:trPr>
        <w:tc>
          <w:tcPr>
            <w:tcW w:w="762" w:type="pct"/>
            <w:noWrap/>
            <w:vAlign w:val="center"/>
          </w:tcPr>
          <w:p w14:paraId="6418048D"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Računovodstveni pokazatelji (ROI, ROE, ROA)</w:t>
            </w:r>
          </w:p>
        </w:tc>
        <w:tc>
          <w:tcPr>
            <w:tcW w:w="841" w:type="pct"/>
            <w:noWrap/>
            <w:vAlign w:val="center"/>
          </w:tcPr>
          <w:p w14:paraId="087389D1"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4,667</w:t>
            </w:r>
          </w:p>
        </w:tc>
        <w:tc>
          <w:tcPr>
            <w:tcW w:w="612" w:type="pct"/>
            <w:noWrap/>
            <w:vAlign w:val="center"/>
          </w:tcPr>
          <w:p w14:paraId="537ABC5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382" w:type="pct"/>
            <w:noWrap/>
            <w:vAlign w:val="center"/>
          </w:tcPr>
          <w:p w14:paraId="26973B68"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1223" w:type="pct"/>
            <w:noWrap/>
            <w:vAlign w:val="center"/>
          </w:tcPr>
          <w:p w14:paraId="12CEBF4E"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0,516</w:t>
            </w:r>
          </w:p>
        </w:tc>
        <w:tc>
          <w:tcPr>
            <w:tcW w:w="1180" w:type="pct"/>
            <w:vAlign w:val="center"/>
          </w:tcPr>
          <w:p w14:paraId="208DC17E"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vrlo važan.</w:t>
            </w:r>
          </w:p>
          <w:p w14:paraId="7944D46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vrlo važnim.</w:t>
            </w:r>
          </w:p>
          <w:p w14:paraId="6095D7F3"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5 također sugerira visoku važnost čimbenika.</w:t>
            </w:r>
          </w:p>
          <w:p w14:paraId="6F8A5F6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(0,516) ukazuje na relativnu suglasnost među ispitanicima.</w:t>
            </w:r>
          </w:p>
        </w:tc>
      </w:tr>
      <w:tr w:rsidR="006571B5" w:rsidRPr="00AD0906" w14:paraId="0AB68B11" w14:textId="77777777" w:rsidTr="00A81B58">
        <w:trPr>
          <w:trHeight w:val="445"/>
        </w:trPr>
        <w:tc>
          <w:tcPr>
            <w:tcW w:w="762" w:type="pct"/>
            <w:noWrap/>
            <w:vAlign w:val="center"/>
          </w:tcPr>
          <w:p w14:paraId="582E0924" w14:textId="77777777" w:rsidR="006571B5" w:rsidRPr="00AD0906" w:rsidRDefault="006571B5" w:rsidP="00A81B58">
            <w:pPr>
              <w:spacing w:line="259" w:lineRule="auto"/>
              <w:jc w:val="center"/>
              <w:rPr>
                <w:rFonts w:ascii="Times New Roman" w:hAnsi="Times New Roman" w:cs="Times New Roman"/>
              </w:rPr>
            </w:pPr>
            <w:r w:rsidRPr="00AD0906">
              <w:rPr>
                <w:rFonts w:ascii="Times New Roman" w:hAnsi="Times New Roman" w:cs="Times New Roman"/>
              </w:rPr>
              <w:t>Uobičajeni hotelski pokazatelji uspješnosti (ADR, stopa popunjenosti, REVPAR, TREVPAR)</w:t>
            </w:r>
          </w:p>
        </w:tc>
        <w:tc>
          <w:tcPr>
            <w:tcW w:w="841" w:type="pct"/>
            <w:noWrap/>
            <w:vAlign w:val="center"/>
          </w:tcPr>
          <w:p w14:paraId="792187BC"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4,667</w:t>
            </w:r>
          </w:p>
        </w:tc>
        <w:tc>
          <w:tcPr>
            <w:tcW w:w="612" w:type="pct"/>
            <w:noWrap/>
            <w:vAlign w:val="center"/>
          </w:tcPr>
          <w:p w14:paraId="16613973"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382" w:type="pct"/>
            <w:noWrap/>
            <w:vAlign w:val="center"/>
          </w:tcPr>
          <w:p w14:paraId="2AE5B7E3"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5</w:t>
            </w:r>
          </w:p>
        </w:tc>
        <w:tc>
          <w:tcPr>
            <w:tcW w:w="1223" w:type="pct"/>
            <w:noWrap/>
            <w:vAlign w:val="center"/>
          </w:tcPr>
          <w:p w14:paraId="49CC416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0,516</w:t>
            </w:r>
          </w:p>
        </w:tc>
        <w:tc>
          <w:tcPr>
            <w:tcW w:w="1180" w:type="pct"/>
            <w:vAlign w:val="center"/>
          </w:tcPr>
          <w:p w14:paraId="3BF5E043"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vrlo važan.</w:t>
            </w:r>
          </w:p>
          <w:p w14:paraId="62A94DFE"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vrlo važnim.</w:t>
            </w:r>
          </w:p>
          <w:p w14:paraId="1421F972"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lastRenderedPageBreak/>
              <w:t>Najčešća ocjena 5 također sugerira visoku važnost čimbenika.</w:t>
            </w:r>
          </w:p>
          <w:p w14:paraId="766B3AA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(0,516) ukazuje na relativnu suglasnost među ispitanicima.</w:t>
            </w:r>
          </w:p>
        </w:tc>
      </w:tr>
      <w:tr w:rsidR="006571B5" w:rsidRPr="00AD0906" w14:paraId="49E0D523" w14:textId="77777777" w:rsidTr="00A81B58">
        <w:trPr>
          <w:trHeight w:val="445"/>
        </w:trPr>
        <w:tc>
          <w:tcPr>
            <w:tcW w:w="762" w:type="pct"/>
            <w:noWrap/>
            <w:vAlign w:val="center"/>
          </w:tcPr>
          <w:p w14:paraId="1801AFAB"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en-US"/>
              </w:rPr>
              <w:lastRenderedPageBreak/>
              <w:t>Tržišni udio (gubitak/dobitak)</w:t>
            </w:r>
          </w:p>
        </w:tc>
        <w:tc>
          <w:tcPr>
            <w:tcW w:w="841" w:type="pct"/>
            <w:noWrap/>
            <w:vAlign w:val="center"/>
          </w:tcPr>
          <w:p w14:paraId="13BCF835"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4,333</w:t>
            </w:r>
          </w:p>
        </w:tc>
        <w:tc>
          <w:tcPr>
            <w:tcW w:w="612" w:type="pct"/>
            <w:noWrap/>
            <w:vAlign w:val="center"/>
          </w:tcPr>
          <w:p w14:paraId="538ACEDD"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382" w:type="pct"/>
            <w:noWrap/>
            <w:vAlign w:val="center"/>
          </w:tcPr>
          <w:p w14:paraId="0F2EC45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1223" w:type="pct"/>
            <w:noWrap/>
            <w:vAlign w:val="center"/>
          </w:tcPr>
          <w:p w14:paraId="102DE43E"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0,516</w:t>
            </w:r>
          </w:p>
        </w:tc>
        <w:tc>
          <w:tcPr>
            <w:tcW w:w="1180" w:type="pct"/>
            <w:vAlign w:val="center"/>
          </w:tcPr>
          <w:p w14:paraId="4B99D452"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važan.</w:t>
            </w:r>
          </w:p>
          <w:p w14:paraId="677337A9"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važnim.</w:t>
            </w:r>
          </w:p>
          <w:p w14:paraId="4A2B417C"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4 također potvrđuje važnost ovog čimbenika čimbenika</w:t>
            </w:r>
          </w:p>
          <w:p w14:paraId="787C0BE2"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(0,516) ukazuje na relativnu suglasnost među ispitanicima.</w:t>
            </w:r>
          </w:p>
        </w:tc>
      </w:tr>
      <w:tr w:rsidR="006571B5" w:rsidRPr="00AD0906" w14:paraId="5B19CD1C" w14:textId="77777777" w:rsidTr="00A81B58">
        <w:trPr>
          <w:trHeight w:val="445"/>
        </w:trPr>
        <w:tc>
          <w:tcPr>
            <w:tcW w:w="762" w:type="pct"/>
            <w:noWrap/>
            <w:vAlign w:val="center"/>
            <w:hideMark/>
          </w:tcPr>
          <w:p w14:paraId="515D7941" w14:textId="6E62C664"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Slobodni novčani tijek po dionici</w:t>
            </w:r>
          </w:p>
        </w:tc>
        <w:tc>
          <w:tcPr>
            <w:tcW w:w="841" w:type="pct"/>
            <w:noWrap/>
            <w:vAlign w:val="center"/>
            <w:hideMark/>
          </w:tcPr>
          <w:p w14:paraId="0A018EC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4,000</w:t>
            </w:r>
          </w:p>
        </w:tc>
        <w:tc>
          <w:tcPr>
            <w:tcW w:w="612" w:type="pct"/>
            <w:noWrap/>
            <w:vAlign w:val="center"/>
            <w:hideMark/>
          </w:tcPr>
          <w:p w14:paraId="78CF2BCD"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382" w:type="pct"/>
            <w:noWrap/>
            <w:vAlign w:val="center"/>
            <w:hideMark/>
          </w:tcPr>
          <w:p w14:paraId="3ED04A9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1223" w:type="pct"/>
            <w:noWrap/>
            <w:vAlign w:val="center"/>
            <w:hideMark/>
          </w:tcPr>
          <w:p w14:paraId="57C9502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1,095</w:t>
            </w:r>
          </w:p>
        </w:tc>
        <w:tc>
          <w:tcPr>
            <w:tcW w:w="1180" w:type="pct"/>
            <w:vAlign w:val="center"/>
          </w:tcPr>
          <w:p w14:paraId="6114B9D7"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važan.</w:t>
            </w:r>
          </w:p>
          <w:p w14:paraId="732A467E"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važnim.</w:t>
            </w:r>
          </w:p>
          <w:p w14:paraId="37DF445D"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4 također potvrđuje važnost ovog čimbenika.</w:t>
            </w:r>
          </w:p>
          <w:p w14:paraId="0B4E6F8B"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Viša standardna devijacija (1,095) ukazuje na veću varijabilnost u odgovorima ispitanika.</w:t>
            </w:r>
          </w:p>
        </w:tc>
      </w:tr>
      <w:tr w:rsidR="006571B5" w:rsidRPr="00AD0906" w14:paraId="7236342F" w14:textId="77777777" w:rsidTr="00A81B58">
        <w:trPr>
          <w:trHeight w:val="445"/>
        </w:trPr>
        <w:tc>
          <w:tcPr>
            <w:tcW w:w="762" w:type="pct"/>
            <w:noWrap/>
            <w:vAlign w:val="center"/>
          </w:tcPr>
          <w:p w14:paraId="07DE8C0F"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en-US"/>
              </w:rPr>
              <w:t>Promjena kretanja cijene dionica</w:t>
            </w:r>
          </w:p>
        </w:tc>
        <w:tc>
          <w:tcPr>
            <w:tcW w:w="841" w:type="pct"/>
            <w:noWrap/>
            <w:vAlign w:val="center"/>
          </w:tcPr>
          <w:p w14:paraId="7FAFC99A"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3,833</w:t>
            </w:r>
          </w:p>
        </w:tc>
        <w:tc>
          <w:tcPr>
            <w:tcW w:w="612" w:type="pct"/>
            <w:noWrap/>
            <w:vAlign w:val="center"/>
          </w:tcPr>
          <w:p w14:paraId="15D614F4"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3,5</w:t>
            </w:r>
          </w:p>
        </w:tc>
        <w:tc>
          <w:tcPr>
            <w:tcW w:w="382" w:type="pct"/>
            <w:noWrap/>
            <w:vAlign w:val="center"/>
          </w:tcPr>
          <w:p w14:paraId="50EE9FCB"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3</w:t>
            </w:r>
          </w:p>
        </w:tc>
        <w:tc>
          <w:tcPr>
            <w:tcW w:w="1223" w:type="pct"/>
            <w:noWrap/>
            <w:vAlign w:val="center"/>
          </w:tcPr>
          <w:p w14:paraId="6D750FB3"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0,983</w:t>
            </w:r>
          </w:p>
        </w:tc>
        <w:tc>
          <w:tcPr>
            <w:tcW w:w="1180" w:type="pct"/>
            <w:vAlign w:val="center"/>
          </w:tcPr>
          <w:p w14:paraId="3EE847E1"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umjereno važan.</w:t>
            </w:r>
          </w:p>
          <w:p w14:paraId="701A5455"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 xml:space="preserve">Medijan pokazuje da većina ispitanika </w:t>
            </w:r>
            <w:r w:rsidRPr="00AD0906">
              <w:rPr>
                <w:rFonts w:ascii="Times New Roman" w:hAnsi="Times New Roman" w:cs="Times New Roman"/>
                <w:lang w:val="it-IT"/>
              </w:rPr>
              <w:lastRenderedPageBreak/>
              <w:t>smatra ovaj čimbenik umjereno važnim.</w:t>
            </w:r>
          </w:p>
          <w:p w14:paraId="3D2239A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3 sugerira da dio ispitanika smatra ovaj čimbenik manje važnim.</w:t>
            </w:r>
          </w:p>
          <w:p w14:paraId="650B011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Standardna devijacija (0,983) ukazuje na nešto veću varijabilnost u odgovorima ispitanika.</w:t>
            </w:r>
          </w:p>
        </w:tc>
      </w:tr>
      <w:tr w:rsidR="006571B5" w:rsidRPr="00AD0906" w14:paraId="7D5EFEAE" w14:textId="77777777" w:rsidTr="00A81B58">
        <w:trPr>
          <w:trHeight w:val="445"/>
        </w:trPr>
        <w:tc>
          <w:tcPr>
            <w:tcW w:w="762" w:type="pct"/>
            <w:noWrap/>
            <w:vAlign w:val="center"/>
          </w:tcPr>
          <w:p w14:paraId="247CE4F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lastRenderedPageBreak/>
              <w:t>Prihvaćanje nove/izmijenjene organizacijske kulture</w:t>
            </w:r>
          </w:p>
        </w:tc>
        <w:tc>
          <w:tcPr>
            <w:tcW w:w="841" w:type="pct"/>
            <w:noWrap/>
            <w:vAlign w:val="center"/>
          </w:tcPr>
          <w:p w14:paraId="66679A62"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3,833</w:t>
            </w:r>
          </w:p>
        </w:tc>
        <w:tc>
          <w:tcPr>
            <w:tcW w:w="612" w:type="pct"/>
            <w:noWrap/>
            <w:vAlign w:val="center"/>
          </w:tcPr>
          <w:p w14:paraId="2F9AA195"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382" w:type="pct"/>
            <w:noWrap/>
            <w:vAlign w:val="center"/>
          </w:tcPr>
          <w:p w14:paraId="5A358DE5"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1223" w:type="pct"/>
            <w:noWrap/>
            <w:vAlign w:val="center"/>
          </w:tcPr>
          <w:p w14:paraId="53916FF1"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0,408</w:t>
            </w:r>
          </w:p>
        </w:tc>
        <w:tc>
          <w:tcPr>
            <w:tcW w:w="1180" w:type="pct"/>
            <w:vAlign w:val="center"/>
          </w:tcPr>
          <w:p w14:paraId="0D806405"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umjereno važan.</w:t>
            </w:r>
          </w:p>
          <w:p w14:paraId="1189C3C6"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umjereno važnim.</w:t>
            </w:r>
          </w:p>
          <w:p w14:paraId="6D283FFE"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4 potvrđuje važnost ovog čimbenika kod većine ispitanika.</w:t>
            </w:r>
          </w:p>
          <w:p w14:paraId="3C2BF4E6"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(0,408) ukazuje na visoku razinu suglasnosti među ispitanicima.</w:t>
            </w:r>
          </w:p>
        </w:tc>
      </w:tr>
      <w:tr w:rsidR="006571B5" w:rsidRPr="00AD0906" w14:paraId="0015B8A0" w14:textId="77777777" w:rsidTr="00A81B58">
        <w:trPr>
          <w:trHeight w:val="445"/>
        </w:trPr>
        <w:tc>
          <w:tcPr>
            <w:tcW w:w="762" w:type="pct"/>
            <w:noWrap/>
            <w:vAlign w:val="center"/>
          </w:tcPr>
          <w:p w14:paraId="405D6554" w14:textId="5E61CE22"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Prihvaćanje nove organizacijske strukture</w:t>
            </w:r>
          </w:p>
        </w:tc>
        <w:tc>
          <w:tcPr>
            <w:tcW w:w="841" w:type="pct"/>
            <w:noWrap/>
            <w:vAlign w:val="center"/>
          </w:tcPr>
          <w:p w14:paraId="5A0514C4"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3,833</w:t>
            </w:r>
          </w:p>
        </w:tc>
        <w:tc>
          <w:tcPr>
            <w:tcW w:w="612" w:type="pct"/>
            <w:noWrap/>
            <w:vAlign w:val="center"/>
          </w:tcPr>
          <w:p w14:paraId="0FFA8776"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382" w:type="pct"/>
            <w:noWrap/>
            <w:vAlign w:val="center"/>
          </w:tcPr>
          <w:p w14:paraId="192B6EB2"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4</w:t>
            </w:r>
          </w:p>
        </w:tc>
        <w:tc>
          <w:tcPr>
            <w:tcW w:w="1223" w:type="pct"/>
            <w:noWrap/>
            <w:vAlign w:val="center"/>
          </w:tcPr>
          <w:p w14:paraId="3242585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0,408</w:t>
            </w:r>
          </w:p>
        </w:tc>
        <w:tc>
          <w:tcPr>
            <w:tcW w:w="1180" w:type="pct"/>
            <w:vAlign w:val="center"/>
          </w:tcPr>
          <w:p w14:paraId="3642D100" w14:textId="77777777" w:rsidR="006571B5" w:rsidRPr="00AD0906" w:rsidRDefault="006571B5" w:rsidP="00A81B58">
            <w:pPr>
              <w:spacing w:line="259" w:lineRule="auto"/>
              <w:jc w:val="center"/>
              <w:rPr>
                <w:rFonts w:ascii="Times New Roman" w:hAnsi="Times New Roman" w:cs="Times New Roman"/>
                <w:lang w:val="en-US"/>
              </w:rPr>
            </w:pPr>
            <w:r w:rsidRPr="00AD0906">
              <w:rPr>
                <w:rFonts w:ascii="Times New Roman" w:hAnsi="Times New Roman" w:cs="Times New Roman"/>
                <w:lang w:val="en-US"/>
              </w:rPr>
              <w:t>Ispitanici ovaj čimbenik ocjenjuju kao umjereno važan.</w:t>
            </w:r>
          </w:p>
          <w:p w14:paraId="3C58C1F8"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Medijan pokazuje da većina ispitanika smatra ovaj čimbenik umjereno važnim.</w:t>
            </w:r>
          </w:p>
          <w:p w14:paraId="3416202F"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Najčešća ocjena 4 potvrđuje važnost ovog čimbenika kod većine ispitanika.</w:t>
            </w:r>
          </w:p>
          <w:p w14:paraId="4FDD83CA" w14:textId="77777777" w:rsidR="006571B5" w:rsidRPr="00AD0906" w:rsidRDefault="006571B5" w:rsidP="00A81B58">
            <w:pPr>
              <w:spacing w:line="259" w:lineRule="auto"/>
              <w:jc w:val="center"/>
              <w:rPr>
                <w:rFonts w:ascii="Times New Roman" w:hAnsi="Times New Roman" w:cs="Times New Roman"/>
                <w:lang w:val="it-IT"/>
              </w:rPr>
            </w:pPr>
            <w:r w:rsidRPr="00AD0906">
              <w:rPr>
                <w:rFonts w:ascii="Times New Roman" w:hAnsi="Times New Roman" w:cs="Times New Roman"/>
                <w:lang w:val="it-IT"/>
              </w:rPr>
              <w:t>Niska standardna devijacija (0,408) ukazuje na visoku razinu suglasnosti među ispitanicima.</w:t>
            </w:r>
          </w:p>
        </w:tc>
      </w:tr>
    </w:tbl>
    <w:p w14:paraId="5C58763D" w14:textId="77777777" w:rsidR="006571B5" w:rsidRPr="00AD0906" w:rsidRDefault="006571B5" w:rsidP="006571B5">
      <w:pPr>
        <w:rPr>
          <w:rFonts w:ascii="Times New Roman" w:hAnsi="Times New Roman" w:cs="Times New Roman"/>
          <w:lang w:val="it-IT"/>
        </w:rPr>
      </w:pPr>
    </w:p>
    <w:p w14:paraId="00251682" w14:textId="6BC7543B" w:rsidR="006571B5" w:rsidRPr="00A81B58" w:rsidRDefault="006571B5" w:rsidP="006571B5">
      <w:pPr>
        <w:rPr>
          <w:rFonts w:ascii="Times New Roman" w:hAnsi="Times New Roman" w:cs="Times New Roman"/>
          <w:lang w:val="it-IT"/>
        </w:rPr>
      </w:pPr>
      <w:r w:rsidRPr="00253D60">
        <w:rPr>
          <w:rFonts w:ascii="Times New Roman" w:hAnsi="Times New Roman" w:cs="Times New Roman"/>
          <w:b/>
          <w:bCs/>
          <w:lang w:val="it-IT"/>
        </w:rPr>
        <w:lastRenderedPageBreak/>
        <w:t>Prilog 7</w:t>
      </w:r>
    </w:p>
    <w:p w14:paraId="29DD28E2" w14:textId="77777777" w:rsidR="006571B5" w:rsidRPr="00A81B58" w:rsidRDefault="006571B5" w:rsidP="006571B5">
      <w:pPr>
        <w:rPr>
          <w:rFonts w:ascii="Times New Roman" w:hAnsi="Times New Roman" w:cs="Times New Roman"/>
          <w:lang w:val="it-IT"/>
        </w:rPr>
      </w:pPr>
      <w:r w:rsidRPr="00A81B58">
        <w:rPr>
          <w:rFonts w:ascii="Times New Roman" w:hAnsi="Times New Roman" w:cs="Times New Roman"/>
          <w:lang w:val="it-IT"/>
        </w:rPr>
        <w:t>Tablica 9: Rezultati drugog ciklusa Delphi postupka – motivi pokretanja procesa spajanja i preuzimanja</w:t>
      </w:r>
    </w:p>
    <w:tbl>
      <w:tblPr>
        <w:tblW w:w="0" w:type="auto"/>
        <w:tblInd w:w="-5" w:type="dxa"/>
        <w:tblLook w:val="0000" w:firstRow="0" w:lastRow="0" w:firstColumn="0" w:lastColumn="0" w:noHBand="0" w:noVBand="0"/>
      </w:tblPr>
      <w:tblGrid>
        <w:gridCol w:w="718"/>
        <w:gridCol w:w="1961"/>
        <w:gridCol w:w="1382"/>
        <w:gridCol w:w="1011"/>
        <w:gridCol w:w="656"/>
        <w:gridCol w:w="1367"/>
        <w:gridCol w:w="2260"/>
      </w:tblGrid>
      <w:tr w:rsidR="006571B5" w:rsidRPr="00A81B58" w14:paraId="19C4817D" w14:textId="77777777" w:rsidTr="00A81B58">
        <w:trPr>
          <w:trHeight w:val="125"/>
        </w:trPr>
        <w:tc>
          <w:tcPr>
            <w:tcW w:w="0" w:type="auto"/>
            <w:tcBorders>
              <w:top w:val="single" w:sz="4" w:space="0" w:color="000000"/>
              <w:left w:val="single" w:sz="4" w:space="0" w:color="000000"/>
              <w:bottom w:val="single" w:sz="4" w:space="0" w:color="000000"/>
            </w:tcBorders>
            <w:shd w:val="clear" w:color="auto" w:fill="FFFFFF"/>
            <w:vAlign w:val="center"/>
          </w:tcPr>
          <w:p w14:paraId="24762DA9" w14:textId="6A877E41"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R</w:t>
            </w:r>
            <w:r w:rsidR="002E5B41">
              <w:rPr>
                <w:rFonts w:ascii="Times New Roman" w:hAnsi="Times New Roman" w:cs="Times New Roman"/>
                <w:b/>
              </w:rPr>
              <w:t>ang</w:t>
            </w:r>
          </w:p>
        </w:tc>
        <w:tc>
          <w:tcPr>
            <w:tcW w:w="0" w:type="auto"/>
            <w:tcBorders>
              <w:top w:val="single" w:sz="4" w:space="0" w:color="000000"/>
              <w:left w:val="single" w:sz="4" w:space="0" w:color="000000"/>
              <w:bottom w:val="single" w:sz="4" w:space="0" w:color="000000"/>
            </w:tcBorders>
            <w:shd w:val="clear" w:color="auto" w:fill="FFFFFF"/>
            <w:vAlign w:val="center"/>
          </w:tcPr>
          <w:p w14:paraId="64C2802A" w14:textId="0EE1987B"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M</w:t>
            </w:r>
            <w:r w:rsidR="002E5B41">
              <w:rPr>
                <w:rFonts w:ascii="Times New Roman" w:hAnsi="Times New Roman" w:cs="Times New Roman"/>
                <w:b/>
              </w:rPr>
              <w:t>otivi</w:t>
            </w:r>
            <w:r w:rsidRPr="00A81B58">
              <w:rPr>
                <w:rFonts w:ascii="Times New Roman" w:hAnsi="Times New Roman" w:cs="Times New Roman"/>
                <w:b/>
              </w:rPr>
              <w:t xml:space="preserve"> za pokretanje procesa spajanja i preuzimanja</w:t>
            </w:r>
          </w:p>
        </w:tc>
        <w:tc>
          <w:tcPr>
            <w:tcW w:w="0" w:type="auto"/>
            <w:tcBorders>
              <w:top w:val="single" w:sz="4" w:space="0" w:color="000000"/>
              <w:left w:val="single" w:sz="4" w:space="0" w:color="000000"/>
              <w:bottom w:val="single" w:sz="4" w:space="0" w:color="000000"/>
            </w:tcBorders>
            <w:shd w:val="clear" w:color="auto" w:fill="FFFFFF"/>
            <w:vAlign w:val="center"/>
          </w:tcPr>
          <w:p w14:paraId="14BBA7F2" w14:textId="77777777"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Aritmetička sredina</w:t>
            </w:r>
          </w:p>
        </w:tc>
        <w:tc>
          <w:tcPr>
            <w:tcW w:w="0" w:type="auto"/>
            <w:tcBorders>
              <w:top w:val="single" w:sz="4" w:space="0" w:color="000000"/>
              <w:left w:val="single" w:sz="4" w:space="0" w:color="000000"/>
              <w:bottom w:val="single" w:sz="4" w:space="0" w:color="000000"/>
            </w:tcBorders>
            <w:shd w:val="clear" w:color="auto" w:fill="FFFFFF"/>
            <w:vAlign w:val="center"/>
          </w:tcPr>
          <w:p w14:paraId="7E26BCD6" w14:textId="77777777"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Medijan</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2F275A59" w14:textId="77777777"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Mod</w:t>
            </w:r>
          </w:p>
        </w:tc>
        <w:tc>
          <w:tcPr>
            <w:tcW w:w="0" w:type="auto"/>
            <w:tcBorders>
              <w:top w:val="single" w:sz="4" w:space="0" w:color="auto"/>
              <w:left w:val="single" w:sz="4" w:space="0" w:color="auto"/>
              <w:bottom w:val="single" w:sz="4" w:space="0" w:color="auto"/>
              <w:right w:val="single" w:sz="4" w:space="0" w:color="auto"/>
            </w:tcBorders>
            <w:vAlign w:val="center"/>
          </w:tcPr>
          <w:p w14:paraId="13C1E4DF" w14:textId="77777777"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Standardna devijacija</w:t>
            </w:r>
          </w:p>
        </w:tc>
        <w:tc>
          <w:tcPr>
            <w:tcW w:w="0" w:type="auto"/>
            <w:tcBorders>
              <w:top w:val="single" w:sz="4" w:space="0" w:color="auto"/>
              <w:left w:val="single" w:sz="4" w:space="0" w:color="auto"/>
              <w:bottom w:val="single" w:sz="4" w:space="0" w:color="auto"/>
              <w:right w:val="single" w:sz="4" w:space="0" w:color="auto"/>
            </w:tcBorders>
            <w:vAlign w:val="center"/>
          </w:tcPr>
          <w:p w14:paraId="1075FF01" w14:textId="6CD32418" w:rsidR="006571B5" w:rsidRPr="00A81B58" w:rsidRDefault="006571B5" w:rsidP="00A81B58">
            <w:pPr>
              <w:jc w:val="center"/>
              <w:rPr>
                <w:rFonts w:ascii="Times New Roman" w:hAnsi="Times New Roman" w:cs="Times New Roman"/>
                <w:b/>
              </w:rPr>
            </w:pPr>
            <w:r w:rsidRPr="00A81B58">
              <w:rPr>
                <w:rFonts w:ascii="Times New Roman" w:hAnsi="Times New Roman" w:cs="Times New Roman"/>
                <w:b/>
              </w:rPr>
              <w:t>I</w:t>
            </w:r>
            <w:r w:rsidR="002E5B41">
              <w:rPr>
                <w:rFonts w:ascii="Times New Roman" w:hAnsi="Times New Roman" w:cs="Times New Roman"/>
                <w:b/>
              </w:rPr>
              <w:t>nterpretacija</w:t>
            </w:r>
          </w:p>
        </w:tc>
      </w:tr>
      <w:tr w:rsidR="006571B5" w:rsidRPr="00A81B58" w14:paraId="3E89942F"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22A84DC3"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1</w:t>
            </w:r>
          </w:p>
        </w:tc>
        <w:tc>
          <w:tcPr>
            <w:tcW w:w="0" w:type="auto"/>
            <w:tcBorders>
              <w:top w:val="single" w:sz="4" w:space="0" w:color="000000"/>
              <w:left w:val="single" w:sz="4" w:space="0" w:color="000000"/>
              <w:bottom w:val="single" w:sz="4" w:space="0" w:color="000000"/>
            </w:tcBorders>
            <w:vAlign w:val="center"/>
          </w:tcPr>
          <w:p w14:paraId="2DBBF1E8"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Povećanje tržišnog udjela poduzeća preuzimatelja</w:t>
            </w:r>
          </w:p>
        </w:tc>
        <w:tc>
          <w:tcPr>
            <w:tcW w:w="0" w:type="auto"/>
            <w:tcBorders>
              <w:top w:val="single" w:sz="4" w:space="0" w:color="000000"/>
              <w:left w:val="single" w:sz="4" w:space="0" w:color="000000"/>
              <w:bottom w:val="single" w:sz="4" w:space="0" w:color="000000"/>
            </w:tcBorders>
            <w:shd w:val="clear" w:color="auto" w:fill="FFFFFF"/>
            <w:vAlign w:val="center"/>
          </w:tcPr>
          <w:p w14:paraId="1E3C1060"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4,500</w:t>
            </w:r>
          </w:p>
        </w:tc>
        <w:tc>
          <w:tcPr>
            <w:tcW w:w="0" w:type="auto"/>
            <w:tcBorders>
              <w:top w:val="single" w:sz="4" w:space="0" w:color="000000"/>
              <w:left w:val="single" w:sz="4" w:space="0" w:color="000000"/>
              <w:bottom w:val="single" w:sz="4" w:space="0" w:color="000000"/>
            </w:tcBorders>
            <w:shd w:val="clear" w:color="auto" w:fill="FFFFFF"/>
            <w:vAlign w:val="center"/>
          </w:tcPr>
          <w:p w14:paraId="014CE41B"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7DD7A03E"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542B72D1"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0,500</w:t>
            </w:r>
          </w:p>
        </w:tc>
        <w:tc>
          <w:tcPr>
            <w:tcW w:w="0" w:type="auto"/>
            <w:tcBorders>
              <w:top w:val="single" w:sz="4" w:space="0" w:color="auto"/>
              <w:left w:val="single" w:sz="4" w:space="0" w:color="auto"/>
              <w:bottom w:val="single" w:sz="4" w:space="0" w:color="auto"/>
              <w:right w:val="single" w:sz="4" w:space="0" w:color="auto"/>
            </w:tcBorders>
            <w:vAlign w:val="center"/>
          </w:tcPr>
          <w:p w14:paraId="21E0B0E4" w14:textId="39894110"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Ovaj motiv je vrlo visoko ocijenjen među ispitanicima, s prosječnom ocjenom od 4,5 i niskom standardnom devijacijom od 0,5, što znači da su ispitanici gotovo jednoglasni u procjeni važnosti ovog čimbenika.</w:t>
            </w:r>
          </w:p>
          <w:p w14:paraId="43EEE30F"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Medijan od 4,5 potvrđuje da su odgovori ravnomjerno raspoređeni oko te vrijednosti.</w:t>
            </w:r>
          </w:p>
        </w:tc>
      </w:tr>
      <w:tr w:rsidR="006571B5" w:rsidRPr="00A81B58" w14:paraId="09324E08"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3F06B1D5"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2</w:t>
            </w:r>
          </w:p>
        </w:tc>
        <w:tc>
          <w:tcPr>
            <w:tcW w:w="0" w:type="auto"/>
            <w:tcBorders>
              <w:top w:val="single" w:sz="4" w:space="0" w:color="000000"/>
              <w:left w:val="single" w:sz="4" w:space="0" w:color="000000"/>
              <w:bottom w:val="single" w:sz="4" w:space="0" w:color="000000"/>
            </w:tcBorders>
            <w:vAlign w:val="center"/>
          </w:tcPr>
          <w:p w14:paraId="7EE0FB49"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Povećanje kapaciteta poduzeća preuzimatelja (uz manje kapitalne i operativne troškove, nego li što bi to bilo u slučaju izgradnje novih vlastitih objekata)</w:t>
            </w:r>
          </w:p>
        </w:tc>
        <w:tc>
          <w:tcPr>
            <w:tcW w:w="0" w:type="auto"/>
            <w:tcBorders>
              <w:top w:val="single" w:sz="4" w:space="0" w:color="000000"/>
              <w:left w:val="single" w:sz="4" w:space="0" w:color="000000"/>
              <w:bottom w:val="single" w:sz="4" w:space="0" w:color="000000"/>
            </w:tcBorders>
            <w:shd w:val="clear" w:color="auto" w:fill="FFFFFF"/>
            <w:vAlign w:val="center"/>
          </w:tcPr>
          <w:p w14:paraId="18152798"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4,333</w:t>
            </w:r>
          </w:p>
        </w:tc>
        <w:tc>
          <w:tcPr>
            <w:tcW w:w="0" w:type="auto"/>
            <w:tcBorders>
              <w:top w:val="single" w:sz="4" w:space="0" w:color="000000"/>
              <w:left w:val="single" w:sz="4" w:space="0" w:color="000000"/>
              <w:bottom w:val="single" w:sz="4" w:space="0" w:color="000000"/>
            </w:tcBorders>
            <w:shd w:val="clear" w:color="auto" w:fill="FFFFFF"/>
            <w:vAlign w:val="center"/>
          </w:tcPr>
          <w:p w14:paraId="7E9CA04C"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59BE78A5"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7B2747A7"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0,471</w:t>
            </w:r>
          </w:p>
        </w:tc>
        <w:tc>
          <w:tcPr>
            <w:tcW w:w="0" w:type="auto"/>
            <w:tcBorders>
              <w:top w:val="single" w:sz="4" w:space="0" w:color="auto"/>
              <w:left w:val="single" w:sz="4" w:space="0" w:color="auto"/>
              <w:bottom w:val="single" w:sz="4" w:space="0" w:color="auto"/>
              <w:right w:val="single" w:sz="4" w:space="0" w:color="auto"/>
            </w:tcBorders>
            <w:vAlign w:val="center"/>
          </w:tcPr>
          <w:p w14:paraId="2CF4B938" w14:textId="6191D874"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Ovaj pokazatelj pokazuje relativno stabilan uzorak odgovora.</w:t>
            </w:r>
          </w:p>
          <w:p w14:paraId="43727462" w14:textId="3329CB95" w:rsidR="006571B5" w:rsidRPr="00A81B58" w:rsidRDefault="006571B5" w:rsidP="00A81B58">
            <w:pPr>
              <w:jc w:val="center"/>
              <w:rPr>
                <w:rFonts w:ascii="Times New Roman" w:hAnsi="Times New Roman" w:cs="Times New Roman"/>
              </w:rPr>
            </w:pPr>
            <w:r w:rsidRPr="00A81B58">
              <w:rPr>
                <w:rFonts w:ascii="Times New Roman" w:hAnsi="Times New Roman" w:cs="Times New Roman"/>
              </w:rPr>
              <w:t>Mod i medijan su na 4, što ukazuje na to da većina ispitanika dijeli slično mišljenje.</w:t>
            </w:r>
          </w:p>
          <w:p w14:paraId="18E7A1AE"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Standardna devijacija od 0,471 znači da su odgovori bili relativno ujednačeni, s malim varijacijama.</w:t>
            </w:r>
          </w:p>
        </w:tc>
      </w:tr>
      <w:tr w:rsidR="006571B5" w:rsidRPr="00A81B58" w14:paraId="1A07B637"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69E836C3"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w:t>
            </w:r>
          </w:p>
        </w:tc>
        <w:tc>
          <w:tcPr>
            <w:tcW w:w="0" w:type="auto"/>
            <w:tcBorders>
              <w:top w:val="single" w:sz="4" w:space="0" w:color="000000"/>
              <w:left w:val="single" w:sz="4" w:space="0" w:color="000000"/>
              <w:bottom w:val="single" w:sz="4" w:space="0" w:color="000000"/>
            </w:tcBorders>
            <w:vAlign w:val="center"/>
          </w:tcPr>
          <w:p w14:paraId="0C89B6FA"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 xml:space="preserve">Proširivanje tržišnih segmenata (baze kupaca) poduzeća preuzimatelja širenjem ponude na postojećem ili </w:t>
            </w:r>
            <w:r w:rsidRPr="00A81B58">
              <w:rPr>
                <w:rFonts w:ascii="Times New Roman" w:hAnsi="Times New Roman" w:cs="Times New Roman"/>
              </w:rPr>
              <w:lastRenderedPageBreak/>
              <w:t>novom tržištu – destinaciji</w:t>
            </w:r>
          </w:p>
        </w:tc>
        <w:tc>
          <w:tcPr>
            <w:tcW w:w="0" w:type="auto"/>
            <w:tcBorders>
              <w:top w:val="single" w:sz="4" w:space="0" w:color="000000"/>
              <w:left w:val="single" w:sz="4" w:space="0" w:color="000000"/>
              <w:bottom w:val="single" w:sz="4" w:space="0" w:color="000000"/>
            </w:tcBorders>
            <w:shd w:val="clear" w:color="auto" w:fill="FFFFFF"/>
            <w:vAlign w:val="center"/>
          </w:tcPr>
          <w:p w14:paraId="1A3D4A06"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lastRenderedPageBreak/>
              <w:t>4,167</w:t>
            </w:r>
          </w:p>
        </w:tc>
        <w:tc>
          <w:tcPr>
            <w:tcW w:w="0" w:type="auto"/>
            <w:tcBorders>
              <w:top w:val="single" w:sz="4" w:space="0" w:color="000000"/>
              <w:left w:val="single" w:sz="4" w:space="0" w:color="000000"/>
              <w:bottom w:val="single" w:sz="4" w:space="0" w:color="000000"/>
            </w:tcBorders>
            <w:shd w:val="clear" w:color="auto" w:fill="FFFFFF"/>
            <w:vAlign w:val="center"/>
          </w:tcPr>
          <w:p w14:paraId="3C4D7A4F"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0359F009"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2C5A39C0"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0,373</w:t>
            </w:r>
          </w:p>
        </w:tc>
        <w:tc>
          <w:tcPr>
            <w:tcW w:w="0" w:type="auto"/>
            <w:tcBorders>
              <w:top w:val="single" w:sz="4" w:space="0" w:color="auto"/>
              <w:left w:val="single" w:sz="4" w:space="0" w:color="auto"/>
              <w:bottom w:val="single" w:sz="4" w:space="0" w:color="auto"/>
              <w:right w:val="single" w:sz="4" w:space="0" w:color="auto"/>
            </w:tcBorders>
            <w:vAlign w:val="center"/>
          </w:tcPr>
          <w:p w14:paraId="1C66423C"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 xml:space="preserve">Ispitanici su ovaj pokazatelj ocijenili relativno konzistentno, s dominantnom ocjenom i medijanom od 4. Niska standardna devijacija (0,373) </w:t>
            </w:r>
            <w:r w:rsidRPr="00A81B58">
              <w:rPr>
                <w:rFonts w:ascii="Times New Roman" w:hAnsi="Times New Roman" w:cs="Times New Roman"/>
              </w:rPr>
              <w:lastRenderedPageBreak/>
              <w:t>ukazuje na visoku razinu slaganja među ispitanicima.</w:t>
            </w:r>
          </w:p>
        </w:tc>
      </w:tr>
      <w:tr w:rsidR="006571B5" w:rsidRPr="00A81B58" w14:paraId="5C37A914"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34E61B39"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lastRenderedPageBreak/>
              <w:t>3</w:t>
            </w:r>
          </w:p>
        </w:tc>
        <w:tc>
          <w:tcPr>
            <w:tcW w:w="0" w:type="auto"/>
            <w:tcBorders>
              <w:top w:val="single" w:sz="4" w:space="0" w:color="000000"/>
              <w:left w:val="single" w:sz="4" w:space="0" w:color="000000"/>
              <w:bottom w:val="single" w:sz="4" w:space="0" w:color="000000"/>
            </w:tcBorders>
            <w:vAlign w:val="center"/>
          </w:tcPr>
          <w:p w14:paraId="7AAF18DE"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rPr>
              <w:t>Jačanje marke i reputacije poduzeća preuzimatelja</w:t>
            </w:r>
          </w:p>
        </w:tc>
        <w:tc>
          <w:tcPr>
            <w:tcW w:w="0" w:type="auto"/>
            <w:tcBorders>
              <w:top w:val="single" w:sz="4" w:space="0" w:color="000000"/>
              <w:left w:val="single" w:sz="4" w:space="0" w:color="000000"/>
              <w:bottom w:val="single" w:sz="4" w:space="0" w:color="000000"/>
            </w:tcBorders>
            <w:shd w:val="clear" w:color="auto" w:fill="FFFFFF"/>
            <w:vAlign w:val="center"/>
          </w:tcPr>
          <w:p w14:paraId="2A5A0193"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rPr>
              <w:t>4,167</w:t>
            </w:r>
          </w:p>
        </w:tc>
        <w:tc>
          <w:tcPr>
            <w:tcW w:w="0" w:type="auto"/>
            <w:tcBorders>
              <w:top w:val="single" w:sz="4" w:space="0" w:color="000000"/>
              <w:left w:val="single" w:sz="4" w:space="0" w:color="000000"/>
              <w:bottom w:val="single" w:sz="4" w:space="0" w:color="000000"/>
            </w:tcBorders>
            <w:shd w:val="clear" w:color="auto" w:fill="FFFFFF"/>
            <w:vAlign w:val="center"/>
          </w:tcPr>
          <w:p w14:paraId="59FB20DE"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1228D4E5"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auto"/>
              <w:left w:val="single" w:sz="4" w:space="0" w:color="auto"/>
              <w:bottom w:val="single" w:sz="4" w:space="0" w:color="auto"/>
              <w:right w:val="single" w:sz="4" w:space="0" w:color="auto"/>
            </w:tcBorders>
            <w:vAlign w:val="center"/>
          </w:tcPr>
          <w:p w14:paraId="437C0C6A"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0,687</w:t>
            </w:r>
          </w:p>
        </w:tc>
        <w:tc>
          <w:tcPr>
            <w:tcW w:w="0" w:type="auto"/>
            <w:tcBorders>
              <w:top w:val="single" w:sz="4" w:space="0" w:color="auto"/>
              <w:left w:val="single" w:sz="4" w:space="0" w:color="auto"/>
              <w:bottom w:val="single" w:sz="4" w:space="0" w:color="auto"/>
              <w:right w:val="single" w:sz="4" w:space="0" w:color="auto"/>
            </w:tcBorders>
            <w:vAlign w:val="center"/>
          </w:tcPr>
          <w:p w14:paraId="08F51355" w14:textId="6573ED1E"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Ovaj motiv također je prepoznat kao značajan, s prosječnom ocjenom od 4,167.</w:t>
            </w:r>
          </w:p>
          <w:p w14:paraId="3CF348AB"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Najčešća i srednja ocjena su 4, što sugerira relativnu usklađenost među ispitanicima, ali standardna devijacija (0,687) pokazuje da su neki odgovori odstupali od prosjeka.</w:t>
            </w:r>
          </w:p>
        </w:tc>
      </w:tr>
      <w:tr w:rsidR="006571B5" w:rsidRPr="00A81B58" w14:paraId="41CD272C"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5E5E3FC0"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w:t>
            </w:r>
          </w:p>
        </w:tc>
        <w:tc>
          <w:tcPr>
            <w:tcW w:w="0" w:type="auto"/>
            <w:tcBorders>
              <w:top w:val="single" w:sz="4" w:space="0" w:color="000000"/>
              <w:left w:val="single" w:sz="4" w:space="0" w:color="000000"/>
              <w:bottom w:val="single" w:sz="4" w:space="0" w:color="000000"/>
            </w:tcBorders>
            <w:vAlign w:val="center"/>
          </w:tcPr>
          <w:p w14:paraId="60C0A0A2"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Osiguranje održivog rasta poduzeća preuzimatelja</w:t>
            </w:r>
          </w:p>
        </w:tc>
        <w:tc>
          <w:tcPr>
            <w:tcW w:w="0" w:type="auto"/>
            <w:tcBorders>
              <w:top w:val="single" w:sz="4" w:space="0" w:color="000000"/>
              <w:left w:val="single" w:sz="4" w:space="0" w:color="000000"/>
              <w:bottom w:val="single" w:sz="4" w:space="0" w:color="000000"/>
            </w:tcBorders>
            <w:shd w:val="clear" w:color="auto" w:fill="FFFFFF"/>
            <w:vAlign w:val="center"/>
          </w:tcPr>
          <w:p w14:paraId="58DF58AB"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4,167</w:t>
            </w:r>
          </w:p>
        </w:tc>
        <w:tc>
          <w:tcPr>
            <w:tcW w:w="0" w:type="auto"/>
            <w:tcBorders>
              <w:top w:val="single" w:sz="4" w:space="0" w:color="000000"/>
              <w:left w:val="single" w:sz="4" w:space="0" w:color="000000"/>
              <w:bottom w:val="single" w:sz="4" w:space="0" w:color="000000"/>
            </w:tcBorders>
            <w:shd w:val="clear" w:color="auto" w:fill="FFFFFF"/>
            <w:vAlign w:val="center"/>
          </w:tcPr>
          <w:p w14:paraId="0B596E98"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00F461DD"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4,5</w:t>
            </w:r>
          </w:p>
        </w:tc>
        <w:tc>
          <w:tcPr>
            <w:tcW w:w="0" w:type="auto"/>
            <w:tcBorders>
              <w:top w:val="single" w:sz="4" w:space="0" w:color="auto"/>
              <w:left w:val="single" w:sz="4" w:space="0" w:color="auto"/>
              <w:bottom w:val="single" w:sz="4" w:space="0" w:color="auto"/>
              <w:right w:val="single" w:sz="4" w:space="0" w:color="auto"/>
            </w:tcBorders>
            <w:vAlign w:val="center"/>
          </w:tcPr>
          <w:p w14:paraId="3A5B07F1"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0,898</w:t>
            </w:r>
          </w:p>
        </w:tc>
        <w:tc>
          <w:tcPr>
            <w:tcW w:w="0" w:type="auto"/>
            <w:tcBorders>
              <w:top w:val="single" w:sz="4" w:space="0" w:color="auto"/>
              <w:left w:val="single" w:sz="4" w:space="0" w:color="auto"/>
              <w:bottom w:val="single" w:sz="4" w:space="0" w:color="auto"/>
              <w:right w:val="single" w:sz="4" w:space="0" w:color="auto"/>
            </w:tcBorders>
            <w:vAlign w:val="center"/>
          </w:tcPr>
          <w:p w14:paraId="514C8C48" w14:textId="2B5C7782" w:rsidR="006571B5" w:rsidRPr="00A81B58" w:rsidRDefault="006571B5" w:rsidP="00A81B58">
            <w:pPr>
              <w:jc w:val="center"/>
              <w:rPr>
                <w:rFonts w:ascii="Times New Roman" w:hAnsi="Times New Roman" w:cs="Times New Roman"/>
              </w:rPr>
            </w:pPr>
            <w:r w:rsidRPr="00A81B58">
              <w:rPr>
                <w:rFonts w:ascii="Times New Roman" w:hAnsi="Times New Roman" w:cs="Times New Roman"/>
              </w:rPr>
              <w:t>Ispitanici su većinom visoko ocijenili ovaj motiv. Dominantna ocjena (mod) je 5, što znači da ga najveći broj ispitanika smatra vrlo važnim. Medijan od 4,5 pokazuje da su odgovori blago pomaknuti prema višim vrijednostima.</w:t>
            </w:r>
          </w:p>
          <w:p w14:paraId="00AE8266"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Međutim, standardna devijacija od 0,898 ukazuje na određenu varijabilnost među odgovorima.</w:t>
            </w:r>
          </w:p>
        </w:tc>
      </w:tr>
      <w:tr w:rsidR="006571B5" w:rsidRPr="00A81B58" w14:paraId="516D894F"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76648B97"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4</w:t>
            </w:r>
          </w:p>
        </w:tc>
        <w:tc>
          <w:tcPr>
            <w:tcW w:w="0" w:type="auto"/>
            <w:tcBorders>
              <w:top w:val="single" w:sz="4" w:space="0" w:color="000000"/>
              <w:left w:val="single" w:sz="4" w:space="0" w:color="000000"/>
              <w:bottom w:val="single" w:sz="4" w:space="0" w:color="000000"/>
            </w:tcBorders>
            <w:vAlign w:val="center"/>
          </w:tcPr>
          <w:p w14:paraId="0A4C0589" w14:textId="77777777" w:rsidR="006571B5" w:rsidRPr="00A81B58" w:rsidRDefault="006571B5" w:rsidP="00A81B58">
            <w:pPr>
              <w:jc w:val="center"/>
              <w:rPr>
                <w:rFonts w:ascii="Times New Roman" w:hAnsi="Times New Roman" w:cs="Times New Roman"/>
                <w:lang w:val="en-US"/>
              </w:rPr>
            </w:pPr>
            <w:r w:rsidRPr="00A81B58">
              <w:rPr>
                <w:rFonts w:ascii="Times New Roman" w:hAnsi="Times New Roman" w:cs="Times New Roman"/>
              </w:rPr>
              <w:t>Nemogućnost internog rasta</w:t>
            </w:r>
          </w:p>
        </w:tc>
        <w:tc>
          <w:tcPr>
            <w:tcW w:w="0" w:type="auto"/>
            <w:tcBorders>
              <w:top w:val="single" w:sz="4" w:space="0" w:color="000000"/>
              <w:left w:val="single" w:sz="4" w:space="0" w:color="000000"/>
              <w:bottom w:val="single" w:sz="4" w:space="0" w:color="000000"/>
            </w:tcBorders>
            <w:shd w:val="clear" w:color="auto" w:fill="FFFFFF"/>
            <w:vAlign w:val="center"/>
          </w:tcPr>
          <w:p w14:paraId="217D1EFB"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3,667</w:t>
            </w:r>
          </w:p>
        </w:tc>
        <w:tc>
          <w:tcPr>
            <w:tcW w:w="0" w:type="auto"/>
            <w:tcBorders>
              <w:top w:val="single" w:sz="4" w:space="0" w:color="000000"/>
              <w:left w:val="single" w:sz="4" w:space="0" w:color="000000"/>
              <w:bottom w:val="single" w:sz="4" w:space="0" w:color="000000"/>
            </w:tcBorders>
            <w:shd w:val="clear" w:color="auto" w:fill="FFFFFF"/>
            <w:vAlign w:val="center"/>
          </w:tcPr>
          <w:p w14:paraId="581A3E3A"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3,5</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01D21602"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5</w:t>
            </w:r>
          </w:p>
        </w:tc>
        <w:tc>
          <w:tcPr>
            <w:tcW w:w="0" w:type="auto"/>
            <w:tcBorders>
              <w:top w:val="single" w:sz="4" w:space="0" w:color="auto"/>
              <w:left w:val="single" w:sz="4" w:space="0" w:color="auto"/>
              <w:bottom w:val="single" w:sz="4" w:space="0" w:color="auto"/>
              <w:right w:val="single" w:sz="4" w:space="0" w:color="auto"/>
            </w:tcBorders>
            <w:vAlign w:val="center"/>
          </w:tcPr>
          <w:p w14:paraId="73A30385"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1,106</w:t>
            </w:r>
          </w:p>
        </w:tc>
        <w:tc>
          <w:tcPr>
            <w:tcW w:w="0" w:type="auto"/>
            <w:tcBorders>
              <w:top w:val="single" w:sz="4" w:space="0" w:color="auto"/>
              <w:left w:val="single" w:sz="4" w:space="0" w:color="auto"/>
              <w:bottom w:val="single" w:sz="4" w:space="0" w:color="auto"/>
              <w:right w:val="single" w:sz="4" w:space="0" w:color="auto"/>
            </w:tcBorders>
            <w:vAlign w:val="center"/>
          </w:tcPr>
          <w:p w14:paraId="4FCAF962" w14:textId="15618760"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Ovaj pokazatelj pokazuje najveću varijabilnost među odgovorima (standardna devijacija 1,106), što znači da ispitanici imaju podijeljena mišljenja.</w:t>
            </w:r>
          </w:p>
          <w:p w14:paraId="38CDFCF1"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 xml:space="preserve">Medijan od 3,5 pokazuje da su ocjene </w:t>
            </w:r>
            <w:r w:rsidRPr="00A81B58">
              <w:rPr>
                <w:rFonts w:ascii="Times New Roman" w:hAnsi="Times New Roman" w:cs="Times New Roman"/>
              </w:rPr>
              <w:lastRenderedPageBreak/>
              <w:t>raspoređene na nižoj sredini skale, ali činjenica da je mod 5 sugerira da je jedan dio ispitanika ovaj motiv ocijenio kao ključan.</w:t>
            </w:r>
          </w:p>
        </w:tc>
      </w:tr>
      <w:tr w:rsidR="006571B5" w:rsidRPr="00A81B58" w14:paraId="5F4B1826" w14:textId="77777777" w:rsidTr="00A81B58">
        <w:trPr>
          <w:trHeight w:val="125"/>
        </w:trPr>
        <w:tc>
          <w:tcPr>
            <w:tcW w:w="0" w:type="auto"/>
            <w:tcBorders>
              <w:top w:val="single" w:sz="4" w:space="0" w:color="000000"/>
              <w:left w:val="single" w:sz="4" w:space="0" w:color="000000"/>
              <w:bottom w:val="single" w:sz="4" w:space="0" w:color="000000"/>
            </w:tcBorders>
            <w:vAlign w:val="center"/>
          </w:tcPr>
          <w:p w14:paraId="72397AC8"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lastRenderedPageBreak/>
              <w:t>5</w:t>
            </w:r>
          </w:p>
        </w:tc>
        <w:tc>
          <w:tcPr>
            <w:tcW w:w="0" w:type="auto"/>
            <w:tcBorders>
              <w:top w:val="single" w:sz="4" w:space="0" w:color="000000"/>
              <w:left w:val="single" w:sz="4" w:space="0" w:color="000000"/>
              <w:bottom w:val="single" w:sz="4" w:space="0" w:color="000000"/>
            </w:tcBorders>
            <w:vAlign w:val="center"/>
          </w:tcPr>
          <w:p w14:paraId="222837C1" w14:textId="77777777" w:rsidR="006571B5" w:rsidRPr="00A81B58" w:rsidRDefault="006571B5" w:rsidP="00A81B58">
            <w:pPr>
              <w:jc w:val="center"/>
              <w:rPr>
                <w:rFonts w:ascii="Times New Roman" w:hAnsi="Times New Roman" w:cs="Times New Roman"/>
                <w:lang w:val="en-US"/>
              </w:rPr>
            </w:pPr>
            <w:r w:rsidRPr="00A81B58">
              <w:rPr>
                <w:rFonts w:ascii="Times New Roman" w:hAnsi="Times New Roman" w:cs="Times New Roman"/>
              </w:rPr>
              <w:t>Zaokruživanje ciklusa unutar industrije</w:t>
            </w:r>
          </w:p>
        </w:tc>
        <w:tc>
          <w:tcPr>
            <w:tcW w:w="0" w:type="auto"/>
            <w:tcBorders>
              <w:top w:val="single" w:sz="4" w:space="0" w:color="000000"/>
              <w:left w:val="single" w:sz="4" w:space="0" w:color="000000"/>
              <w:bottom w:val="single" w:sz="4" w:space="0" w:color="000000"/>
            </w:tcBorders>
            <w:shd w:val="clear" w:color="auto" w:fill="FFFFFF"/>
            <w:vAlign w:val="center"/>
          </w:tcPr>
          <w:p w14:paraId="7BEFAC92"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3,333</w:t>
            </w:r>
          </w:p>
        </w:tc>
        <w:tc>
          <w:tcPr>
            <w:tcW w:w="0" w:type="auto"/>
            <w:tcBorders>
              <w:top w:val="single" w:sz="4" w:space="0" w:color="000000"/>
              <w:left w:val="single" w:sz="4" w:space="0" w:color="000000"/>
              <w:bottom w:val="single" w:sz="4" w:space="0" w:color="000000"/>
            </w:tcBorders>
            <w:shd w:val="clear" w:color="auto" w:fill="FFFFFF"/>
            <w:vAlign w:val="center"/>
          </w:tcPr>
          <w:p w14:paraId="34BC457D"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w:t>
            </w:r>
          </w:p>
        </w:tc>
        <w:tc>
          <w:tcPr>
            <w:tcW w:w="0" w:type="auto"/>
            <w:tcBorders>
              <w:top w:val="single" w:sz="4" w:space="0" w:color="000000"/>
              <w:left w:val="single" w:sz="4" w:space="0" w:color="000000"/>
              <w:bottom w:val="single" w:sz="4" w:space="0" w:color="000000"/>
              <w:right w:val="single" w:sz="4" w:space="0" w:color="auto"/>
            </w:tcBorders>
            <w:shd w:val="clear" w:color="auto" w:fill="FFFFFF"/>
            <w:vAlign w:val="center"/>
          </w:tcPr>
          <w:p w14:paraId="35C2AE58"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3</w:t>
            </w:r>
          </w:p>
        </w:tc>
        <w:tc>
          <w:tcPr>
            <w:tcW w:w="0" w:type="auto"/>
            <w:tcBorders>
              <w:top w:val="single" w:sz="4" w:space="0" w:color="auto"/>
              <w:left w:val="single" w:sz="4" w:space="0" w:color="auto"/>
              <w:bottom w:val="single" w:sz="4" w:space="0" w:color="auto"/>
              <w:right w:val="single" w:sz="4" w:space="0" w:color="auto"/>
            </w:tcBorders>
            <w:vAlign w:val="center"/>
          </w:tcPr>
          <w:p w14:paraId="08A728F5"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0,471</w:t>
            </w:r>
          </w:p>
        </w:tc>
        <w:tc>
          <w:tcPr>
            <w:tcW w:w="0" w:type="auto"/>
            <w:tcBorders>
              <w:top w:val="single" w:sz="4" w:space="0" w:color="auto"/>
              <w:left w:val="single" w:sz="4" w:space="0" w:color="auto"/>
              <w:bottom w:val="single" w:sz="4" w:space="0" w:color="auto"/>
              <w:right w:val="single" w:sz="4" w:space="0" w:color="auto"/>
            </w:tcBorders>
            <w:vAlign w:val="center"/>
          </w:tcPr>
          <w:p w14:paraId="0FDB0152"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Ovaj motiv dobio je najniže ocjene od ispitanika, s prosjekom od 3,333 i najčešćom ocjenom 3.</w:t>
            </w:r>
          </w:p>
          <w:p w14:paraId="5FCE50BF" w14:textId="59933CD9" w:rsidR="006571B5" w:rsidRPr="00A81B58" w:rsidRDefault="006571B5" w:rsidP="00A81B58">
            <w:pPr>
              <w:jc w:val="center"/>
              <w:rPr>
                <w:rFonts w:ascii="Times New Roman" w:hAnsi="Times New Roman" w:cs="Times New Roman"/>
              </w:rPr>
            </w:pPr>
            <w:r w:rsidRPr="00A81B58">
              <w:rPr>
                <w:rFonts w:ascii="Times New Roman" w:hAnsi="Times New Roman" w:cs="Times New Roman"/>
              </w:rPr>
              <w:t>Medijan također iznosi 3, što potvrđuje da je većina ispitanika ovaj motiv ocijenila kao manje važan.</w:t>
            </w:r>
          </w:p>
          <w:p w14:paraId="08FCA4CE" w14:textId="77777777" w:rsidR="006571B5" w:rsidRPr="00A81B58" w:rsidRDefault="006571B5" w:rsidP="00A81B58">
            <w:pPr>
              <w:jc w:val="center"/>
              <w:rPr>
                <w:rFonts w:ascii="Times New Roman" w:hAnsi="Times New Roman" w:cs="Times New Roman"/>
              </w:rPr>
            </w:pPr>
            <w:r w:rsidRPr="00A81B58">
              <w:rPr>
                <w:rFonts w:ascii="Times New Roman" w:hAnsi="Times New Roman" w:cs="Times New Roman"/>
              </w:rPr>
              <w:t>Niska standardna devijacija (0,471) pokazuje da među ispitanicima postoji relativno visok stupanj slaganja oko ovog stava.</w:t>
            </w:r>
          </w:p>
        </w:tc>
      </w:tr>
    </w:tbl>
    <w:p w14:paraId="5EEA552D"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t xml:space="preserve">Izvor: obrada autora </w:t>
      </w:r>
    </w:p>
    <w:p w14:paraId="5ED28459" w14:textId="77777777" w:rsidR="006571B5" w:rsidRPr="00E2667C" w:rsidRDefault="006571B5" w:rsidP="006571B5">
      <w:pPr>
        <w:rPr>
          <w:rFonts w:ascii="Times New Roman" w:hAnsi="Times New Roman" w:cs="Times New Roman"/>
          <w:highlight w:val="yellow"/>
          <w:lang w:val="it-IT"/>
        </w:rPr>
      </w:pPr>
    </w:p>
    <w:p w14:paraId="4D2C44D7" w14:textId="77777777" w:rsidR="006571B5" w:rsidRPr="00A81B58" w:rsidRDefault="006571B5" w:rsidP="006571B5">
      <w:pPr>
        <w:rPr>
          <w:rFonts w:ascii="Times New Roman" w:hAnsi="Times New Roman" w:cs="Times New Roman"/>
          <w:lang w:val="it-IT"/>
        </w:rPr>
      </w:pPr>
      <w:r w:rsidRPr="00A81B58">
        <w:rPr>
          <w:rFonts w:ascii="Times New Roman" w:hAnsi="Times New Roman" w:cs="Times New Roman"/>
        </w:rPr>
        <w:t xml:space="preserve">Tablica 10: </w:t>
      </w:r>
      <w:r w:rsidRPr="00A81B58">
        <w:rPr>
          <w:rFonts w:ascii="Times New Roman" w:hAnsi="Times New Roman" w:cs="Times New Roman"/>
          <w:lang w:val="it-IT"/>
        </w:rPr>
        <w:t>Rezultati drugog ciklusa Delphi postupka – ključni čimbenici uspjeha u fazi prije preuzimanja poduzeća mete</w:t>
      </w:r>
    </w:p>
    <w:tbl>
      <w:tblPr>
        <w:tblStyle w:val="Reetkatablice1"/>
        <w:tblW w:w="5155" w:type="pct"/>
        <w:tblInd w:w="-431" w:type="dxa"/>
        <w:tblLayout w:type="fixed"/>
        <w:tblLook w:val="04A0" w:firstRow="1" w:lastRow="0" w:firstColumn="1" w:lastColumn="0" w:noHBand="0" w:noVBand="1"/>
      </w:tblPr>
      <w:tblGrid>
        <w:gridCol w:w="934"/>
        <w:gridCol w:w="1478"/>
        <w:gridCol w:w="1418"/>
        <w:gridCol w:w="850"/>
        <w:gridCol w:w="661"/>
        <w:gridCol w:w="1465"/>
        <w:gridCol w:w="2834"/>
      </w:tblGrid>
      <w:tr w:rsidR="006571B5" w:rsidRPr="00A81B58" w14:paraId="1AD603F4" w14:textId="77777777" w:rsidTr="002E5B41">
        <w:trPr>
          <w:trHeight w:val="255"/>
        </w:trPr>
        <w:tc>
          <w:tcPr>
            <w:tcW w:w="484" w:type="pct"/>
            <w:vAlign w:val="center"/>
          </w:tcPr>
          <w:p w14:paraId="3659C545" w14:textId="605C4BC7" w:rsidR="006571B5" w:rsidRPr="00A81B58" w:rsidRDefault="002E5B41" w:rsidP="002E5B41">
            <w:pPr>
              <w:spacing w:after="160" w:line="259" w:lineRule="auto"/>
              <w:jc w:val="center"/>
              <w:rPr>
                <w:rFonts w:ascii="Times New Roman" w:hAnsi="Times New Roman" w:cs="Times New Roman"/>
                <w:b/>
              </w:rPr>
            </w:pPr>
            <w:r>
              <w:rPr>
                <w:rFonts w:ascii="Times New Roman" w:hAnsi="Times New Roman" w:cs="Times New Roman"/>
                <w:b/>
              </w:rPr>
              <w:t>Rang</w:t>
            </w:r>
          </w:p>
        </w:tc>
        <w:tc>
          <w:tcPr>
            <w:tcW w:w="766" w:type="pct"/>
            <w:noWrap/>
            <w:vAlign w:val="center"/>
            <w:hideMark/>
          </w:tcPr>
          <w:p w14:paraId="2CF1C7C0" w14:textId="3F413F81" w:rsidR="006571B5" w:rsidRPr="00A81B58" w:rsidRDefault="006571B5" w:rsidP="002E5B41">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Č</w:t>
            </w:r>
            <w:r w:rsidR="002E5B41">
              <w:rPr>
                <w:rFonts w:ascii="Times New Roman" w:hAnsi="Times New Roman" w:cs="Times New Roman"/>
                <w:b/>
                <w:lang w:val="en-US"/>
              </w:rPr>
              <w:t>imbenici</w:t>
            </w:r>
          </w:p>
        </w:tc>
        <w:tc>
          <w:tcPr>
            <w:tcW w:w="735" w:type="pct"/>
            <w:noWrap/>
            <w:vAlign w:val="center"/>
            <w:hideMark/>
          </w:tcPr>
          <w:p w14:paraId="5288E8DD" w14:textId="77777777" w:rsidR="006571B5" w:rsidRPr="00A81B58" w:rsidRDefault="006571B5" w:rsidP="002E5B41">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Aritmetička sredina</w:t>
            </w:r>
          </w:p>
        </w:tc>
        <w:tc>
          <w:tcPr>
            <w:tcW w:w="441" w:type="pct"/>
            <w:noWrap/>
            <w:vAlign w:val="center"/>
            <w:hideMark/>
          </w:tcPr>
          <w:p w14:paraId="695A5780" w14:textId="77777777" w:rsidR="006571B5" w:rsidRPr="00A81B58" w:rsidRDefault="006571B5" w:rsidP="002E5B41">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Medijan</w:t>
            </w:r>
          </w:p>
        </w:tc>
        <w:tc>
          <w:tcPr>
            <w:tcW w:w="343" w:type="pct"/>
            <w:noWrap/>
            <w:vAlign w:val="center"/>
            <w:hideMark/>
          </w:tcPr>
          <w:p w14:paraId="49DBB4F2" w14:textId="77777777" w:rsidR="006571B5" w:rsidRPr="00A81B58" w:rsidRDefault="006571B5" w:rsidP="002E5B41">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Mod</w:t>
            </w:r>
          </w:p>
        </w:tc>
        <w:tc>
          <w:tcPr>
            <w:tcW w:w="760" w:type="pct"/>
            <w:noWrap/>
            <w:vAlign w:val="center"/>
            <w:hideMark/>
          </w:tcPr>
          <w:p w14:paraId="0CB993E4" w14:textId="77777777" w:rsidR="006571B5" w:rsidRPr="00A81B58" w:rsidRDefault="006571B5" w:rsidP="002E5B41">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Standardna devijacija</w:t>
            </w:r>
          </w:p>
        </w:tc>
        <w:tc>
          <w:tcPr>
            <w:tcW w:w="1470" w:type="pct"/>
            <w:vAlign w:val="center"/>
          </w:tcPr>
          <w:p w14:paraId="466B3B7D" w14:textId="30297D7D" w:rsidR="006571B5" w:rsidRPr="00A81B58" w:rsidRDefault="006571B5" w:rsidP="002E5B41">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I</w:t>
            </w:r>
            <w:r w:rsidR="002E5B41">
              <w:rPr>
                <w:rFonts w:ascii="Times New Roman" w:hAnsi="Times New Roman" w:cs="Times New Roman"/>
                <w:b/>
                <w:bCs/>
                <w:lang w:val="en-US"/>
              </w:rPr>
              <w:t>nterpretacija</w:t>
            </w:r>
          </w:p>
        </w:tc>
      </w:tr>
      <w:tr w:rsidR="006571B5" w:rsidRPr="00A81B58" w14:paraId="7976D5FD" w14:textId="77777777" w:rsidTr="002E5B41">
        <w:trPr>
          <w:trHeight w:val="255"/>
        </w:trPr>
        <w:tc>
          <w:tcPr>
            <w:tcW w:w="484" w:type="pct"/>
            <w:vAlign w:val="center"/>
          </w:tcPr>
          <w:p w14:paraId="1F625D71"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1</w:t>
            </w:r>
          </w:p>
        </w:tc>
        <w:tc>
          <w:tcPr>
            <w:tcW w:w="766" w:type="pct"/>
            <w:noWrap/>
            <w:vAlign w:val="center"/>
          </w:tcPr>
          <w:p w14:paraId="1BA77B9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Dobra procjena potencijalne operativne sinergije poduzeća mete na poduzeće preuzimatelja </w:t>
            </w:r>
            <w:r w:rsidRPr="00A81B58">
              <w:rPr>
                <w:rFonts w:ascii="Times New Roman" w:hAnsi="Times New Roman" w:cs="Times New Roman"/>
              </w:rPr>
              <w:br/>
              <w:t xml:space="preserve">(tj. poboljšanu </w:t>
            </w:r>
            <w:r w:rsidRPr="00A81B58">
              <w:rPr>
                <w:rFonts w:ascii="Times New Roman" w:hAnsi="Times New Roman" w:cs="Times New Roman"/>
              </w:rPr>
              <w:lastRenderedPageBreak/>
              <w:t>operativnu učinkovitost)</w:t>
            </w:r>
          </w:p>
        </w:tc>
        <w:tc>
          <w:tcPr>
            <w:tcW w:w="735" w:type="pct"/>
            <w:noWrap/>
            <w:vAlign w:val="center"/>
          </w:tcPr>
          <w:p w14:paraId="033C100B"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lastRenderedPageBreak/>
              <w:t>4,667</w:t>
            </w:r>
          </w:p>
        </w:tc>
        <w:tc>
          <w:tcPr>
            <w:tcW w:w="441" w:type="pct"/>
            <w:noWrap/>
            <w:vAlign w:val="center"/>
          </w:tcPr>
          <w:p w14:paraId="32402979"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5</w:t>
            </w:r>
          </w:p>
        </w:tc>
        <w:tc>
          <w:tcPr>
            <w:tcW w:w="343" w:type="pct"/>
            <w:noWrap/>
            <w:vAlign w:val="center"/>
          </w:tcPr>
          <w:p w14:paraId="6283D8A1"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5</w:t>
            </w:r>
          </w:p>
        </w:tc>
        <w:tc>
          <w:tcPr>
            <w:tcW w:w="760" w:type="pct"/>
            <w:noWrap/>
            <w:vAlign w:val="center"/>
          </w:tcPr>
          <w:p w14:paraId="771A88E1"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t>0,471</w:t>
            </w:r>
          </w:p>
        </w:tc>
        <w:tc>
          <w:tcPr>
            <w:tcW w:w="1470" w:type="pct"/>
            <w:vAlign w:val="center"/>
          </w:tcPr>
          <w:p w14:paraId="50020B4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Ovo je jedan od najvažnijih čimbenika u procesu preuzimanja, s vrlo visokom prosječnom ocjenom. Ispitanici su izrazili visok stupanj suglasnosti (mod i medijan su također na 5), a niska standardna devijacija (0,471) sugerira da je ovaj čimbenik gotovo univerzalno prepoznat kao ključan.</w:t>
            </w:r>
          </w:p>
        </w:tc>
      </w:tr>
      <w:tr w:rsidR="006571B5" w:rsidRPr="00A81B58" w14:paraId="0E19CD2A" w14:textId="77777777" w:rsidTr="002E5B41">
        <w:trPr>
          <w:trHeight w:val="255"/>
        </w:trPr>
        <w:tc>
          <w:tcPr>
            <w:tcW w:w="484" w:type="pct"/>
            <w:vAlign w:val="center"/>
          </w:tcPr>
          <w:p w14:paraId="5EFC4425"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2</w:t>
            </w:r>
          </w:p>
        </w:tc>
        <w:tc>
          <w:tcPr>
            <w:tcW w:w="766" w:type="pct"/>
            <w:noWrap/>
            <w:vAlign w:val="center"/>
          </w:tcPr>
          <w:p w14:paraId="0ECF156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Dubinsko snimanje poduzeća mete</w:t>
            </w:r>
          </w:p>
        </w:tc>
        <w:tc>
          <w:tcPr>
            <w:tcW w:w="735" w:type="pct"/>
            <w:noWrap/>
            <w:vAlign w:val="center"/>
          </w:tcPr>
          <w:p w14:paraId="3974378E"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4,500</w:t>
            </w:r>
          </w:p>
        </w:tc>
        <w:tc>
          <w:tcPr>
            <w:tcW w:w="441" w:type="pct"/>
            <w:noWrap/>
            <w:vAlign w:val="center"/>
          </w:tcPr>
          <w:p w14:paraId="3A840C17"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4,5</w:t>
            </w:r>
          </w:p>
        </w:tc>
        <w:tc>
          <w:tcPr>
            <w:tcW w:w="343" w:type="pct"/>
            <w:noWrap/>
            <w:vAlign w:val="center"/>
          </w:tcPr>
          <w:p w14:paraId="76D0AF76"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5</w:t>
            </w:r>
          </w:p>
        </w:tc>
        <w:tc>
          <w:tcPr>
            <w:tcW w:w="760" w:type="pct"/>
            <w:noWrap/>
            <w:vAlign w:val="center"/>
          </w:tcPr>
          <w:p w14:paraId="3EE82B4B"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0,500</w:t>
            </w:r>
          </w:p>
        </w:tc>
        <w:tc>
          <w:tcPr>
            <w:tcW w:w="1470" w:type="pct"/>
            <w:vAlign w:val="center"/>
          </w:tcPr>
          <w:p w14:paraId="6BD1A599" w14:textId="00923BE9"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Ovaj čimbenik ima visoku prosječnu ocjenu </w:t>
            </w:r>
            <w:r w:rsidRPr="00A81B58">
              <w:rPr>
                <w:rFonts w:ascii="Times New Roman" w:hAnsi="Times New Roman" w:cs="Times New Roman"/>
                <w:bCs/>
              </w:rPr>
              <w:t>4,5</w:t>
            </w:r>
            <w:r w:rsidRPr="00A81B58">
              <w:rPr>
                <w:rFonts w:ascii="Times New Roman" w:hAnsi="Times New Roman" w:cs="Times New Roman"/>
              </w:rPr>
              <w:t>, što ukazuje na njegovu veliku važnost.</w:t>
            </w:r>
          </w:p>
          <w:p w14:paraId="64CAD81D" w14:textId="0510FC6A"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je 4, a medijan 4,5</w:t>
            </w:r>
            <w:r w:rsidRPr="00A81B58">
              <w:rPr>
                <w:rFonts w:ascii="Times New Roman" w:hAnsi="Times New Roman" w:cs="Times New Roman"/>
              </w:rPr>
              <w:t>, što znači da su odgovori blizu gornje granice ljestvice.</w:t>
            </w:r>
          </w:p>
          <w:p w14:paraId="54D1C25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je 0,500</w:t>
            </w:r>
            <w:r w:rsidRPr="00A81B58">
              <w:rPr>
                <w:rFonts w:ascii="Times New Roman" w:hAnsi="Times New Roman" w:cs="Times New Roman"/>
              </w:rPr>
              <w:t>, što sugerira relativno ujednačene odgovore bez značajnih odstupanja.</w:t>
            </w:r>
          </w:p>
        </w:tc>
      </w:tr>
      <w:tr w:rsidR="006571B5" w:rsidRPr="00A81B58" w14:paraId="098E1767" w14:textId="77777777" w:rsidTr="002E5B41">
        <w:trPr>
          <w:trHeight w:val="255"/>
        </w:trPr>
        <w:tc>
          <w:tcPr>
            <w:tcW w:w="484" w:type="pct"/>
            <w:vAlign w:val="center"/>
          </w:tcPr>
          <w:p w14:paraId="0EE08F44"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2</w:t>
            </w:r>
          </w:p>
        </w:tc>
        <w:tc>
          <w:tcPr>
            <w:tcW w:w="766" w:type="pct"/>
            <w:noWrap/>
            <w:vAlign w:val="center"/>
          </w:tcPr>
          <w:p w14:paraId="57E4D05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Potencijalni učinak na jačanje marke i reputacije poduzeća preuzimatelja</w:t>
            </w:r>
          </w:p>
        </w:tc>
        <w:tc>
          <w:tcPr>
            <w:tcW w:w="735" w:type="pct"/>
            <w:noWrap/>
            <w:vAlign w:val="center"/>
          </w:tcPr>
          <w:p w14:paraId="001A3D28"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4,500</w:t>
            </w:r>
          </w:p>
        </w:tc>
        <w:tc>
          <w:tcPr>
            <w:tcW w:w="441" w:type="pct"/>
            <w:noWrap/>
            <w:vAlign w:val="center"/>
          </w:tcPr>
          <w:p w14:paraId="09A8D1F2"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4,5</w:t>
            </w:r>
          </w:p>
        </w:tc>
        <w:tc>
          <w:tcPr>
            <w:tcW w:w="343" w:type="pct"/>
            <w:noWrap/>
            <w:vAlign w:val="center"/>
          </w:tcPr>
          <w:p w14:paraId="2C8ADD0D"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w:t>
            </w:r>
          </w:p>
        </w:tc>
        <w:tc>
          <w:tcPr>
            <w:tcW w:w="760" w:type="pct"/>
            <w:noWrap/>
            <w:vAlign w:val="center"/>
          </w:tcPr>
          <w:p w14:paraId="664EFD0C"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0,500</w:t>
            </w:r>
          </w:p>
        </w:tc>
        <w:tc>
          <w:tcPr>
            <w:tcW w:w="1470" w:type="pct"/>
            <w:vAlign w:val="center"/>
          </w:tcPr>
          <w:p w14:paraId="7F4EB54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Prosjek od </w:t>
            </w:r>
            <w:r w:rsidRPr="00A81B58">
              <w:rPr>
                <w:rFonts w:ascii="Times New Roman" w:hAnsi="Times New Roman" w:cs="Times New Roman"/>
                <w:bCs/>
              </w:rPr>
              <w:t>4,5</w:t>
            </w:r>
            <w:r w:rsidRPr="00A81B58">
              <w:rPr>
                <w:rFonts w:ascii="Times New Roman" w:hAnsi="Times New Roman" w:cs="Times New Roman"/>
              </w:rPr>
              <w:t xml:space="preserve"> ukazuje da ispitanici smatraju ovaj čimbenik ključnim. </w:t>
            </w:r>
            <w:r w:rsidRPr="00A81B58">
              <w:rPr>
                <w:rFonts w:ascii="Times New Roman" w:hAnsi="Times New Roman" w:cs="Times New Roman"/>
                <w:bCs/>
              </w:rPr>
              <w:t>Mod i medijan su 4 odnosno 4,5</w:t>
            </w:r>
            <w:r w:rsidRPr="00A81B58">
              <w:rPr>
                <w:rFonts w:ascii="Times New Roman" w:hAnsi="Times New Roman" w:cs="Times New Roman"/>
              </w:rPr>
              <w:t xml:space="preserve">, što znači da su odgovori prilično ujednačeni. </w:t>
            </w:r>
            <w:r w:rsidRPr="00A81B58">
              <w:rPr>
                <w:rFonts w:ascii="Times New Roman" w:hAnsi="Times New Roman" w:cs="Times New Roman"/>
                <w:bCs/>
              </w:rPr>
              <w:t>Standardna devijacija od 0,5</w:t>
            </w:r>
            <w:r w:rsidRPr="00A81B58">
              <w:rPr>
                <w:rFonts w:ascii="Times New Roman" w:hAnsi="Times New Roman" w:cs="Times New Roman"/>
              </w:rPr>
              <w:t xml:space="preserve"> potvrđuje da postoji visoka razina suglasnosti.</w:t>
            </w:r>
          </w:p>
        </w:tc>
      </w:tr>
      <w:tr w:rsidR="006571B5" w:rsidRPr="00A81B58" w14:paraId="2FEE2558" w14:textId="77777777" w:rsidTr="002E5B41">
        <w:trPr>
          <w:trHeight w:val="255"/>
        </w:trPr>
        <w:tc>
          <w:tcPr>
            <w:tcW w:w="484" w:type="pct"/>
            <w:vAlign w:val="center"/>
          </w:tcPr>
          <w:p w14:paraId="2B248863"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2</w:t>
            </w:r>
          </w:p>
        </w:tc>
        <w:tc>
          <w:tcPr>
            <w:tcW w:w="766" w:type="pct"/>
            <w:noWrap/>
            <w:vAlign w:val="center"/>
          </w:tcPr>
          <w:p w14:paraId="3390F9C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Dobro poznavanje regulative i propisa</w:t>
            </w:r>
          </w:p>
        </w:tc>
        <w:tc>
          <w:tcPr>
            <w:tcW w:w="735" w:type="pct"/>
            <w:noWrap/>
            <w:vAlign w:val="center"/>
          </w:tcPr>
          <w:p w14:paraId="5BCA5F5E"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4,500</w:t>
            </w:r>
          </w:p>
        </w:tc>
        <w:tc>
          <w:tcPr>
            <w:tcW w:w="441" w:type="pct"/>
            <w:noWrap/>
            <w:vAlign w:val="center"/>
          </w:tcPr>
          <w:p w14:paraId="7DB97575"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5</w:t>
            </w:r>
          </w:p>
        </w:tc>
        <w:tc>
          <w:tcPr>
            <w:tcW w:w="343" w:type="pct"/>
            <w:noWrap/>
            <w:vAlign w:val="center"/>
          </w:tcPr>
          <w:p w14:paraId="4EDC0150"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5</w:t>
            </w:r>
          </w:p>
        </w:tc>
        <w:tc>
          <w:tcPr>
            <w:tcW w:w="760" w:type="pct"/>
            <w:noWrap/>
            <w:vAlign w:val="center"/>
          </w:tcPr>
          <w:p w14:paraId="692B44FC"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0,764</w:t>
            </w:r>
          </w:p>
        </w:tc>
        <w:tc>
          <w:tcPr>
            <w:tcW w:w="1470" w:type="pct"/>
            <w:vAlign w:val="center"/>
          </w:tcPr>
          <w:p w14:paraId="3C02591B" w14:textId="77B02CC5"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Ovaj čimbenik ispitanici smatraju izuzetno važnim, s prosječnom ocjenom od 4,5. Dominantna ocjena je 5, što znači da su ispitanici gotovo jednoglasni u mišljenju da je dobro poznavanje regulativa ključno za uspjeh preuzimanja.</w:t>
            </w:r>
          </w:p>
          <w:p w14:paraId="4121275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Standardna devijacija pokazuje umjerenu varijabilnost, što znači da neki ispitanici nisu dali maksimalne ocjene, ali je konsenzus i dalje visok.</w:t>
            </w:r>
          </w:p>
        </w:tc>
      </w:tr>
      <w:tr w:rsidR="006571B5" w:rsidRPr="00A81B58" w14:paraId="18C03757" w14:textId="77777777" w:rsidTr="002E5B41">
        <w:trPr>
          <w:trHeight w:val="255"/>
        </w:trPr>
        <w:tc>
          <w:tcPr>
            <w:tcW w:w="484" w:type="pct"/>
            <w:vAlign w:val="center"/>
          </w:tcPr>
          <w:p w14:paraId="5E1B6F6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2</w:t>
            </w:r>
          </w:p>
        </w:tc>
        <w:tc>
          <w:tcPr>
            <w:tcW w:w="766" w:type="pct"/>
            <w:noWrap/>
            <w:vAlign w:val="center"/>
          </w:tcPr>
          <w:p w14:paraId="5D8E3C8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Sadašnja vrijednost očekivanih sinergija preuzimanja za poduzeće </w:t>
            </w:r>
            <w:r w:rsidRPr="00A81B58">
              <w:rPr>
                <w:rFonts w:ascii="Times New Roman" w:hAnsi="Times New Roman" w:cs="Times New Roman"/>
              </w:rPr>
              <w:lastRenderedPageBreak/>
              <w:t>preuzimatelja će biti veća od plaćenih premija</w:t>
            </w:r>
          </w:p>
        </w:tc>
        <w:tc>
          <w:tcPr>
            <w:tcW w:w="735" w:type="pct"/>
            <w:noWrap/>
            <w:vAlign w:val="center"/>
          </w:tcPr>
          <w:p w14:paraId="34B4ED0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4,500</w:t>
            </w:r>
          </w:p>
        </w:tc>
        <w:tc>
          <w:tcPr>
            <w:tcW w:w="441" w:type="pct"/>
            <w:noWrap/>
            <w:vAlign w:val="center"/>
          </w:tcPr>
          <w:p w14:paraId="1BF5BAD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343" w:type="pct"/>
            <w:noWrap/>
            <w:vAlign w:val="center"/>
          </w:tcPr>
          <w:p w14:paraId="3D0CFA9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35F6F0D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w:t>
            </w:r>
          </w:p>
        </w:tc>
        <w:tc>
          <w:tcPr>
            <w:tcW w:w="1470" w:type="pct"/>
            <w:vAlign w:val="center"/>
          </w:tcPr>
          <w:p w14:paraId="5D831EFB" w14:textId="3CB28B18"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4,5</w:t>
            </w:r>
            <w:r w:rsidRPr="00A81B58">
              <w:rPr>
                <w:rFonts w:ascii="Times New Roman" w:hAnsi="Times New Roman" w:cs="Times New Roman"/>
              </w:rPr>
              <w:t xml:space="preserve"> ukazuje na to da ispitanici smatraju da je ovo vrlo važan čimbenik u procesu preuzimanja.</w:t>
            </w:r>
          </w:p>
          <w:p w14:paraId="0A48751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lastRenderedPageBreak/>
              <w:t>Mod je 4, a medijan 4,5</w:t>
            </w:r>
            <w:r w:rsidRPr="00A81B58">
              <w:rPr>
                <w:rFonts w:ascii="Times New Roman" w:hAnsi="Times New Roman" w:cs="Times New Roman"/>
              </w:rPr>
              <w:t xml:space="preserve">, što znači da se većina odgovora nalazi u višem rasponu ocjena. </w:t>
            </w:r>
            <w:r w:rsidRPr="00A81B58">
              <w:rPr>
                <w:rFonts w:ascii="Times New Roman" w:hAnsi="Times New Roman" w:cs="Times New Roman"/>
                <w:bCs/>
              </w:rPr>
              <w:t>Standardna devijacija od 0,5</w:t>
            </w:r>
            <w:r w:rsidRPr="00A81B58">
              <w:rPr>
                <w:rFonts w:ascii="Times New Roman" w:hAnsi="Times New Roman" w:cs="Times New Roman"/>
              </w:rPr>
              <w:t xml:space="preserve"> sugerira da postoji visoka razina suglasnosti među ispitanicima.</w:t>
            </w:r>
          </w:p>
        </w:tc>
      </w:tr>
      <w:tr w:rsidR="006571B5" w:rsidRPr="00A81B58" w14:paraId="7190BF44" w14:textId="77777777" w:rsidTr="002E5B41">
        <w:trPr>
          <w:trHeight w:val="255"/>
        </w:trPr>
        <w:tc>
          <w:tcPr>
            <w:tcW w:w="484" w:type="pct"/>
            <w:vAlign w:val="center"/>
          </w:tcPr>
          <w:p w14:paraId="2117CB7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3</w:t>
            </w:r>
          </w:p>
        </w:tc>
        <w:tc>
          <w:tcPr>
            <w:tcW w:w="766" w:type="pct"/>
            <w:noWrap/>
            <w:vAlign w:val="center"/>
          </w:tcPr>
          <w:p w14:paraId="28E64DC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Potreba kapitalnih izdataka kod poduzeća mete (npr. potencijalni troškovi obnove nekretnina)</w:t>
            </w:r>
          </w:p>
        </w:tc>
        <w:tc>
          <w:tcPr>
            <w:tcW w:w="735" w:type="pct"/>
            <w:noWrap/>
            <w:vAlign w:val="center"/>
          </w:tcPr>
          <w:p w14:paraId="2643B80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441" w:type="pct"/>
            <w:noWrap/>
            <w:vAlign w:val="center"/>
          </w:tcPr>
          <w:p w14:paraId="0EF8608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699BEF6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1E3C7D3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1470" w:type="pct"/>
            <w:vAlign w:val="center"/>
          </w:tcPr>
          <w:p w14:paraId="119C7A4E" w14:textId="288EE62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4,333</w:t>
            </w:r>
            <w:r w:rsidRPr="00A81B58">
              <w:rPr>
                <w:rFonts w:ascii="Times New Roman" w:hAnsi="Times New Roman" w:cs="Times New Roman"/>
              </w:rPr>
              <w:t>, ovaj čimbenik je prepoznat kao važan u procesu preuzimanja.</w:t>
            </w:r>
          </w:p>
          <w:p w14:paraId="3B0CB53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xml:space="preserve">, što pokazuje da većina ispitanika smatra da treba biti uzet u obzir. </w:t>
            </w:r>
            <w:r w:rsidRPr="00A81B58">
              <w:rPr>
                <w:rFonts w:ascii="Times New Roman" w:hAnsi="Times New Roman" w:cs="Times New Roman"/>
                <w:bCs/>
              </w:rPr>
              <w:t>Standardna devijacija je 0,471</w:t>
            </w:r>
            <w:r w:rsidRPr="00A81B58">
              <w:rPr>
                <w:rFonts w:ascii="Times New Roman" w:hAnsi="Times New Roman" w:cs="Times New Roman"/>
              </w:rPr>
              <w:t>, što znači da postoji vrlo malo odstupanja među ispitanicima.</w:t>
            </w:r>
          </w:p>
        </w:tc>
      </w:tr>
      <w:tr w:rsidR="006571B5" w:rsidRPr="00A81B58" w14:paraId="37C49469" w14:textId="77777777" w:rsidTr="002E5B41">
        <w:trPr>
          <w:trHeight w:val="255"/>
        </w:trPr>
        <w:tc>
          <w:tcPr>
            <w:tcW w:w="484" w:type="pct"/>
            <w:vAlign w:val="center"/>
          </w:tcPr>
          <w:p w14:paraId="59068E0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6" w:type="pct"/>
            <w:noWrap/>
            <w:vAlign w:val="center"/>
          </w:tcPr>
          <w:p w14:paraId="6B84C71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Potencijalna financijska sinergija akvizicije (npr. niži troškovi kapitala, niza poreznu stopu)</w:t>
            </w:r>
          </w:p>
        </w:tc>
        <w:tc>
          <w:tcPr>
            <w:tcW w:w="735" w:type="pct"/>
            <w:noWrap/>
            <w:vAlign w:val="center"/>
          </w:tcPr>
          <w:p w14:paraId="5FD7926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4,167</w:t>
            </w:r>
          </w:p>
        </w:tc>
        <w:tc>
          <w:tcPr>
            <w:tcW w:w="441" w:type="pct"/>
            <w:noWrap/>
            <w:vAlign w:val="center"/>
          </w:tcPr>
          <w:p w14:paraId="6C19593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2380188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0439B79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0,687</w:t>
            </w:r>
          </w:p>
        </w:tc>
        <w:tc>
          <w:tcPr>
            <w:tcW w:w="1470" w:type="pct"/>
            <w:vAlign w:val="center"/>
          </w:tcPr>
          <w:p w14:paraId="35457081" w14:textId="0D20E048"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Prosjek od </w:t>
            </w:r>
            <w:r w:rsidRPr="00A81B58">
              <w:rPr>
                <w:rFonts w:ascii="Times New Roman" w:hAnsi="Times New Roman" w:cs="Times New Roman"/>
                <w:bCs/>
              </w:rPr>
              <w:t>4,167</w:t>
            </w:r>
            <w:r w:rsidRPr="00A81B58">
              <w:rPr>
                <w:rFonts w:ascii="Times New Roman" w:hAnsi="Times New Roman" w:cs="Times New Roman"/>
              </w:rPr>
              <w:t xml:space="preserve"> ukazuje na to da ispitanici ovaj čimbenik percipiraju kao važan.</w:t>
            </w:r>
          </w:p>
          <w:p w14:paraId="43F9CB5F" w14:textId="4148E9C5"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što znači da se većina ispitanika slaže oko ocjene.</w:t>
            </w:r>
          </w:p>
          <w:p w14:paraId="60FBD26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0,687</w:t>
            </w:r>
            <w:r w:rsidRPr="00A81B58">
              <w:rPr>
                <w:rFonts w:ascii="Times New Roman" w:hAnsi="Times New Roman" w:cs="Times New Roman"/>
              </w:rPr>
              <w:t xml:space="preserve"> pokazuje umjerenu varijabilnost odgovora.</w:t>
            </w:r>
          </w:p>
        </w:tc>
      </w:tr>
      <w:tr w:rsidR="006571B5" w:rsidRPr="00A81B58" w14:paraId="137542BA" w14:textId="77777777" w:rsidTr="002E5B41">
        <w:trPr>
          <w:trHeight w:val="255"/>
        </w:trPr>
        <w:tc>
          <w:tcPr>
            <w:tcW w:w="484" w:type="pct"/>
            <w:vAlign w:val="center"/>
          </w:tcPr>
          <w:p w14:paraId="0B7E60C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6" w:type="pct"/>
            <w:noWrap/>
            <w:vAlign w:val="center"/>
          </w:tcPr>
          <w:p w14:paraId="0A547E74"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t>Imidž turističke destinacije u kojoj posluje poduzeće meta</w:t>
            </w:r>
          </w:p>
        </w:tc>
        <w:tc>
          <w:tcPr>
            <w:tcW w:w="735" w:type="pct"/>
            <w:noWrap/>
            <w:vAlign w:val="center"/>
          </w:tcPr>
          <w:p w14:paraId="6683E3C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p w14:paraId="6CC65FF9" w14:textId="77777777" w:rsidR="006571B5" w:rsidRPr="00A81B58" w:rsidRDefault="006571B5" w:rsidP="002E5B41">
            <w:pPr>
              <w:spacing w:after="160" w:line="259" w:lineRule="auto"/>
              <w:jc w:val="center"/>
              <w:rPr>
                <w:rFonts w:ascii="Times New Roman" w:hAnsi="Times New Roman" w:cs="Times New Roman"/>
              </w:rPr>
            </w:pPr>
          </w:p>
        </w:tc>
        <w:tc>
          <w:tcPr>
            <w:tcW w:w="441" w:type="pct"/>
            <w:noWrap/>
            <w:vAlign w:val="center"/>
          </w:tcPr>
          <w:p w14:paraId="115CB80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2D0C1BF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44989FA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0,577</w:t>
            </w:r>
          </w:p>
        </w:tc>
        <w:tc>
          <w:tcPr>
            <w:tcW w:w="1470" w:type="pct"/>
            <w:vAlign w:val="center"/>
          </w:tcPr>
          <w:p w14:paraId="2E319EDD" w14:textId="253D0C93"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4,0</w:t>
            </w:r>
            <w:r w:rsidRPr="00A81B58">
              <w:rPr>
                <w:rFonts w:ascii="Times New Roman" w:hAnsi="Times New Roman" w:cs="Times New Roman"/>
              </w:rPr>
              <w:t xml:space="preserve"> pokazuje da ispitanici smatraju ovaj čimbenik važnim, ali ne presudnim. </w:t>
            </w:r>
            <w:r w:rsidRPr="00A81B58">
              <w:rPr>
                <w:rFonts w:ascii="Times New Roman" w:hAnsi="Times New Roman" w:cs="Times New Roman"/>
                <w:bCs/>
              </w:rPr>
              <w:t>Mod i medijan su 4</w:t>
            </w:r>
            <w:r w:rsidRPr="00A81B58">
              <w:rPr>
                <w:rFonts w:ascii="Times New Roman" w:hAnsi="Times New Roman" w:cs="Times New Roman"/>
              </w:rPr>
              <w:t>, što znači da se većina ispitanika slaže oko ove ocjene.</w:t>
            </w:r>
          </w:p>
          <w:p w14:paraId="40A84BE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je 0,557</w:t>
            </w:r>
            <w:r w:rsidRPr="00A81B58">
              <w:rPr>
                <w:rFonts w:ascii="Times New Roman" w:hAnsi="Times New Roman" w:cs="Times New Roman"/>
              </w:rPr>
              <w:t>, što pokazuje da postoji određena varijabilnost odgovora, ali većina se drži srednjih i viših ocjena.</w:t>
            </w:r>
          </w:p>
        </w:tc>
      </w:tr>
      <w:tr w:rsidR="006571B5" w:rsidRPr="00A81B58" w14:paraId="5CD9DE07" w14:textId="77777777" w:rsidTr="002E5B41">
        <w:trPr>
          <w:trHeight w:val="255"/>
        </w:trPr>
        <w:tc>
          <w:tcPr>
            <w:tcW w:w="484" w:type="pct"/>
            <w:vAlign w:val="center"/>
          </w:tcPr>
          <w:p w14:paraId="148D909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5</w:t>
            </w:r>
          </w:p>
        </w:tc>
        <w:tc>
          <w:tcPr>
            <w:tcW w:w="766" w:type="pct"/>
            <w:noWrap/>
            <w:vAlign w:val="center"/>
          </w:tcPr>
          <w:p w14:paraId="15EFF0F5" w14:textId="217565F3"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Lokacija poduzeća mete</w:t>
            </w:r>
          </w:p>
        </w:tc>
        <w:tc>
          <w:tcPr>
            <w:tcW w:w="735" w:type="pct"/>
            <w:noWrap/>
            <w:vAlign w:val="center"/>
          </w:tcPr>
          <w:p w14:paraId="30FB982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4,000</w:t>
            </w:r>
          </w:p>
        </w:tc>
        <w:tc>
          <w:tcPr>
            <w:tcW w:w="441" w:type="pct"/>
            <w:noWrap/>
            <w:vAlign w:val="center"/>
          </w:tcPr>
          <w:p w14:paraId="3F09165D"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343" w:type="pct"/>
            <w:noWrap/>
            <w:vAlign w:val="center"/>
          </w:tcPr>
          <w:p w14:paraId="5AABD3D6"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760" w:type="pct"/>
            <w:noWrap/>
            <w:vAlign w:val="center"/>
          </w:tcPr>
          <w:p w14:paraId="0CEAA1B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0,577</w:t>
            </w:r>
          </w:p>
        </w:tc>
        <w:tc>
          <w:tcPr>
            <w:tcW w:w="1470" w:type="pct"/>
            <w:vAlign w:val="center"/>
          </w:tcPr>
          <w:p w14:paraId="204AD5AE" w14:textId="32182D5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4,0</w:t>
            </w:r>
            <w:r w:rsidRPr="00A81B58">
              <w:rPr>
                <w:rFonts w:ascii="Times New Roman" w:hAnsi="Times New Roman" w:cs="Times New Roman"/>
              </w:rPr>
              <w:t>, lokacija poduzeća mete je percipirana kao važan čimbenik, ali ne u samom vrhu prioriteta.</w:t>
            </w:r>
          </w:p>
          <w:p w14:paraId="71F432C6" w14:textId="6490E09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što znači da većina ispitanika smatra da je ovo važan čimbenik.</w:t>
            </w:r>
          </w:p>
          <w:p w14:paraId="404CC97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0,557</w:t>
            </w:r>
            <w:r w:rsidRPr="00A81B58">
              <w:rPr>
                <w:rFonts w:ascii="Times New Roman" w:hAnsi="Times New Roman" w:cs="Times New Roman"/>
              </w:rPr>
              <w:t xml:space="preserve"> ukazuje na umjerenu varijabilnost odgovora.</w:t>
            </w:r>
          </w:p>
        </w:tc>
      </w:tr>
      <w:tr w:rsidR="006571B5" w:rsidRPr="00A81B58" w14:paraId="046B3BB3" w14:textId="77777777" w:rsidTr="002E5B41">
        <w:trPr>
          <w:trHeight w:val="255"/>
        </w:trPr>
        <w:tc>
          <w:tcPr>
            <w:tcW w:w="484" w:type="pct"/>
            <w:vAlign w:val="center"/>
          </w:tcPr>
          <w:p w14:paraId="2D279FC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6" w:type="pct"/>
            <w:noWrap/>
            <w:vAlign w:val="center"/>
          </w:tcPr>
          <w:p w14:paraId="6429DBC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Strateška povezanost između poduzeća preuzimatelja i poduzeća mete</w:t>
            </w:r>
          </w:p>
        </w:tc>
        <w:tc>
          <w:tcPr>
            <w:tcW w:w="735" w:type="pct"/>
            <w:noWrap/>
            <w:vAlign w:val="center"/>
          </w:tcPr>
          <w:p w14:paraId="34E1418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441" w:type="pct"/>
            <w:noWrap/>
            <w:vAlign w:val="center"/>
          </w:tcPr>
          <w:p w14:paraId="409AAE0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09133D4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4222948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0,577</w:t>
            </w:r>
          </w:p>
        </w:tc>
        <w:tc>
          <w:tcPr>
            <w:tcW w:w="1470" w:type="pct"/>
            <w:vAlign w:val="center"/>
          </w:tcPr>
          <w:p w14:paraId="43A7C5D2" w14:textId="2505B7B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4,0</w:t>
            </w:r>
            <w:r w:rsidRPr="00A81B58">
              <w:rPr>
                <w:rFonts w:ascii="Times New Roman" w:hAnsi="Times New Roman" w:cs="Times New Roman"/>
              </w:rPr>
              <w:t>, ovaj čimbenik je ocijenjen kao značajan, ali nije prioritetan.</w:t>
            </w:r>
          </w:p>
          <w:p w14:paraId="165CE28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xml:space="preserve">, dok </w:t>
            </w:r>
            <w:r w:rsidRPr="00A81B58">
              <w:rPr>
                <w:rFonts w:ascii="Times New Roman" w:hAnsi="Times New Roman" w:cs="Times New Roman"/>
                <w:bCs/>
              </w:rPr>
              <w:t>standardna devijacija od 0,577</w:t>
            </w:r>
            <w:r w:rsidRPr="00A81B58">
              <w:rPr>
                <w:rFonts w:ascii="Times New Roman" w:hAnsi="Times New Roman" w:cs="Times New Roman"/>
              </w:rPr>
              <w:t xml:space="preserve"> pokazuje umjerenu varijabilnost u odgovorima.</w:t>
            </w:r>
          </w:p>
        </w:tc>
      </w:tr>
      <w:tr w:rsidR="006571B5" w:rsidRPr="00A81B58" w14:paraId="78AB3FBC" w14:textId="77777777" w:rsidTr="002E5B41">
        <w:trPr>
          <w:trHeight w:val="255"/>
        </w:trPr>
        <w:tc>
          <w:tcPr>
            <w:tcW w:w="484" w:type="pct"/>
            <w:vAlign w:val="center"/>
          </w:tcPr>
          <w:p w14:paraId="20DDEFA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6" w:type="pct"/>
            <w:noWrap/>
            <w:vAlign w:val="center"/>
          </w:tcPr>
          <w:p w14:paraId="7D3FF19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Potencijalna upravljačka sinergija (tj. poboljšani konkurentni položaj poduzeća mete prijenosom upravljačkog znanja poduzeća preuzimatelja)</w:t>
            </w:r>
          </w:p>
        </w:tc>
        <w:tc>
          <w:tcPr>
            <w:tcW w:w="735" w:type="pct"/>
            <w:noWrap/>
            <w:vAlign w:val="center"/>
          </w:tcPr>
          <w:p w14:paraId="192548B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441" w:type="pct"/>
            <w:noWrap/>
            <w:vAlign w:val="center"/>
          </w:tcPr>
          <w:p w14:paraId="46625F6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46F1E51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48EF009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0,577</w:t>
            </w:r>
          </w:p>
        </w:tc>
        <w:tc>
          <w:tcPr>
            <w:tcW w:w="1470" w:type="pct"/>
            <w:vAlign w:val="center"/>
          </w:tcPr>
          <w:p w14:paraId="13F79600" w14:textId="676672D3"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4,0</w:t>
            </w:r>
            <w:r w:rsidRPr="00A81B58">
              <w:rPr>
                <w:rFonts w:ascii="Times New Roman" w:hAnsi="Times New Roman" w:cs="Times New Roman"/>
              </w:rPr>
              <w:t>, ovaj čimbenik je ocijenjen kao značajan, ali nije u samom vrhu prioriteta.</w:t>
            </w:r>
          </w:p>
          <w:p w14:paraId="1C42475B" w14:textId="604FE616"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što znači da većina ispitanika ima sličan stav.</w:t>
            </w:r>
          </w:p>
          <w:p w14:paraId="35B8413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0,577</w:t>
            </w:r>
            <w:r w:rsidRPr="00A81B58">
              <w:rPr>
                <w:rFonts w:ascii="Times New Roman" w:hAnsi="Times New Roman" w:cs="Times New Roman"/>
              </w:rPr>
              <w:t xml:space="preserve"> sugerira relativno stabilne odgovore bez velikih odstupanja.</w:t>
            </w:r>
          </w:p>
        </w:tc>
      </w:tr>
      <w:tr w:rsidR="006571B5" w:rsidRPr="00A81B58" w14:paraId="39749284" w14:textId="77777777" w:rsidTr="002E5B41">
        <w:trPr>
          <w:trHeight w:val="255"/>
        </w:trPr>
        <w:tc>
          <w:tcPr>
            <w:tcW w:w="484" w:type="pct"/>
            <w:vAlign w:val="center"/>
          </w:tcPr>
          <w:p w14:paraId="5CB8FE3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6" w:type="pct"/>
            <w:noWrap/>
            <w:vAlign w:val="center"/>
          </w:tcPr>
          <w:p w14:paraId="3FFC710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Cijena ponude (akvizicije) temelji se na konkurentnom položaju poduzeća mete u hotelskom sektoru</w:t>
            </w:r>
          </w:p>
        </w:tc>
        <w:tc>
          <w:tcPr>
            <w:tcW w:w="735" w:type="pct"/>
            <w:noWrap/>
            <w:vAlign w:val="center"/>
          </w:tcPr>
          <w:p w14:paraId="5289ABA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441" w:type="pct"/>
            <w:noWrap/>
            <w:vAlign w:val="center"/>
          </w:tcPr>
          <w:p w14:paraId="068A2A4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7D841FF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50CAEF1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0,577</w:t>
            </w:r>
          </w:p>
        </w:tc>
        <w:tc>
          <w:tcPr>
            <w:tcW w:w="1470" w:type="pct"/>
            <w:vAlign w:val="center"/>
          </w:tcPr>
          <w:p w14:paraId="14442825" w14:textId="743AC73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4,0</w:t>
            </w:r>
            <w:r w:rsidRPr="00A81B58">
              <w:rPr>
                <w:rFonts w:ascii="Times New Roman" w:hAnsi="Times New Roman" w:cs="Times New Roman"/>
              </w:rPr>
              <w:t>, ovaj čimbenik se smatra značajnim, ali ne ključnim.</w:t>
            </w:r>
          </w:p>
          <w:p w14:paraId="15C4C98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xml:space="preserve">, dok </w:t>
            </w:r>
            <w:r w:rsidRPr="00A81B58">
              <w:rPr>
                <w:rFonts w:ascii="Times New Roman" w:hAnsi="Times New Roman" w:cs="Times New Roman"/>
                <w:bCs/>
              </w:rPr>
              <w:t>standardna devijacija od 0,577</w:t>
            </w:r>
            <w:r w:rsidRPr="00A81B58">
              <w:rPr>
                <w:rFonts w:ascii="Times New Roman" w:hAnsi="Times New Roman" w:cs="Times New Roman"/>
              </w:rPr>
              <w:t xml:space="preserve"> sugerira umjereno slaganje među ispitanicima.</w:t>
            </w:r>
          </w:p>
        </w:tc>
      </w:tr>
      <w:tr w:rsidR="006571B5" w:rsidRPr="00A81B58" w14:paraId="16F1326C" w14:textId="77777777" w:rsidTr="002E5B41">
        <w:trPr>
          <w:trHeight w:val="255"/>
        </w:trPr>
        <w:tc>
          <w:tcPr>
            <w:tcW w:w="484" w:type="pct"/>
            <w:vAlign w:val="center"/>
          </w:tcPr>
          <w:p w14:paraId="4825B48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5</w:t>
            </w:r>
          </w:p>
        </w:tc>
        <w:tc>
          <w:tcPr>
            <w:tcW w:w="766" w:type="pct"/>
            <w:noWrap/>
            <w:vAlign w:val="center"/>
          </w:tcPr>
          <w:p w14:paraId="698CAD4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Kapitalna strukturu i troškovi kapitala poduzeća mete</w:t>
            </w:r>
          </w:p>
        </w:tc>
        <w:tc>
          <w:tcPr>
            <w:tcW w:w="735" w:type="pct"/>
            <w:noWrap/>
            <w:vAlign w:val="center"/>
          </w:tcPr>
          <w:p w14:paraId="54E0B37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441" w:type="pct"/>
            <w:noWrap/>
            <w:vAlign w:val="center"/>
          </w:tcPr>
          <w:p w14:paraId="4B51D64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1D96AA9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760" w:type="pct"/>
            <w:noWrap/>
            <w:vAlign w:val="center"/>
          </w:tcPr>
          <w:p w14:paraId="381BA7F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0,816</w:t>
            </w:r>
          </w:p>
        </w:tc>
        <w:tc>
          <w:tcPr>
            <w:tcW w:w="1470" w:type="pct"/>
            <w:vAlign w:val="center"/>
          </w:tcPr>
          <w:p w14:paraId="18089125" w14:textId="0DFA428F"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4,0</w:t>
            </w:r>
            <w:r w:rsidRPr="00A81B58">
              <w:rPr>
                <w:rFonts w:ascii="Times New Roman" w:hAnsi="Times New Roman" w:cs="Times New Roman"/>
              </w:rPr>
              <w:t xml:space="preserve"> pokazuje da ispitanici smatraju ovaj čimbenik relevantnim.</w:t>
            </w:r>
          </w:p>
          <w:p w14:paraId="1BB4F210" w14:textId="54D821DE"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je 3, dok je medijan 4</w:t>
            </w:r>
            <w:r w:rsidRPr="00A81B58">
              <w:rPr>
                <w:rFonts w:ascii="Times New Roman" w:hAnsi="Times New Roman" w:cs="Times New Roman"/>
              </w:rPr>
              <w:t>, što ukazuje na blagu podjelu mišljenja.</w:t>
            </w:r>
          </w:p>
          <w:p w14:paraId="07B71D7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0,816</w:t>
            </w:r>
            <w:r w:rsidRPr="00A81B58">
              <w:rPr>
                <w:rFonts w:ascii="Times New Roman" w:hAnsi="Times New Roman" w:cs="Times New Roman"/>
              </w:rPr>
              <w:t xml:space="preserve"> sugerira nešto veću varijabilnost u odgovorima.</w:t>
            </w:r>
          </w:p>
        </w:tc>
      </w:tr>
      <w:tr w:rsidR="006571B5" w:rsidRPr="00A81B58" w14:paraId="09C33956" w14:textId="77777777" w:rsidTr="002E5B41">
        <w:trPr>
          <w:trHeight w:val="255"/>
        </w:trPr>
        <w:tc>
          <w:tcPr>
            <w:tcW w:w="484" w:type="pct"/>
            <w:vAlign w:val="center"/>
          </w:tcPr>
          <w:p w14:paraId="3E281FD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6" w:type="pct"/>
            <w:noWrap/>
            <w:vAlign w:val="center"/>
          </w:tcPr>
          <w:p w14:paraId="245972D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Način akvizicije (npr. spajanje, neprijateljsko preuzimanje, itd.)</w:t>
            </w:r>
          </w:p>
        </w:tc>
        <w:tc>
          <w:tcPr>
            <w:tcW w:w="735" w:type="pct"/>
            <w:noWrap/>
            <w:vAlign w:val="center"/>
          </w:tcPr>
          <w:p w14:paraId="16965FE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441" w:type="pct"/>
            <w:noWrap/>
            <w:vAlign w:val="center"/>
          </w:tcPr>
          <w:p w14:paraId="21E98ED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343" w:type="pct"/>
            <w:noWrap/>
            <w:vAlign w:val="center"/>
          </w:tcPr>
          <w:p w14:paraId="181A706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760" w:type="pct"/>
            <w:noWrap/>
            <w:vAlign w:val="center"/>
          </w:tcPr>
          <w:p w14:paraId="495606A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1,155</w:t>
            </w:r>
          </w:p>
        </w:tc>
        <w:tc>
          <w:tcPr>
            <w:tcW w:w="1470" w:type="pct"/>
            <w:vAlign w:val="center"/>
          </w:tcPr>
          <w:p w14:paraId="04498D69" w14:textId="02982B2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4,0</w:t>
            </w:r>
            <w:r w:rsidRPr="00A81B58">
              <w:rPr>
                <w:rFonts w:ascii="Times New Roman" w:hAnsi="Times New Roman" w:cs="Times New Roman"/>
              </w:rPr>
              <w:t xml:space="preserve"> ukazuje na to da je način akvizicije važan čimbenik.</w:t>
            </w:r>
          </w:p>
          <w:p w14:paraId="14C2A1B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je 5, dok je medijan 4,5</w:t>
            </w:r>
            <w:r w:rsidRPr="00A81B58">
              <w:rPr>
                <w:rFonts w:ascii="Times New Roman" w:hAnsi="Times New Roman" w:cs="Times New Roman"/>
              </w:rPr>
              <w:t xml:space="preserve">, što sugerira da je dio ispitanika ovaj čimbenik ocijenio vrlo visoko. </w:t>
            </w:r>
            <w:r w:rsidRPr="00A81B58">
              <w:rPr>
                <w:rFonts w:ascii="Times New Roman" w:hAnsi="Times New Roman" w:cs="Times New Roman"/>
                <w:bCs/>
              </w:rPr>
              <w:t>Standardna devijacija iznosi 1,155</w:t>
            </w:r>
            <w:r w:rsidRPr="00A81B58">
              <w:rPr>
                <w:rFonts w:ascii="Times New Roman" w:hAnsi="Times New Roman" w:cs="Times New Roman"/>
              </w:rPr>
              <w:t>, što ukazuje na značajnu varijabilnost odgovora – neki ispitanici su mu dali visoke, a neki niže ocjene.</w:t>
            </w:r>
          </w:p>
        </w:tc>
      </w:tr>
      <w:tr w:rsidR="006571B5" w:rsidRPr="00A81B58" w14:paraId="4912FE73" w14:textId="77777777" w:rsidTr="002E5B41">
        <w:trPr>
          <w:trHeight w:val="255"/>
        </w:trPr>
        <w:tc>
          <w:tcPr>
            <w:tcW w:w="484" w:type="pct"/>
            <w:vAlign w:val="center"/>
          </w:tcPr>
          <w:p w14:paraId="217B46C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6</w:t>
            </w:r>
          </w:p>
        </w:tc>
        <w:tc>
          <w:tcPr>
            <w:tcW w:w="766" w:type="pct"/>
            <w:noWrap/>
            <w:vAlign w:val="center"/>
          </w:tcPr>
          <w:p w14:paraId="1156EC0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Trend glavnih hotelskih pokazatelje uspješnosti poduzeća mete (popunjenost, RevPAR, slobodni novčani tijek i ADR)</w:t>
            </w:r>
          </w:p>
        </w:tc>
        <w:tc>
          <w:tcPr>
            <w:tcW w:w="735" w:type="pct"/>
            <w:noWrap/>
            <w:vAlign w:val="center"/>
          </w:tcPr>
          <w:p w14:paraId="4EAA8B8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3,833</w:t>
            </w:r>
          </w:p>
        </w:tc>
        <w:tc>
          <w:tcPr>
            <w:tcW w:w="441" w:type="pct"/>
            <w:noWrap/>
            <w:vAlign w:val="center"/>
          </w:tcPr>
          <w:p w14:paraId="7FB8C8C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3,5</w:t>
            </w:r>
          </w:p>
        </w:tc>
        <w:tc>
          <w:tcPr>
            <w:tcW w:w="343" w:type="pct"/>
            <w:noWrap/>
            <w:vAlign w:val="center"/>
          </w:tcPr>
          <w:p w14:paraId="6EFCA18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760" w:type="pct"/>
            <w:noWrap/>
            <w:vAlign w:val="center"/>
          </w:tcPr>
          <w:p w14:paraId="6CCEEE9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0,898</w:t>
            </w:r>
          </w:p>
        </w:tc>
        <w:tc>
          <w:tcPr>
            <w:tcW w:w="1470" w:type="pct"/>
            <w:vAlign w:val="center"/>
          </w:tcPr>
          <w:p w14:paraId="59A442F7" w14:textId="22BC210E"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Prosjek iznosi </w:t>
            </w:r>
            <w:r w:rsidRPr="00A81B58">
              <w:rPr>
                <w:rFonts w:ascii="Times New Roman" w:hAnsi="Times New Roman" w:cs="Times New Roman"/>
                <w:bCs/>
              </w:rPr>
              <w:t>3,833</w:t>
            </w:r>
            <w:r w:rsidRPr="00A81B58">
              <w:rPr>
                <w:rFonts w:ascii="Times New Roman" w:hAnsi="Times New Roman" w:cs="Times New Roman"/>
              </w:rPr>
              <w:t>, što pokazuje da su ispitanici svjesni važnosti ovog pokazatelja, ali nije prioritetan.</w:t>
            </w:r>
          </w:p>
          <w:p w14:paraId="0DA9E06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bCs/>
              </w:rPr>
              <w:t>Mod je 3</w:t>
            </w:r>
            <w:r w:rsidRPr="00A81B58">
              <w:rPr>
                <w:rFonts w:ascii="Times New Roman" w:hAnsi="Times New Roman" w:cs="Times New Roman"/>
              </w:rPr>
              <w:t xml:space="preserve">, što znači da su neki ispitanici ocijenili ovaj pokazatelj niže. </w:t>
            </w:r>
            <w:r w:rsidRPr="00A81B58">
              <w:rPr>
                <w:rFonts w:ascii="Times New Roman" w:hAnsi="Times New Roman" w:cs="Times New Roman"/>
                <w:bCs/>
              </w:rPr>
              <w:t>Medijan iznosi 3,5</w:t>
            </w:r>
            <w:r w:rsidRPr="00A81B58">
              <w:rPr>
                <w:rFonts w:ascii="Times New Roman" w:hAnsi="Times New Roman" w:cs="Times New Roman"/>
              </w:rPr>
              <w:t xml:space="preserve">, dok </w:t>
            </w:r>
            <w:r w:rsidRPr="00A81B58">
              <w:rPr>
                <w:rFonts w:ascii="Times New Roman" w:hAnsi="Times New Roman" w:cs="Times New Roman"/>
                <w:bCs/>
              </w:rPr>
              <w:t>standardna devijacija od 0,898</w:t>
            </w:r>
            <w:r w:rsidRPr="00A81B58">
              <w:rPr>
                <w:rFonts w:ascii="Times New Roman" w:hAnsi="Times New Roman" w:cs="Times New Roman"/>
              </w:rPr>
              <w:t xml:space="preserve"> pokazuje da postoje podijeljena mišljenja među ispitanicima.</w:t>
            </w:r>
          </w:p>
        </w:tc>
      </w:tr>
      <w:tr w:rsidR="006571B5" w:rsidRPr="00A81B58" w14:paraId="3CEE0CE0" w14:textId="77777777" w:rsidTr="002E5B41">
        <w:trPr>
          <w:trHeight w:val="255"/>
        </w:trPr>
        <w:tc>
          <w:tcPr>
            <w:tcW w:w="484" w:type="pct"/>
            <w:vAlign w:val="center"/>
          </w:tcPr>
          <w:p w14:paraId="78B8679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6</w:t>
            </w:r>
          </w:p>
        </w:tc>
        <w:tc>
          <w:tcPr>
            <w:tcW w:w="766" w:type="pct"/>
            <w:noWrap/>
            <w:vAlign w:val="center"/>
          </w:tcPr>
          <w:p w14:paraId="556B796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Trend glavnih računovodstvenih pokazatelja uspješnosti poduzeća mete</w:t>
            </w:r>
          </w:p>
        </w:tc>
        <w:tc>
          <w:tcPr>
            <w:tcW w:w="735" w:type="pct"/>
            <w:noWrap/>
            <w:vAlign w:val="center"/>
          </w:tcPr>
          <w:p w14:paraId="171C509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3,833</w:t>
            </w:r>
          </w:p>
        </w:tc>
        <w:tc>
          <w:tcPr>
            <w:tcW w:w="441" w:type="pct"/>
            <w:noWrap/>
            <w:vAlign w:val="center"/>
          </w:tcPr>
          <w:p w14:paraId="344C55D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343" w:type="pct"/>
            <w:noWrap/>
            <w:vAlign w:val="center"/>
          </w:tcPr>
          <w:p w14:paraId="6F871B8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760" w:type="pct"/>
            <w:noWrap/>
            <w:vAlign w:val="center"/>
          </w:tcPr>
          <w:p w14:paraId="2D373FB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0,943</w:t>
            </w:r>
          </w:p>
        </w:tc>
        <w:tc>
          <w:tcPr>
            <w:tcW w:w="1470" w:type="pct"/>
            <w:vAlign w:val="center"/>
          </w:tcPr>
          <w:p w14:paraId="3B94222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Ovaj čimbenik ima nižu prosječnu ocjenu </w:t>
            </w:r>
            <w:r w:rsidRPr="00A81B58">
              <w:rPr>
                <w:rFonts w:ascii="Times New Roman" w:hAnsi="Times New Roman" w:cs="Times New Roman"/>
                <w:bCs/>
              </w:rPr>
              <w:t>3,333</w:t>
            </w:r>
            <w:r w:rsidRPr="00A81B58">
              <w:rPr>
                <w:rFonts w:ascii="Times New Roman" w:hAnsi="Times New Roman" w:cs="Times New Roman"/>
              </w:rPr>
              <w:t xml:space="preserve">, što znači da ispitanici ne smatraju da je presudan. </w:t>
            </w:r>
            <w:r w:rsidRPr="00A81B58">
              <w:rPr>
                <w:rFonts w:ascii="Times New Roman" w:hAnsi="Times New Roman" w:cs="Times New Roman"/>
                <w:bCs/>
              </w:rPr>
              <w:t>Mod i medijan su 3</w:t>
            </w:r>
            <w:r w:rsidRPr="00A81B58">
              <w:rPr>
                <w:rFonts w:ascii="Times New Roman" w:hAnsi="Times New Roman" w:cs="Times New Roman"/>
              </w:rPr>
              <w:t xml:space="preserve">, što znači da se većina ispitanika slaže da nije u vrhu prioriteta. </w:t>
            </w:r>
            <w:r w:rsidRPr="00A81B58">
              <w:rPr>
                <w:rFonts w:ascii="Times New Roman" w:hAnsi="Times New Roman" w:cs="Times New Roman"/>
                <w:bCs/>
              </w:rPr>
              <w:t xml:space="preserve">Standardna devijacija od </w:t>
            </w:r>
            <w:r w:rsidRPr="00A81B58">
              <w:rPr>
                <w:rFonts w:ascii="Times New Roman" w:hAnsi="Times New Roman" w:cs="Times New Roman"/>
                <w:bCs/>
              </w:rPr>
              <w:lastRenderedPageBreak/>
              <w:t>0,943</w:t>
            </w:r>
            <w:r w:rsidRPr="00A81B58">
              <w:rPr>
                <w:rFonts w:ascii="Times New Roman" w:hAnsi="Times New Roman" w:cs="Times New Roman"/>
              </w:rPr>
              <w:t xml:space="preserve"> sugerira značajnu varijabilnost u odgovorima.</w:t>
            </w:r>
          </w:p>
        </w:tc>
      </w:tr>
      <w:tr w:rsidR="006571B5" w:rsidRPr="00A81B58" w14:paraId="6C4E43BE" w14:textId="77777777" w:rsidTr="002E5B41">
        <w:trPr>
          <w:trHeight w:val="255"/>
        </w:trPr>
        <w:tc>
          <w:tcPr>
            <w:tcW w:w="484" w:type="pct"/>
            <w:vAlign w:val="center"/>
          </w:tcPr>
          <w:p w14:paraId="1370D2C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7</w:t>
            </w:r>
          </w:p>
        </w:tc>
        <w:tc>
          <w:tcPr>
            <w:tcW w:w="766" w:type="pct"/>
            <w:noWrap/>
            <w:vAlign w:val="center"/>
          </w:tcPr>
          <w:p w14:paraId="6A5206B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Iznos akvizicijske premije</w:t>
            </w:r>
          </w:p>
        </w:tc>
        <w:tc>
          <w:tcPr>
            <w:tcW w:w="735" w:type="pct"/>
            <w:noWrap/>
            <w:vAlign w:val="center"/>
          </w:tcPr>
          <w:p w14:paraId="67D9453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3,667</w:t>
            </w:r>
          </w:p>
        </w:tc>
        <w:tc>
          <w:tcPr>
            <w:tcW w:w="441" w:type="pct"/>
            <w:noWrap/>
            <w:vAlign w:val="center"/>
          </w:tcPr>
          <w:p w14:paraId="154156E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06AFA26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1AF7068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1470" w:type="pct"/>
            <w:vAlign w:val="center"/>
          </w:tcPr>
          <w:p w14:paraId="11C1C468" w14:textId="264CDE2C"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Prosjek od </w:t>
            </w:r>
            <w:r w:rsidRPr="00A81B58">
              <w:rPr>
                <w:rFonts w:ascii="Times New Roman" w:hAnsi="Times New Roman" w:cs="Times New Roman"/>
                <w:bCs/>
              </w:rPr>
              <w:t>3,667</w:t>
            </w:r>
            <w:r w:rsidRPr="00A81B58">
              <w:rPr>
                <w:rFonts w:ascii="Times New Roman" w:hAnsi="Times New Roman" w:cs="Times New Roman"/>
              </w:rPr>
              <w:t xml:space="preserve"> pokazuje da ovaj čimbenik nije percipiran kao ključan, ali ga ispitanici ipak smatraju značajnim.</w:t>
            </w:r>
          </w:p>
          <w:p w14:paraId="51988413" w14:textId="6DF3FE6C"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što znači da je to najčešće dodijeljena ocjena.</w:t>
            </w:r>
          </w:p>
          <w:p w14:paraId="630FB2E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0,471</w:t>
            </w:r>
            <w:r w:rsidRPr="00A81B58">
              <w:rPr>
                <w:rFonts w:ascii="Times New Roman" w:hAnsi="Times New Roman" w:cs="Times New Roman"/>
              </w:rPr>
              <w:t xml:space="preserve"> ukazuje na umjerenu varijabilnost odgovora, ali bez velikih odstupanja.</w:t>
            </w:r>
          </w:p>
        </w:tc>
      </w:tr>
      <w:tr w:rsidR="006571B5" w:rsidRPr="00A81B58" w14:paraId="44C8D842" w14:textId="77777777" w:rsidTr="002E5B41">
        <w:trPr>
          <w:trHeight w:val="255"/>
        </w:trPr>
        <w:tc>
          <w:tcPr>
            <w:tcW w:w="484" w:type="pct"/>
            <w:vAlign w:val="center"/>
          </w:tcPr>
          <w:p w14:paraId="1189C05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8</w:t>
            </w:r>
          </w:p>
        </w:tc>
        <w:tc>
          <w:tcPr>
            <w:tcW w:w="766" w:type="pct"/>
            <w:noWrap/>
            <w:vAlign w:val="center"/>
          </w:tcPr>
          <w:p w14:paraId="6CA4AE3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Globalna ekonomska situacija</w:t>
            </w:r>
          </w:p>
        </w:tc>
        <w:tc>
          <w:tcPr>
            <w:tcW w:w="735" w:type="pct"/>
            <w:noWrap/>
            <w:vAlign w:val="center"/>
          </w:tcPr>
          <w:p w14:paraId="04BD0B7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3,500</w:t>
            </w:r>
          </w:p>
        </w:tc>
        <w:tc>
          <w:tcPr>
            <w:tcW w:w="441" w:type="pct"/>
            <w:noWrap/>
            <w:vAlign w:val="center"/>
          </w:tcPr>
          <w:p w14:paraId="636D9BC9"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w:t>
            </w:r>
          </w:p>
        </w:tc>
        <w:tc>
          <w:tcPr>
            <w:tcW w:w="343" w:type="pct"/>
            <w:noWrap/>
            <w:vAlign w:val="center"/>
          </w:tcPr>
          <w:p w14:paraId="7EFE59C3"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w:t>
            </w:r>
          </w:p>
        </w:tc>
        <w:tc>
          <w:tcPr>
            <w:tcW w:w="760" w:type="pct"/>
            <w:noWrap/>
            <w:vAlign w:val="center"/>
          </w:tcPr>
          <w:p w14:paraId="7EC695AE"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0,500</w:t>
            </w:r>
          </w:p>
        </w:tc>
        <w:tc>
          <w:tcPr>
            <w:tcW w:w="1470" w:type="pct"/>
            <w:vAlign w:val="center"/>
          </w:tcPr>
          <w:p w14:paraId="2369408E" w14:textId="4474572A"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3,5</w:t>
            </w:r>
            <w:r w:rsidRPr="00A81B58">
              <w:rPr>
                <w:rFonts w:ascii="Times New Roman" w:hAnsi="Times New Roman" w:cs="Times New Roman"/>
              </w:rPr>
              <w:t xml:space="preserve"> pokazuje da ispitanici prepoznaju važnost ovog čimbenika, ali ga ne smatraju ključnim.</w:t>
            </w:r>
          </w:p>
          <w:p w14:paraId="17DE434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bCs/>
              </w:rPr>
              <w:t>Mod je 3, dok je medijan 3,5</w:t>
            </w:r>
            <w:r w:rsidRPr="00A81B58">
              <w:rPr>
                <w:rFonts w:ascii="Times New Roman" w:hAnsi="Times New Roman" w:cs="Times New Roman"/>
              </w:rPr>
              <w:t xml:space="preserve">, što sugerira da su odgovori relativno stabilni. </w:t>
            </w:r>
            <w:r w:rsidRPr="00A81B58">
              <w:rPr>
                <w:rFonts w:ascii="Times New Roman" w:hAnsi="Times New Roman" w:cs="Times New Roman"/>
                <w:bCs/>
              </w:rPr>
              <w:t>Standardna devijacija od 0,5</w:t>
            </w:r>
            <w:r w:rsidRPr="00A81B58">
              <w:rPr>
                <w:rFonts w:ascii="Times New Roman" w:hAnsi="Times New Roman" w:cs="Times New Roman"/>
              </w:rPr>
              <w:t xml:space="preserve"> ukazuje na to da su odgovori prilično ujednačeni.</w:t>
            </w:r>
          </w:p>
        </w:tc>
      </w:tr>
      <w:tr w:rsidR="006571B5" w:rsidRPr="00A81B58" w14:paraId="6C3FD4EE" w14:textId="77777777" w:rsidTr="002E5B41">
        <w:trPr>
          <w:trHeight w:val="255"/>
        </w:trPr>
        <w:tc>
          <w:tcPr>
            <w:tcW w:w="484" w:type="pct"/>
            <w:vAlign w:val="center"/>
          </w:tcPr>
          <w:p w14:paraId="681D3C6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8</w:t>
            </w:r>
          </w:p>
        </w:tc>
        <w:tc>
          <w:tcPr>
            <w:tcW w:w="766" w:type="pct"/>
            <w:noWrap/>
            <w:vAlign w:val="center"/>
          </w:tcPr>
          <w:p w14:paraId="44A35938"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t>Preliminarni razgovori u poduzeću meti</w:t>
            </w:r>
          </w:p>
        </w:tc>
        <w:tc>
          <w:tcPr>
            <w:tcW w:w="735" w:type="pct"/>
            <w:noWrap/>
            <w:vAlign w:val="center"/>
          </w:tcPr>
          <w:p w14:paraId="49A2815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3,500</w:t>
            </w:r>
          </w:p>
        </w:tc>
        <w:tc>
          <w:tcPr>
            <w:tcW w:w="441" w:type="pct"/>
            <w:noWrap/>
            <w:vAlign w:val="center"/>
          </w:tcPr>
          <w:p w14:paraId="7A49228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62BE5DC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3C21435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0,764</w:t>
            </w:r>
          </w:p>
        </w:tc>
        <w:tc>
          <w:tcPr>
            <w:tcW w:w="1470" w:type="pct"/>
            <w:vAlign w:val="center"/>
          </w:tcPr>
          <w:p w14:paraId="6321071E" w14:textId="3E40CFAF"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3,5</w:t>
            </w:r>
            <w:r w:rsidRPr="00A81B58">
              <w:rPr>
                <w:rFonts w:ascii="Times New Roman" w:hAnsi="Times New Roman" w:cs="Times New Roman"/>
              </w:rPr>
              <w:t>, ovaj čimbenik je prepoznat kao značajan, ali ne presudan.</w:t>
            </w:r>
          </w:p>
          <w:p w14:paraId="051AF1AE" w14:textId="576C35DA"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i medijan su 4</w:t>
            </w:r>
            <w:r w:rsidRPr="00A81B58">
              <w:rPr>
                <w:rFonts w:ascii="Times New Roman" w:hAnsi="Times New Roman" w:cs="Times New Roman"/>
              </w:rPr>
              <w:t>, što znači da je većina ispitanika dodijelila ovu ocjenu.</w:t>
            </w:r>
          </w:p>
          <w:p w14:paraId="75B6434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iznosi 0,764</w:t>
            </w:r>
            <w:r w:rsidRPr="00A81B58">
              <w:rPr>
                <w:rFonts w:ascii="Times New Roman" w:hAnsi="Times New Roman" w:cs="Times New Roman"/>
              </w:rPr>
              <w:t>, što sugerira određenu raznolikost u odgovorima.</w:t>
            </w:r>
          </w:p>
        </w:tc>
      </w:tr>
      <w:tr w:rsidR="006571B5" w:rsidRPr="00A81B58" w14:paraId="21A7A237" w14:textId="77777777" w:rsidTr="002E5B41">
        <w:trPr>
          <w:trHeight w:val="255"/>
        </w:trPr>
        <w:tc>
          <w:tcPr>
            <w:tcW w:w="484" w:type="pct"/>
            <w:vAlign w:val="center"/>
          </w:tcPr>
          <w:p w14:paraId="67D89C1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8</w:t>
            </w:r>
          </w:p>
        </w:tc>
        <w:tc>
          <w:tcPr>
            <w:tcW w:w="766" w:type="pct"/>
            <w:noWrap/>
            <w:vAlign w:val="center"/>
          </w:tcPr>
          <w:p w14:paraId="7BE8A19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Identifikacija karakterističnih aspekata organizacijske kulture mete u usporedbi s poduzećem </w:t>
            </w:r>
            <w:r w:rsidRPr="00A81B58">
              <w:rPr>
                <w:rFonts w:ascii="Times New Roman" w:hAnsi="Times New Roman" w:cs="Times New Roman"/>
              </w:rPr>
              <w:lastRenderedPageBreak/>
              <w:t>preuzimateljem</w:t>
            </w:r>
          </w:p>
        </w:tc>
        <w:tc>
          <w:tcPr>
            <w:tcW w:w="735" w:type="pct"/>
            <w:noWrap/>
            <w:vAlign w:val="center"/>
          </w:tcPr>
          <w:p w14:paraId="268B7D5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3,500</w:t>
            </w:r>
          </w:p>
        </w:tc>
        <w:tc>
          <w:tcPr>
            <w:tcW w:w="441" w:type="pct"/>
            <w:noWrap/>
            <w:vAlign w:val="center"/>
          </w:tcPr>
          <w:p w14:paraId="50542CA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43" w:type="pct"/>
            <w:noWrap/>
            <w:vAlign w:val="center"/>
          </w:tcPr>
          <w:p w14:paraId="4842B9E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760" w:type="pct"/>
            <w:noWrap/>
            <w:vAlign w:val="center"/>
          </w:tcPr>
          <w:p w14:paraId="42E35AB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0,764</w:t>
            </w:r>
          </w:p>
        </w:tc>
        <w:tc>
          <w:tcPr>
            <w:tcW w:w="1470" w:type="pct"/>
            <w:vAlign w:val="center"/>
          </w:tcPr>
          <w:p w14:paraId="271CF3DB" w14:textId="6D5ADEC2"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3,5</w:t>
            </w:r>
            <w:r w:rsidRPr="00A81B58">
              <w:rPr>
                <w:rFonts w:ascii="Times New Roman" w:hAnsi="Times New Roman" w:cs="Times New Roman"/>
              </w:rPr>
              <w:t xml:space="preserve"> sugerira da ispitanici ovaj čimbenik ne smatraju presudnim.</w:t>
            </w:r>
          </w:p>
          <w:p w14:paraId="1CC3E15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je 4, a medijan također 4</w:t>
            </w:r>
            <w:r w:rsidRPr="00A81B58">
              <w:rPr>
                <w:rFonts w:ascii="Times New Roman" w:hAnsi="Times New Roman" w:cs="Times New Roman"/>
              </w:rPr>
              <w:t xml:space="preserve">, što znači da se većina odgovora nalazi u srednjem rasponu. </w:t>
            </w:r>
            <w:r w:rsidRPr="00A81B58">
              <w:rPr>
                <w:rFonts w:ascii="Times New Roman" w:hAnsi="Times New Roman" w:cs="Times New Roman"/>
                <w:bCs/>
              </w:rPr>
              <w:t xml:space="preserve">Standardna </w:t>
            </w:r>
            <w:r w:rsidRPr="00A81B58">
              <w:rPr>
                <w:rFonts w:ascii="Times New Roman" w:hAnsi="Times New Roman" w:cs="Times New Roman"/>
                <w:bCs/>
              </w:rPr>
              <w:lastRenderedPageBreak/>
              <w:t>devijacija od 0,764</w:t>
            </w:r>
            <w:r w:rsidRPr="00A81B58">
              <w:rPr>
                <w:rFonts w:ascii="Times New Roman" w:hAnsi="Times New Roman" w:cs="Times New Roman"/>
              </w:rPr>
              <w:t xml:space="preserve"> ukazuje na nešto veću varijabilnost odgovora.</w:t>
            </w:r>
          </w:p>
        </w:tc>
      </w:tr>
      <w:tr w:rsidR="006571B5" w:rsidRPr="00A81B58" w14:paraId="14ED4346" w14:textId="77777777" w:rsidTr="002E5B41">
        <w:trPr>
          <w:trHeight w:val="255"/>
        </w:trPr>
        <w:tc>
          <w:tcPr>
            <w:tcW w:w="484" w:type="pct"/>
            <w:vAlign w:val="center"/>
          </w:tcPr>
          <w:p w14:paraId="3706DDE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8</w:t>
            </w:r>
          </w:p>
        </w:tc>
        <w:tc>
          <w:tcPr>
            <w:tcW w:w="766" w:type="pct"/>
            <w:noWrap/>
            <w:vAlign w:val="center"/>
          </w:tcPr>
          <w:p w14:paraId="1D7B395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Uključivanje ključnih menadžera i zaposlenika poduzeća preuzimatelja u planiranje akvizicije</w:t>
            </w:r>
          </w:p>
        </w:tc>
        <w:tc>
          <w:tcPr>
            <w:tcW w:w="735" w:type="pct"/>
            <w:noWrap/>
            <w:vAlign w:val="center"/>
          </w:tcPr>
          <w:p w14:paraId="1B546DD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3,500</w:t>
            </w:r>
          </w:p>
        </w:tc>
        <w:tc>
          <w:tcPr>
            <w:tcW w:w="441" w:type="pct"/>
            <w:noWrap/>
            <w:vAlign w:val="center"/>
          </w:tcPr>
          <w:p w14:paraId="1106AEC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343" w:type="pct"/>
            <w:noWrap/>
            <w:vAlign w:val="center"/>
          </w:tcPr>
          <w:p w14:paraId="486B70F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760" w:type="pct"/>
            <w:noWrap/>
            <w:vAlign w:val="center"/>
          </w:tcPr>
          <w:p w14:paraId="5CDA874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0,764</w:t>
            </w:r>
          </w:p>
        </w:tc>
        <w:tc>
          <w:tcPr>
            <w:tcW w:w="1470" w:type="pct"/>
            <w:vAlign w:val="center"/>
          </w:tcPr>
          <w:p w14:paraId="46859CAB" w14:textId="5220AE43"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3,5</w:t>
            </w:r>
            <w:r w:rsidRPr="00A81B58">
              <w:rPr>
                <w:rFonts w:ascii="Times New Roman" w:hAnsi="Times New Roman" w:cs="Times New Roman"/>
              </w:rPr>
              <w:t xml:space="preserve"> ukazuje na to da ispitanici nisu u potpunosti složni oko važnosti ovog čimbenika. </w:t>
            </w:r>
            <w:r w:rsidRPr="00A81B58">
              <w:rPr>
                <w:rFonts w:ascii="Times New Roman" w:hAnsi="Times New Roman" w:cs="Times New Roman"/>
                <w:bCs/>
              </w:rPr>
              <w:t>Mod je 3, dok je medijan 3</w:t>
            </w:r>
            <w:r w:rsidRPr="00A81B58">
              <w:rPr>
                <w:rFonts w:ascii="Times New Roman" w:hAnsi="Times New Roman" w:cs="Times New Roman"/>
              </w:rPr>
              <w:t>, što znači 4da su odgovori podijeljeni između nižih i srednjih ocjena.</w:t>
            </w:r>
          </w:p>
          <w:p w14:paraId="0ED8241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0,764</w:t>
            </w:r>
            <w:r w:rsidRPr="00A81B58">
              <w:rPr>
                <w:rFonts w:ascii="Times New Roman" w:hAnsi="Times New Roman" w:cs="Times New Roman"/>
              </w:rPr>
              <w:t xml:space="preserve"> sugerira da postoji raznolikost u mišljenjima ispitanika.</w:t>
            </w:r>
          </w:p>
        </w:tc>
      </w:tr>
      <w:tr w:rsidR="006571B5" w:rsidRPr="00A81B58" w14:paraId="4AB76E33" w14:textId="77777777" w:rsidTr="002E5B41">
        <w:trPr>
          <w:trHeight w:val="255"/>
        </w:trPr>
        <w:tc>
          <w:tcPr>
            <w:tcW w:w="484" w:type="pct"/>
            <w:vAlign w:val="center"/>
          </w:tcPr>
          <w:p w14:paraId="6D3AA1C1"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8</w:t>
            </w:r>
          </w:p>
        </w:tc>
        <w:tc>
          <w:tcPr>
            <w:tcW w:w="766" w:type="pct"/>
            <w:noWrap/>
            <w:vAlign w:val="center"/>
          </w:tcPr>
          <w:p w14:paraId="7D5C5455"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Vlasnička struktura poduzeća mete</w:t>
            </w:r>
          </w:p>
        </w:tc>
        <w:tc>
          <w:tcPr>
            <w:tcW w:w="735" w:type="pct"/>
            <w:noWrap/>
            <w:vAlign w:val="center"/>
          </w:tcPr>
          <w:p w14:paraId="5A1C3E62"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3,500</w:t>
            </w:r>
          </w:p>
        </w:tc>
        <w:tc>
          <w:tcPr>
            <w:tcW w:w="441" w:type="pct"/>
            <w:noWrap/>
            <w:vAlign w:val="center"/>
          </w:tcPr>
          <w:p w14:paraId="08921909"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w:t>
            </w:r>
          </w:p>
        </w:tc>
        <w:tc>
          <w:tcPr>
            <w:tcW w:w="343" w:type="pct"/>
            <w:noWrap/>
            <w:vAlign w:val="center"/>
          </w:tcPr>
          <w:p w14:paraId="67D7232B"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w:t>
            </w:r>
          </w:p>
        </w:tc>
        <w:tc>
          <w:tcPr>
            <w:tcW w:w="760" w:type="pct"/>
            <w:noWrap/>
            <w:vAlign w:val="center"/>
          </w:tcPr>
          <w:p w14:paraId="436D0B9A"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0,957</w:t>
            </w:r>
          </w:p>
        </w:tc>
        <w:tc>
          <w:tcPr>
            <w:tcW w:w="1470" w:type="pct"/>
            <w:vAlign w:val="center"/>
          </w:tcPr>
          <w:p w14:paraId="4962EAC3" w14:textId="4ACA2EDC"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Prosječna ocjena </w:t>
            </w:r>
            <w:r w:rsidRPr="00A81B58">
              <w:rPr>
                <w:rFonts w:ascii="Times New Roman" w:hAnsi="Times New Roman" w:cs="Times New Roman"/>
                <w:bCs/>
              </w:rPr>
              <w:t>3,5</w:t>
            </w:r>
            <w:r w:rsidRPr="00A81B58">
              <w:rPr>
                <w:rFonts w:ascii="Times New Roman" w:hAnsi="Times New Roman" w:cs="Times New Roman"/>
              </w:rPr>
              <w:t xml:space="preserve"> sugerira da ispitanici nisu jednoglasni oko važnosti ovog čimbenika.</w:t>
            </w:r>
          </w:p>
          <w:p w14:paraId="72D5102E" w14:textId="497484B0"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Mod je 3</w:t>
            </w:r>
            <w:r w:rsidRPr="00A81B58">
              <w:rPr>
                <w:rFonts w:ascii="Times New Roman" w:hAnsi="Times New Roman" w:cs="Times New Roman"/>
              </w:rPr>
              <w:t xml:space="preserve">, što znači da je to bila najčešće dodijeljena ocjena. </w:t>
            </w:r>
            <w:r w:rsidRPr="00A81B58">
              <w:rPr>
                <w:rFonts w:ascii="Times New Roman" w:hAnsi="Times New Roman" w:cs="Times New Roman"/>
                <w:bCs/>
              </w:rPr>
              <w:t>Medijan iznosi 3,5</w:t>
            </w:r>
            <w:r w:rsidRPr="00A81B58">
              <w:rPr>
                <w:rFonts w:ascii="Times New Roman" w:hAnsi="Times New Roman" w:cs="Times New Roman"/>
              </w:rPr>
              <w:t>, što ukazuje na blagu podjelu mišljenja.</w:t>
            </w:r>
          </w:p>
          <w:p w14:paraId="72DAB0A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bCs/>
              </w:rPr>
              <w:t>Standardna devijacija od 0,957</w:t>
            </w:r>
            <w:r w:rsidRPr="00A81B58">
              <w:rPr>
                <w:rFonts w:ascii="Times New Roman" w:hAnsi="Times New Roman" w:cs="Times New Roman"/>
              </w:rPr>
              <w:t xml:space="preserve"> pokazuje da postoji značajna varijabilnost odgovora, što znači da ispitanici imaju različite poglede na ovaj aspekt.</w:t>
            </w:r>
          </w:p>
        </w:tc>
      </w:tr>
      <w:tr w:rsidR="006571B5" w:rsidRPr="00A81B58" w14:paraId="5ED0CA85" w14:textId="77777777" w:rsidTr="002E5B41">
        <w:trPr>
          <w:trHeight w:val="255"/>
        </w:trPr>
        <w:tc>
          <w:tcPr>
            <w:tcW w:w="484" w:type="pct"/>
            <w:vAlign w:val="center"/>
          </w:tcPr>
          <w:p w14:paraId="7A0B86A5"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9</w:t>
            </w:r>
          </w:p>
        </w:tc>
        <w:tc>
          <w:tcPr>
            <w:tcW w:w="766" w:type="pct"/>
            <w:noWrap/>
            <w:vAlign w:val="center"/>
          </w:tcPr>
          <w:p w14:paraId="27396C4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Povezanost i kompatibilnost poduzeća mete s informacijskom infrastrukturom poduzeća preuzimatelja</w:t>
            </w:r>
          </w:p>
        </w:tc>
        <w:tc>
          <w:tcPr>
            <w:tcW w:w="735" w:type="pct"/>
            <w:noWrap/>
            <w:vAlign w:val="center"/>
          </w:tcPr>
          <w:p w14:paraId="60FB3E26"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3,167</w:t>
            </w:r>
          </w:p>
        </w:tc>
        <w:tc>
          <w:tcPr>
            <w:tcW w:w="441" w:type="pct"/>
            <w:noWrap/>
            <w:vAlign w:val="center"/>
          </w:tcPr>
          <w:p w14:paraId="218C22A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w:t>
            </w:r>
          </w:p>
        </w:tc>
        <w:tc>
          <w:tcPr>
            <w:tcW w:w="343" w:type="pct"/>
            <w:noWrap/>
            <w:vAlign w:val="center"/>
          </w:tcPr>
          <w:p w14:paraId="181A3B42"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760" w:type="pct"/>
            <w:noWrap/>
            <w:vAlign w:val="center"/>
          </w:tcPr>
          <w:p w14:paraId="41601D9B"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0,898</w:t>
            </w:r>
          </w:p>
        </w:tc>
        <w:tc>
          <w:tcPr>
            <w:tcW w:w="1470" w:type="pct"/>
            <w:vAlign w:val="center"/>
          </w:tcPr>
          <w:p w14:paraId="1F5C99DA" w14:textId="16133AD1"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 xml:space="preserve">S prosječnom ocjenom </w:t>
            </w:r>
            <w:r w:rsidRPr="00A81B58">
              <w:rPr>
                <w:rFonts w:ascii="Times New Roman" w:hAnsi="Times New Roman" w:cs="Times New Roman"/>
                <w:bCs/>
              </w:rPr>
              <w:t>3,167</w:t>
            </w:r>
            <w:r w:rsidRPr="00A81B58">
              <w:rPr>
                <w:rFonts w:ascii="Times New Roman" w:hAnsi="Times New Roman" w:cs="Times New Roman"/>
              </w:rPr>
              <w:t>, ovaj čimbenik nije ocijenjen kao ključan.</w:t>
            </w:r>
          </w:p>
          <w:p w14:paraId="3E87122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bCs/>
              </w:rPr>
              <w:t>Mod je 4, dok je medijan 3,5</w:t>
            </w:r>
            <w:r w:rsidRPr="00A81B58">
              <w:rPr>
                <w:rFonts w:ascii="Times New Roman" w:hAnsi="Times New Roman" w:cs="Times New Roman"/>
              </w:rPr>
              <w:t xml:space="preserve">, što ukazuje na blagu podjelu mišljenja među ispitanicima. </w:t>
            </w:r>
            <w:r w:rsidRPr="00A81B58">
              <w:rPr>
                <w:rFonts w:ascii="Times New Roman" w:hAnsi="Times New Roman" w:cs="Times New Roman"/>
                <w:bCs/>
              </w:rPr>
              <w:t>Standardna devijacija od 0,898</w:t>
            </w:r>
            <w:r w:rsidRPr="00A81B58">
              <w:rPr>
                <w:rFonts w:ascii="Times New Roman" w:hAnsi="Times New Roman" w:cs="Times New Roman"/>
              </w:rPr>
              <w:t xml:space="preserve"> sugerira da postoji znatna varijabilnost u odgovorima.</w:t>
            </w:r>
          </w:p>
        </w:tc>
      </w:tr>
    </w:tbl>
    <w:p w14:paraId="0AF6346D"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t>Izvor: izrada autora</w:t>
      </w:r>
    </w:p>
    <w:p w14:paraId="2245E07D" w14:textId="77777777" w:rsidR="006571B5" w:rsidRPr="00A81B58" w:rsidRDefault="006571B5" w:rsidP="006571B5">
      <w:pPr>
        <w:rPr>
          <w:rFonts w:ascii="Times New Roman" w:hAnsi="Times New Roman" w:cs="Times New Roman"/>
          <w:lang w:val="it-IT"/>
        </w:rPr>
      </w:pPr>
    </w:p>
    <w:p w14:paraId="6DC1D94C" w14:textId="77777777" w:rsidR="006571B5" w:rsidRPr="00A81B58" w:rsidRDefault="006571B5" w:rsidP="006571B5">
      <w:pPr>
        <w:rPr>
          <w:rFonts w:ascii="Times New Roman" w:hAnsi="Times New Roman" w:cs="Times New Roman"/>
          <w:bCs/>
          <w:lang w:val="it-IT"/>
        </w:rPr>
      </w:pPr>
      <w:r w:rsidRPr="00A81B58">
        <w:rPr>
          <w:rFonts w:ascii="Times New Roman" w:hAnsi="Times New Roman" w:cs="Times New Roman"/>
          <w:bCs/>
        </w:rPr>
        <w:lastRenderedPageBreak/>
        <w:t xml:space="preserve">Tablica 11: </w:t>
      </w:r>
      <w:r w:rsidRPr="00A81B58">
        <w:rPr>
          <w:rFonts w:ascii="Times New Roman" w:hAnsi="Times New Roman" w:cs="Times New Roman"/>
          <w:bCs/>
          <w:lang w:val="it-IT"/>
        </w:rPr>
        <w:t>Rezultati drugog ciklusa Delphi postupka – ključni čimbenici uspjeha u fazi integracije</w:t>
      </w:r>
    </w:p>
    <w:tbl>
      <w:tblPr>
        <w:tblStyle w:val="Reetkatablice1"/>
        <w:tblW w:w="9351" w:type="dxa"/>
        <w:tblLook w:val="04A0" w:firstRow="1" w:lastRow="0" w:firstColumn="1" w:lastColumn="0" w:noHBand="0" w:noVBand="1"/>
      </w:tblPr>
      <w:tblGrid>
        <w:gridCol w:w="718"/>
        <w:gridCol w:w="1671"/>
        <w:gridCol w:w="1279"/>
        <w:gridCol w:w="1011"/>
        <w:gridCol w:w="656"/>
        <w:gridCol w:w="1329"/>
        <w:gridCol w:w="2687"/>
      </w:tblGrid>
      <w:tr w:rsidR="006571B5" w:rsidRPr="00A81B58" w14:paraId="1AEDEF3E" w14:textId="77777777" w:rsidTr="00A81B58">
        <w:trPr>
          <w:trHeight w:val="255"/>
        </w:trPr>
        <w:tc>
          <w:tcPr>
            <w:tcW w:w="718" w:type="dxa"/>
            <w:vAlign w:val="center"/>
          </w:tcPr>
          <w:p w14:paraId="40BA3A29" w14:textId="77777777" w:rsidR="006571B5" w:rsidRPr="00A81B58" w:rsidRDefault="006571B5" w:rsidP="00A81B58">
            <w:pPr>
              <w:spacing w:after="160" w:line="259" w:lineRule="auto"/>
              <w:jc w:val="center"/>
              <w:rPr>
                <w:rFonts w:ascii="Times New Roman" w:hAnsi="Times New Roman" w:cs="Times New Roman"/>
                <w:b/>
              </w:rPr>
            </w:pPr>
            <w:r w:rsidRPr="00A81B58">
              <w:rPr>
                <w:rFonts w:ascii="Times New Roman" w:hAnsi="Times New Roman" w:cs="Times New Roman"/>
                <w:b/>
              </w:rPr>
              <w:t>Rang</w:t>
            </w:r>
          </w:p>
        </w:tc>
        <w:tc>
          <w:tcPr>
            <w:tcW w:w="1671" w:type="dxa"/>
            <w:noWrap/>
            <w:vAlign w:val="center"/>
            <w:hideMark/>
          </w:tcPr>
          <w:p w14:paraId="435612FB" w14:textId="1882A6E2"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rPr>
              <w:t>Čimbenici</w:t>
            </w:r>
          </w:p>
        </w:tc>
        <w:tc>
          <w:tcPr>
            <w:tcW w:w="1279" w:type="dxa"/>
            <w:noWrap/>
            <w:vAlign w:val="center"/>
            <w:hideMark/>
          </w:tcPr>
          <w:p w14:paraId="58230A16" w14:textId="77777777" w:rsidR="006571B5" w:rsidRPr="00A81B58" w:rsidRDefault="006571B5" w:rsidP="00A81B58">
            <w:pPr>
              <w:spacing w:after="160" w:line="259" w:lineRule="auto"/>
              <w:jc w:val="center"/>
              <w:rPr>
                <w:rFonts w:ascii="Times New Roman" w:hAnsi="Times New Roman" w:cs="Times New Roman"/>
                <w:b/>
                <w:bCs/>
              </w:rPr>
            </w:pPr>
            <w:r w:rsidRPr="00A81B58">
              <w:rPr>
                <w:rFonts w:ascii="Times New Roman" w:hAnsi="Times New Roman" w:cs="Times New Roman"/>
                <w:b/>
                <w:bCs/>
              </w:rPr>
              <w:t>Arimetička sredina</w:t>
            </w:r>
          </w:p>
        </w:tc>
        <w:tc>
          <w:tcPr>
            <w:tcW w:w="1011" w:type="dxa"/>
            <w:noWrap/>
            <w:vAlign w:val="center"/>
            <w:hideMark/>
          </w:tcPr>
          <w:p w14:paraId="5346E534" w14:textId="77777777" w:rsidR="006571B5" w:rsidRPr="00A81B58" w:rsidRDefault="006571B5" w:rsidP="00A81B58">
            <w:pPr>
              <w:spacing w:after="160" w:line="259" w:lineRule="auto"/>
              <w:jc w:val="center"/>
              <w:rPr>
                <w:rFonts w:ascii="Times New Roman" w:hAnsi="Times New Roman" w:cs="Times New Roman"/>
                <w:b/>
                <w:bCs/>
              </w:rPr>
            </w:pPr>
            <w:r w:rsidRPr="00A81B58">
              <w:rPr>
                <w:rFonts w:ascii="Times New Roman" w:hAnsi="Times New Roman" w:cs="Times New Roman"/>
                <w:b/>
                <w:bCs/>
              </w:rPr>
              <w:t>Medijan</w:t>
            </w:r>
          </w:p>
        </w:tc>
        <w:tc>
          <w:tcPr>
            <w:tcW w:w="656" w:type="dxa"/>
            <w:noWrap/>
            <w:vAlign w:val="center"/>
            <w:hideMark/>
          </w:tcPr>
          <w:p w14:paraId="61D3D55A" w14:textId="77777777" w:rsidR="006571B5" w:rsidRPr="00A81B58" w:rsidRDefault="006571B5" w:rsidP="00A81B58">
            <w:pPr>
              <w:spacing w:after="160" w:line="259" w:lineRule="auto"/>
              <w:jc w:val="center"/>
              <w:rPr>
                <w:rFonts w:ascii="Times New Roman" w:hAnsi="Times New Roman" w:cs="Times New Roman"/>
                <w:b/>
                <w:bCs/>
              </w:rPr>
            </w:pPr>
            <w:r w:rsidRPr="00A81B58">
              <w:rPr>
                <w:rFonts w:ascii="Times New Roman" w:hAnsi="Times New Roman" w:cs="Times New Roman"/>
                <w:b/>
                <w:bCs/>
              </w:rPr>
              <w:t>Mod</w:t>
            </w:r>
          </w:p>
        </w:tc>
        <w:tc>
          <w:tcPr>
            <w:tcW w:w="1329" w:type="dxa"/>
            <w:noWrap/>
            <w:vAlign w:val="center"/>
            <w:hideMark/>
          </w:tcPr>
          <w:p w14:paraId="16ACD941" w14:textId="77777777" w:rsidR="006571B5" w:rsidRPr="00A81B58" w:rsidRDefault="006571B5" w:rsidP="00A81B58">
            <w:pPr>
              <w:spacing w:after="160" w:line="259" w:lineRule="auto"/>
              <w:jc w:val="center"/>
              <w:rPr>
                <w:rFonts w:ascii="Times New Roman" w:hAnsi="Times New Roman" w:cs="Times New Roman"/>
                <w:b/>
                <w:bCs/>
              </w:rPr>
            </w:pPr>
            <w:r w:rsidRPr="00A81B58">
              <w:rPr>
                <w:rFonts w:ascii="Times New Roman" w:hAnsi="Times New Roman" w:cs="Times New Roman"/>
                <w:b/>
                <w:bCs/>
              </w:rPr>
              <w:t>Standardna devijacija</w:t>
            </w:r>
          </w:p>
        </w:tc>
        <w:tc>
          <w:tcPr>
            <w:tcW w:w="2687" w:type="dxa"/>
            <w:vAlign w:val="center"/>
          </w:tcPr>
          <w:p w14:paraId="00175A40" w14:textId="77777777" w:rsidR="006571B5" w:rsidRPr="00A81B58" w:rsidRDefault="006571B5" w:rsidP="00A81B58">
            <w:pPr>
              <w:spacing w:after="160" w:line="259" w:lineRule="auto"/>
              <w:jc w:val="center"/>
              <w:rPr>
                <w:rFonts w:ascii="Times New Roman" w:hAnsi="Times New Roman" w:cs="Times New Roman"/>
                <w:b/>
                <w:bCs/>
              </w:rPr>
            </w:pPr>
            <w:r w:rsidRPr="00A81B58">
              <w:rPr>
                <w:rFonts w:ascii="Times New Roman" w:hAnsi="Times New Roman" w:cs="Times New Roman"/>
                <w:b/>
                <w:bCs/>
              </w:rPr>
              <w:t>Interpretacija</w:t>
            </w:r>
          </w:p>
        </w:tc>
      </w:tr>
      <w:tr w:rsidR="006571B5" w:rsidRPr="00A81B58" w14:paraId="5E9F7EFF" w14:textId="77777777" w:rsidTr="00A81B58">
        <w:trPr>
          <w:trHeight w:val="255"/>
        </w:trPr>
        <w:tc>
          <w:tcPr>
            <w:tcW w:w="718" w:type="dxa"/>
            <w:vAlign w:val="center"/>
          </w:tcPr>
          <w:p w14:paraId="34FFD48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1</w:t>
            </w:r>
          </w:p>
        </w:tc>
        <w:tc>
          <w:tcPr>
            <w:tcW w:w="1671" w:type="dxa"/>
            <w:noWrap/>
            <w:vAlign w:val="center"/>
          </w:tcPr>
          <w:p w14:paraId="5588E63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Definiranje nove strategije razvoja poduzeća nakon akvizicije (novog zajedničkog poduzeća ili pak svakog pojedinog poduzeća koje je sudjelovalo u procesu akvizicije ako ostaju kao samostalne pravne osobe)</w:t>
            </w:r>
          </w:p>
        </w:tc>
        <w:tc>
          <w:tcPr>
            <w:tcW w:w="1279" w:type="dxa"/>
            <w:noWrap/>
            <w:vAlign w:val="center"/>
          </w:tcPr>
          <w:p w14:paraId="7FF53F3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4,667</w:t>
            </w:r>
          </w:p>
        </w:tc>
        <w:tc>
          <w:tcPr>
            <w:tcW w:w="1011" w:type="dxa"/>
            <w:noWrap/>
            <w:vAlign w:val="center"/>
          </w:tcPr>
          <w:p w14:paraId="7E86523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656" w:type="dxa"/>
            <w:noWrap/>
            <w:vAlign w:val="center"/>
          </w:tcPr>
          <w:p w14:paraId="020D7F0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5ACEB7B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2687" w:type="dxa"/>
            <w:vAlign w:val="center"/>
          </w:tcPr>
          <w:p w14:paraId="476A933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w:t>
            </w:r>
            <w:r w:rsidRPr="00A81B58">
              <w:rPr>
                <w:rFonts w:ascii="Times New Roman" w:hAnsi="Times New Roman" w:cs="Times New Roman"/>
              </w:rPr>
              <w:br/>
              <w:t>Medijan pokazuje da većina ispitanika smatra ovaj čimbenik vrlo važnim.</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također sugerira visoku važnost.</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ukazuje na relativnu suglasnost među ispitanicima.</w:t>
            </w:r>
          </w:p>
        </w:tc>
      </w:tr>
      <w:tr w:rsidR="006571B5" w:rsidRPr="00A81B58" w14:paraId="170565AE" w14:textId="77777777" w:rsidTr="00A81B58">
        <w:trPr>
          <w:trHeight w:val="255"/>
        </w:trPr>
        <w:tc>
          <w:tcPr>
            <w:tcW w:w="718" w:type="dxa"/>
            <w:vAlign w:val="center"/>
          </w:tcPr>
          <w:p w14:paraId="27D7F5C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1</w:t>
            </w:r>
          </w:p>
        </w:tc>
        <w:tc>
          <w:tcPr>
            <w:tcW w:w="1671" w:type="dxa"/>
            <w:noWrap/>
            <w:vAlign w:val="center"/>
          </w:tcPr>
          <w:p w14:paraId="22FD61F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Osiguranje resursa potrebnih za integraciju nakon procesa akvizicije</w:t>
            </w:r>
          </w:p>
        </w:tc>
        <w:tc>
          <w:tcPr>
            <w:tcW w:w="1279" w:type="dxa"/>
            <w:noWrap/>
            <w:vAlign w:val="center"/>
          </w:tcPr>
          <w:p w14:paraId="6DA2EAF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4,667</w:t>
            </w:r>
          </w:p>
        </w:tc>
        <w:tc>
          <w:tcPr>
            <w:tcW w:w="1011" w:type="dxa"/>
            <w:noWrap/>
            <w:vAlign w:val="center"/>
          </w:tcPr>
          <w:p w14:paraId="1E1CB0B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656" w:type="dxa"/>
            <w:noWrap/>
            <w:vAlign w:val="center"/>
          </w:tcPr>
          <w:p w14:paraId="4DB526B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399A1A9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2687" w:type="dxa"/>
            <w:vAlign w:val="center"/>
          </w:tcPr>
          <w:p w14:paraId="67FAAE8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jedan od ključnih u fazi integracije.</w:t>
            </w:r>
            <w:r w:rsidRPr="00A81B58">
              <w:rPr>
                <w:rFonts w:ascii="Times New Roman" w:hAnsi="Times New Roman" w:cs="Times New Roman"/>
              </w:rPr>
              <w:br/>
              <w:t>Medijan pokazuje da većina ispitanika smatra da je osiguranje resursa od ključne važnosti.</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dodatno potvrđuje visoki prioritet ovog čimbenika.</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pokazuje visok stupanj slaganja među ispitanicima.</w:t>
            </w:r>
          </w:p>
        </w:tc>
      </w:tr>
      <w:tr w:rsidR="006571B5" w:rsidRPr="00A81B58" w14:paraId="00B864BF" w14:textId="77777777" w:rsidTr="00A81B58">
        <w:trPr>
          <w:trHeight w:val="255"/>
        </w:trPr>
        <w:tc>
          <w:tcPr>
            <w:tcW w:w="718" w:type="dxa"/>
            <w:vAlign w:val="center"/>
          </w:tcPr>
          <w:p w14:paraId="451A7D6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1</w:t>
            </w:r>
          </w:p>
        </w:tc>
        <w:tc>
          <w:tcPr>
            <w:tcW w:w="1671" w:type="dxa"/>
            <w:noWrap/>
            <w:vAlign w:val="center"/>
          </w:tcPr>
          <w:p w14:paraId="2448E2C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Odlučan i pravedan odnos prema zaposlenicima koje je potrebno otpustiti</w:t>
            </w:r>
          </w:p>
        </w:tc>
        <w:tc>
          <w:tcPr>
            <w:tcW w:w="1279" w:type="dxa"/>
            <w:noWrap/>
            <w:vAlign w:val="center"/>
          </w:tcPr>
          <w:p w14:paraId="1B30E5C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4,667</w:t>
            </w:r>
          </w:p>
        </w:tc>
        <w:tc>
          <w:tcPr>
            <w:tcW w:w="1011" w:type="dxa"/>
            <w:noWrap/>
            <w:vAlign w:val="center"/>
          </w:tcPr>
          <w:p w14:paraId="3DEAE173"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656" w:type="dxa"/>
            <w:noWrap/>
            <w:vAlign w:val="center"/>
          </w:tcPr>
          <w:p w14:paraId="76D7C56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4EBDDFD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2687" w:type="dxa"/>
            <w:vAlign w:val="center"/>
          </w:tcPr>
          <w:p w14:paraId="6540C45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iznimno važan.</w:t>
            </w:r>
            <w:r w:rsidRPr="00A81B58">
              <w:rPr>
                <w:rFonts w:ascii="Times New Roman" w:hAnsi="Times New Roman" w:cs="Times New Roman"/>
              </w:rPr>
              <w:br/>
              <w:t>Medijan pokazuje da većina ispitanika prepoznaje njegovu ključnu ulogu u održavanju stabilnosti poduzeća.</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potvrđuje potrebu za </w:t>
            </w:r>
            <w:r w:rsidRPr="00A81B58">
              <w:rPr>
                <w:rFonts w:ascii="Times New Roman" w:hAnsi="Times New Roman" w:cs="Times New Roman"/>
              </w:rPr>
              <w:lastRenderedPageBreak/>
              <w:t>pravednim postupkom pri otpuštanjima.</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ukazuje na visok stupanj slaganja među ispitanicima.</w:t>
            </w:r>
          </w:p>
        </w:tc>
      </w:tr>
      <w:tr w:rsidR="006571B5" w:rsidRPr="00A81B58" w14:paraId="4E81CBFC" w14:textId="77777777" w:rsidTr="002E5B41">
        <w:trPr>
          <w:trHeight w:val="255"/>
        </w:trPr>
        <w:tc>
          <w:tcPr>
            <w:tcW w:w="718" w:type="dxa"/>
            <w:vAlign w:val="center"/>
          </w:tcPr>
          <w:p w14:paraId="3CFD968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1</w:t>
            </w:r>
          </w:p>
        </w:tc>
        <w:tc>
          <w:tcPr>
            <w:tcW w:w="1671" w:type="dxa"/>
            <w:noWrap/>
            <w:vAlign w:val="center"/>
          </w:tcPr>
          <w:p w14:paraId="67849A2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Postavljanje nove upravljačke strukture u poduzeću meti</w:t>
            </w:r>
          </w:p>
        </w:tc>
        <w:tc>
          <w:tcPr>
            <w:tcW w:w="1279" w:type="dxa"/>
            <w:noWrap/>
            <w:vAlign w:val="center"/>
          </w:tcPr>
          <w:p w14:paraId="651A98B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4,667</w:t>
            </w:r>
          </w:p>
        </w:tc>
        <w:tc>
          <w:tcPr>
            <w:tcW w:w="1011" w:type="dxa"/>
            <w:noWrap/>
            <w:vAlign w:val="center"/>
          </w:tcPr>
          <w:p w14:paraId="4860A5E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656" w:type="dxa"/>
            <w:noWrap/>
            <w:vAlign w:val="center"/>
          </w:tcPr>
          <w:p w14:paraId="3ECA56F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7376B10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2687" w:type="dxa"/>
            <w:vAlign w:val="center"/>
          </w:tcPr>
          <w:p w14:paraId="2B71F99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ovaj čimbenik kao ključan za uspješnu integraciju.</w:t>
            </w:r>
            <w:r w:rsidRPr="00A81B58">
              <w:rPr>
                <w:rFonts w:ascii="Times New Roman" w:hAnsi="Times New Roman" w:cs="Times New Roman"/>
              </w:rPr>
              <w:br/>
              <w:t>Medijan pokazuje da većina ispitanika smatra da bez jasne upravljačke strukture proces preuzimanja može biti ugrožen.</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potvrđuje važnost ovog čimbenika.</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ukazuje na vrlo visoku razinu suglasnosti među ispitanicima.</w:t>
            </w:r>
          </w:p>
        </w:tc>
      </w:tr>
      <w:tr w:rsidR="006571B5" w:rsidRPr="00A81B58" w14:paraId="4520C8FC" w14:textId="77777777" w:rsidTr="00A81B58">
        <w:trPr>
          <w:trHeight w:val="255"/>
        </w:trPr>
        <w:tc>
          <w:tcPr>
            <w:tcW w:w="718" w:type="dxa"/>
            <w:vAlign w:val="center"/>
          </w:tcPr>
          <w:p w14:paraId="647B551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2</w:t>
            </w:r>
          </w:p>
        </w:tc>
        <w:tc>
          <w:tcPr>
            <w:tcW w:w="1671" w:type="dxa"/>
            <w:noWrap/>
            <w:vAlign w:val="center"/>
          </w:tcPr>
          <w:p w14:paraId="6A7D402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Uspostaviti odgovarajuće unutarnje mehanizme za prijenos kompetencija i sredstava između poslovnih jedinica</w:t>
            </w:r>
          </w:p>
        </w:tc>
        <w:tc>
          <w:tcPr>
            <w:tcW w:w="1279" w:type="dxa"/>
            <w:noWrap/>
            <w:vAlign w:val="center"/>
          </w:tcPr>
          <w:p w14:paraId="62140E3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4,500</w:t>
            </w:r>
          </w:p>
        </w:tc>
        <w:tc>
          <w:tcPr>
            <w:tcW w:w="1011" w:type="dxa"/>
            <w:noWrap/>
            <w:vAlign w:val="center"/>
          </w:tcPr>
          <w:p w14:paraId="3671FDD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4E24F5B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7AF3D6B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0,500</w:t>
            </w:r>
          </w:p>
        </w:tc>
        <w:tc>
          <w:tcPr>
            <w:tcW w:w="2687" w:type="dxa"/>
            <w:vAlign w:val="center"/>
          </w:tcPr>
          <w:p w14:paraId="7781AEE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dugoročnu stabilnost poslovanja nakon preuzimanja.</w:t>
            </w:r>
            <w:r w:rsidRPr="00A81B58">
              <w:rPr>
                <w:rFonts w:ascii="Times New Roman" w:hAnsi="Times New Roman" w:cs="Times New Roman"/>
              </w:rPr>
              <w:br/>
              <w:t>Medijan pokazuje da većina ispitanika prepoznaje njegovu ključnu ulogu.</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potvrđuje visoku razinu slaganja.</w:t>
            </w:r>
            <w:r w:rsidRPr="00A81B58">
              <w:rPr>
                <w:rFonts w:ascii="Times New Roman" w:hAnsi="Times New Roman" w:cs="Times New Roman"/>
              </w:rPr>
              <w:br/>
              <w:t>Niska standardna devijacija (</w:t>
            </w:r>
            <w:r w:rsidRPr="00A81B58">
              <w:rPr>
                <w:rFonts w:ascii="Times New Roman" w:hAnsi="Times New Roman" w:cs="Times New Roman"/>
                <w:bCs/>
              </w:rPr>
              <w:t>0,5</w:t>
            </w:r>
            <w:r w:rsidRPr="00A81B58">
              <w:rPr>
                <w:rFonts w:ascii="Times New Roman" w:hAnsi="Times New Roman" w:cs="Times New Roman"/>
              </w:rPr>
              <w:t>) sugerira da gotovo svi ispitanici smatraju ovaj čimbenik važnim.</w:t>
            </w:r>
          </w:p>
        </w:tc>
      </w:tr>
      <w:tr w:rsidR="006571B5" w:rsidRPr="00A81B58" w14:paraId="7D0BEE09" w14:textId="77777777" w:rsidTr="00A81B58">
        <w:trPr>
          <w:trHeight w:val="255"/>
        </w:trPr>
        <w:tc>
          <w:tcPr>
            <w:tcW w:w="718" w:type="dxa"/>
            <w:vAlign w:val="center"/>
          </w:tcPr>
          <w:p w14:paraId="15CB546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2</w:t>
            </w:r>
          </w:p>
        </w:tc>
        <w:tc>
          <w:tcPr>
            <w:tcW w:w="1671" w:type="dxa"/>
            <w:noWrap/>
            <w:vAlign w:val="center"/>
          </w:tcPr>
          <w:p w14:paraId="34709EC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Identificiranje prilika za poboljšanje konkurentske pozicije novostvorenog zajedničkog </w:t>
            </w:r>
            <w:r w:rsidRPr="00A81B58">
              <w:rPr>
                <w:rFonts w:ascii="Times New Roman" w:hAnsi="Times New Roman" w:cs="Times New Roman"/>
              </w:rPr>
              <w:lastRenderedPageBreak/>
              <w:t>poduzeća ili oba poduzeća koja su sudjelovala u procesu spajanja i preuzimanja, ali su ostala kao samostalne pravne osobe</w:t>
            </w:r>
          </w:p>
        </w:tc>
        <w:tc>
          <w:tcPr>
            <w:tcW w:w="1279" w:type="dxa"/>
            <w:noWrap/>
            <w:vAlign w:val="center"/>
          </w:tcPr>
          <w:p w14:paraId="5F87D8B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4,500</w:t>
            </w:r>
          </w:p>
        </w:tc>
        <w:tc>
          <w:tcPr>
            <w:tcW w:w="1011" w:type="dxa"/>
            <w:noWrap/>
            <w:vAlign w:val="center"/>
          </w:tcPr>
          <w:p w14:paraId="7992971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07BB0B53"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2DAE2B0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0,500</w:t>
            </w:r>
          </w:p>
        </w:tc>
        <w:tc>
          <w:tcPr>
            <w:tcW w:w="2687" w:type="dxa"/>
            <w:vAlign w:val="center"/>
          </w:tcPr>
          <w:p w14:paraId="0DB53DA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dugoročni uspjeh preuzimanja.</w:t>
            </w:r>
            <w:r w:rsidRPr="00A81B58">
              <w:rPr>
                <w:rFonts w:ascii="Times New Roman" w:hAnsi="Times New Roman" w:cs="Times New Roman"/>
              </w:rPr>
              <w:br/>
              <w:t xml:space="preserve">Medijan pokazuje da većina ispitanika smatra da je važno aktivno tražiti </w:t>
            </w:r>
            <w:r w:rsidRPr="00A81B58">
              <w:rPr>
                <w:rFonts w:ascii="Times New Roman" w:hAnsi="Times New Roman" w:cs="Times New Roman"/>
              </w:rPr>
              <w:lastRenderedPageBreak/>
              <w:t>prilike za jačanje tržišne pozicije.</w:t>
            </w:r>
            <w:r w:rsidRPr="00A81B58">
              <w:rPr>
                <w:rFonts w:ascii="Times New Roman" w:hAnsi="Times New Roman" w:cs="Times New Roman"/>
              </w:rPr>
              <w:br/>
              <w:t xml:space="preserve">Najčešća ocjena </w:t>
            </w:r>
            <w:r w:rsidRPr="00A81B58">
              <w:rPr>
                <w:rFonts w:ascii="Times New Roman" w:hAnsi="Times New Roman" w:cs="Times New Roman"/>
                <w:bCs/>
              </w:rPr>
              <w:t>4,5</w:t>
            </w:r>
            <w:r w:rsidRPr="00A81B58">
              <w:rPr>
                <w:rFonts w:ascii="Times New Roman" w:hAnsi="Times New Roman" w:cs="Times New Roman"/>
              </w:rPr>
              <w:t xml:space="preserve"> potvrđuje značaj ovog čimbenika.</w:t>
            </w:r>
            <w:r w:rsidRPr="00A81B58">
              <w:rPr>
                <w:rFonts w:ascii="Times New Roman" w:hAnsi="Times New Roman" w:cs="Times New Roman"/>
              </w:rPr>
              <w:br/>
              <w:t>Niska standardna devijacija (</w:t>
            </w:r>
            <w:r w:rsidRPr="00A81B58">
              <w:rPr>
                <w:rFonts w:ascii="Times New Roman" w:hAnsi="Times New Roman" w:cs="Times New Roman"/>
                <w:bCs/>
              </w:rPr>
              <w:t>0,5</w:t>
            </w:r>
            <w:r w:rsidRPr="00A81B58">
              <w:rPr>
                <w:rFonts w:ascii="Times New Roman" w:hAnsi="Times New Roman" w:cs="Times New Roman"/>
              </w:rPr>
              <w:t>) sugerira visok stupanj slaganja među ispitanicima.</w:t>
            </w:r>
          </w:p>
        </w:tc>
      </w:tr>
      <w:tr w:rsidR="006571B5" w:rsidRPr="00A81B58" w14:paraId="30FD4290" w14:textId="77777777" w:rsidTr="00A81B58">
        <w:trPr>
          <w:trHeight w:val="255"/>
        </w:trPr>
        <w:tc>
          <w:tcPr>
            <w:tcW w:w="718" w:type="dxa"/>
            <w:vAlign w:val="center"/>
          </w:tcPr>
          <w:p w14:paraId="4DB7C77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2</w:t>
            </w:r>
          </w:p>
        </w:tc>
        <w:tc>
          <w:tcPr>
            <w:tcW w:w="1671" w:type="dxa"/>
            <w:noWrap/>
            <w:vAlign w:val="center"/>
          </w:tcPr>
          <w:p w14:paraId="1E6B947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Detektiranje i zadržavanje ključnih zaposlenika i menadžere poduzeća mete ako poduzeća koja su sudjelovala u akvizicijskom procesu ostaju kao samostalne pravne osobe</w:t>
            </w:r>
          </w:p>
        </w:tc>
        <w:tc>
          <w:tcPr>
            <w:tcW w:w="1279" w:type="dxa"/>
            <w:noWrap/>
            <w:vAlign w:val="center"/>
          </w:tcPr>
          <w:p w14:paraId="202B859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4,500</w:t>
            </w:r>
          </w:p>
        </w:tc>
        <w:tc>
          <w:tcPr>
            <w:tcW w:w="1011" w:type="dxa"/>
            <w:noWrap/>
            <w:vAlign w:val="center"/>
          </w:tcPr>
          <w:p w14:paraId="40B04B4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46445B0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4763ED0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0,500</w:t>
            </w:r>
          </w:p>
        </w:tc>
        <w:tc>
          <w:tcPr>
            <w:tcW w:w="2687" w:type="dxa"/>
            <w:vAlign w:val="center"/>
          </w:tcPr>
          <w:p w14:paraId="5F894A8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jedan od ključnih u fazi integracije.</w:t>
            </w:r>
            <w:r w:rsidRPr="00A81B58">
              <w:rPr>
                <w:rFonts w:ascii="Times New Roman" w:hAnsi="Times New Roman" w:cs="Times New Roman"/>
              </w:rPr>
              <w:br/>
              <w:t>Medijan pokazuje da većina ispitanika prepoznaje njegovu važnost.</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sugerira da je zadržavanje ključnog kadra visoko prioritetno.</w:t>
            </w:r>
            <w:r w:rsidRPr="00A81B58">
              <w:rPr>
                <w:rFonts w:ascii="Times New Roman" w:hAnsi="Times New Roman" w:cs="Times New Roman"/>
              </w:rPr>
              <w:br/>
              <w:t>Niska standardna devijacija (</w:t>
            </w:r>
            <w:r w:rsidRPr="00A81B58">
              <w:rPr>
                <w:rFonts w:ascii="Times New Roman" w:hAnsi="Times New Roman" w:cs="Times New Roman"/>
                <w:bCs/>
              </w:rPr>
              <w:t>0,5</w:t>
            </w:r>
            <w:r w:rsidRPr="00A81B58">
              <w:rPr>
                <w:rFonts w:ascii="Times New Roman" w:hAnsi="Times New Roman" w:cs="Times New Roman"/>
              </w:rPr>
              <w:t>) ukazuje na visok stupanj slaganja među ispitanicima.</w:t>
            </w:r>
          </w:p>
        </w:tc>
      </w:tr>
      <w:tr w:rsidR="006571B5" w:rsidRPr="00A81B58" w14:paraId="46EB9B58" w14:textId="77777777" w:rsidTr="00A81B58">
        <w:trPr>
          <w:trHeight w:val="255"/>
        </w:trPr>
        <w:tc>
          <w:tcPr>
            <w:tcW w:w="718" w:type="dxa"/>
            <w:vAlign w:val="center"/>
          </w:tcPr>
          <w:p w14:paraId="7EEF4B2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1671" w:type="dxa"/>
            <w:noWrap/>
            <w:vAlign w:val="center"/>
          </w:tcPr>
          <w:p w14:paraId="3D2303E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Uspostavljanje učinkovite komunikacijske strategije (kako bi se zaposlenici poduzeća mete i poduzeća preuzimatelja bili dobro informirani o planovima razvoja svakog od poduzeća koje je sudjelovao u akvizicijskom procesu ili o planovima razvoja novoosnovanog poduzeća)</w:t>
            </w:r>
          </w:p>
        </w:tc>
        <w:tc>
          <w:tcPr>
            <w:tcW w:w="1279" w:type="dxa"/>
            <w:noWrap/>
            <w:vAlign w:val="center"/>
          </w:tcPr>
          <w:p w14:paraId="03590AE3"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1011" w:type="dxa"/>
            <w:noWrap/>
            <w:vAlign w:val="center"/>
          </w:tcPr>
          <w:p w14:paraId="0A035DC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3E30DDA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73B3308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0,745</w:t>
            </w:r>
          </w:p>
        </w:tc>
        <w:tc>
          <w:tcPr>
            <w:tcW w:w="2687" w:type="dxa"/>
            <w:vAlign w:val="center"/>
          </w:tcPr>
          <w:p w14:paraId="3C593FA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uspješnu integraciju.</w:t>
            </w:r>
            <w:r w:rsidRPr="00A81B58">
              <w:rPr>
                <w:rFonts w:ascii="Times New Roman" w:hAnsi="Times New Roman" w:cs="Times New Roman"/>
              </w:rPr>
              <w:br/>
              <w:t>Medijan pokazuje da većina ispitanika smatra da je kvalitetna komunikacija ključna.</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dodatno potvrđuje značaj ovog aspekta.</w:t>
            </w:r>
            <w:r w:rsidRPr="00A81B58">
              <w:rPr>
                <w:rFonts w:ascii="Times New Roman" w:hAnsi="Times New Roman" w:cs="Times New Roman"/>
              </w:rPr>
              <w:br/>
              <w:t>Umjerena standardna devijacija (</w:t>
            </w:r>
            <w:r w:rsidRPr="00A81B58">
              <w:rPr>
                <w:rFonts w:ascii="Times New Roman" w:hAnsi="Times New Roman" w:cs="Times New Roman"/>
                <w:bCs/>
              </w:rPr>
              <w:t>0,745</w:t>
            </w:r>
            <w:r w:rsidRPr="00A81B58">
              <w:rPr>
                <w:rFonts w:ascii="Times New Roman" w:hAnsi="Times New Roman" w:cs="Times New Roman"/>
              </w:rPr>
              <w:t>) ukazuje na blagu varijabilnost odgovora.</w:t>
            </w:r>
          </w:p>
        </w:tc>
      </w:tr>
      <w:tr w:rsidR="006571B5" w:rsidRPr="00A81B58" w14:paraId="28FA256B" w14:textId="77777777" w:rsidTr="00A81B58">
        <w:trPr>
          <w:trHeight w:val="255"/>
        </w:trPr>
        <w:tc>
          <w:tcPr>
            <w:tcW w:w="718" w:type="dxa"/>
            <w:vAlign w:val="center"/>
          </w:tcPr>
          <w:p w14:paraId="57B3693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3</w:t>
            </w:r>
          </w:p>
        </w:tc>
        <w:tc>
          <w:tcPr>
            <w:tcW w:w="1671" w:type="dxa"/>
            <w:noWrap/>
            <w:vAlign w:val="center"/>
          </w:tcPr>
          <w:p w14:paraId="18D8528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Učinkovita komunikacija s javnošću</w:t>
            </w:r>
          </w:p>
        </w:tc>
        <w:tc>
          <w:tcPr>
            <w:tcW w:w="1279" w:type="dxa"/>
            <w:noWrap/>
            <w:vAlign w:val="center"/>
          </w:tcPr>
          <w:p w14:paraId="3DE3B07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1011" w:type="dxa"/>
            <w:noWrap/>
            <w:vAlign w:val="center"/>
          </w:tcPr>
          <w:p w14:paraId="62F54C0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7773568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1ECA6D2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0,745</w:t>
            </w:r>
          </w:p>
        </w:tc>
        <w:tc>
          <w:tcPr>
            <w:tcW w:w="2687" w:type="dxa"/>
            <w:vAlign w:val="center"/>
          </w:tcPr>
          <w:p w14:paraId="56CA465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w:t>
            </w:r>
            <w:r w:rsidRPr="00A81B58">
              <w:rPr>
                <w:rFonts w:ascii="Times New Roman" w:hAnsi="Times New Roman" w:cs="Times New Roman"/>
              </w:rPr>
              <w:br/>
              <w:t>Medijan ukazuje da većina ispitanika prepoznaje njegov značaj.</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sugerira da se pravovremena i jasna komunikacija s javnošću smatra presudnom.</w:t>
            </w:r>
            <w:r w:rsidRPr="00A81B58">
              <w:rPr>
                <w:rFonts w:ascii="Times New Roman" w:hAnsi="Times New Roman" w:cs="Times New Roman"/>
              </w:rPr>
              <w:br/>
              <w:t>Umjerena standardna devijacija (</w:t>
            </w:r>
            <w:r w:rsidRPr="00A81B58">
              <w:rPr>
                <w:rFonts w:ascii="Times New Roman" w:hAnsi="Times New Roman" w:cs="Times New Roman"/>
                <w:bCs/>
              </w:rPr>
              <w:t>0,745</w:t>
            </w:r>
            <w:r w:rsidRPr="00A81B58">
              <w:rPr>
                <w:rFonts w:ascii="Times New Roman" w:hAnsi="Times New Roman" w:cs="Times New Roman"/>
              </w:rPr>
              <w:t>) pokazuje da postoji određena varijabilnost u mišljenjima.</w:t>
            </w:r>
          </w:p>
        </w:tc>
      </w:tr>
      <w:tr w:rsidR="006571B5" w:rsidRPr="00A81B58" w14:paraId="68C89F2D" w14:textId="77777777" w:rsidTr="00A81B58">
        <w:trPr>
          <w:trHeight w:val="255"/>
        </w:trPr>
        <w:tc>
          <w:tcPr>
            <w:tcW w:w="718" w:type="dxa"/>
            <w:vAlign w:val="center"/>
          </w:tcPr>
          <w:p w14:paraId="1F7A463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1671" w:type="dxa"/>
            <w:noWrap/>
            <w:vAlign w:val="center"/>
          </w:tcPr>
          <w:p w14:paraId="30E4D61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Integracija informacijske infrastrukturu poduzeća koja su sudjelovale u akvizicijskom procesu</w:t>
            </w:r>
          </w:p>
        </w:tc>
        <w:tc>
          <w:tcPr>
            <w:tcW w:w="1279" w:type="dxa"/>
            <w:noWrap/>
            <w:vAlign w:val="center"/>
          </w:tcPr>
          <w:p w14:paraId="55F5307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1011" w:type="dxa"/>
            <w:noWrap/>
            <w:vAlign w:val="center"/>
          </w:tcPr>
          <w:p w14:paraId="3A50A9A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438971D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0AE2115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0,745</w:t>
            </w:r>
          </w:p>
        </w:tc>
        <w:tc>
          <w:tcPr>
            <w:tcW w:w="2687" w:type="dxa"/>
            <w:vAlign w:val="center"/>
          </w:tcPr>
          <w:p w14:paraId="1DBFF93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važan za dugoročnu stabilnost poduzeća nakon preuzimanja.</w:t>
            </w:r>
            <w:r w:rsidRPr="00A81B58">
              <w:rPr>
                <w:rFonts w:ascii="Times New Roman" w:hAnsi="Times New Roman" w:cs="Times New Roman"/>
              </w:rPr>
              <w:br/>
              <w:t>Medijan pokazuje da većina ispitanika smatra da je usklađenost IT sustava važna.</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potvrđuje visoki značaj ovog čimbenika.</w:t>
            </w:r>
            <w:r w:rsidRPr="00A81B58">
              <w:rPr>
                <w:rFonts w:ascii="Times New Roman" w:hAnsi="Times New Roman" w:cs="Times New Roman"/>
              </w:rPr>
              <w:br/>
              <w:t>Umjerena standardna devijacija (</w:t>
            </w:r>
            <w:r w:rsidRPr="00A81B58">
              <w:rPr>
                <w:rFonts w:ascii="Times New Roman" w:hAnsi="Times New Roman" w:cs="Times New Roman"/>
                <w:bCs/>
              </w:rPr>
              <w:t>0,745</w:t>
            </w:r>
            <w:r w:rsidRPr="00A81B58">
              <w:rPr>
                <w:rFonts w:ascii="Times New Roman" w:hAnsi="Times New Roman" w:cs="Times New Roman"/>
              </w:rPr>
              <w:t>) sugerira da postoje određena neslaganja.</w:t>
            </w:r>
          </w:p>
        </w:tc>
      </w:tr>
      <w:tr w:rsidR="006571B5" w:rsidRPr="00A81B58" w14:paraId="4FB2F6C6" w14:textId="77777777" w:rsidTr="00A81B58">
        <w:trPr>
          <w:trHeight w:val="255"/>
        </w:trPr>
        <w:tc>
          <w:tcPr>
            <w:tcW w:w="718" w:type="dxa"/>
            <w:vAlign w:val="center"/>
          </w:tcPr>
          <w:p w14:paraId="738F6646" w14:textId="77777777" w:rsidR="006571B5" w:rsidRPr="00A81B58" w:rsidRDefault="006571B5" w:rsidP="00A81B58">
            <w:pPr>
              <w:spacing w:after="160" w:line="259" w:lineRule="auto"/>
              <w:jc w:val="center"/>
              <w:rPr>
                <w:rFonts w:ascii="Times New Roman" w:hAnsi="Times New Roman" w:cs="Times New Roman"/>
              </w:rPr>
            </w:pPr>
          </w:p>
        </w:tc>
        <w:tc>
          <w:tcPr>
            <w:tcW w:w="1671" w:type="dxa"/>
            <w:noWrap/>
            <w:vAlign w:val="center"/>
          </w:tcPr>
          <w:p w14:paraId="5F537EF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Niveliranje razlika u stilovima upravljanja između poduzeća koja su sudjelovale u procesu spajanja i preuzimanja</w:t>
            </w:r>
          </w:p>
        </w:tc>
        <w:tc>
          <w:tcPr>
            <w:tcW w:w="1279" w:type="dxa"/>
            <w:noWrap/>
            <w:vAlign w:val="center"/>
          </w:tcPr>
          <w:p w14:paraId="213ACD8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4,167</w:t>
            </w:r>
          </w:p>
        </w:tc>
        <w:tc>
          <w:tcPr>
            <w:tcW w:w="1011" w:type="dxa"/>
            <w:noWrap/>
            <w:vAlign w:val="center"/>
          </w:tcPr>
          <w:p w14:paraId="67EBA14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5597674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2C61EF0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0,687</w:t>
            </w:r>
          </w:p>
        </w:tc>
        <w:tc>
          <w:tcPr>
            <w:tcW w:w="2687" w:type="dxa"/>
            <w:vAlign w:val="center"/>
          </w:tcPr>
          <w:p w14:paraId="441AB58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značajan u fazi integracije.</w:t>
            </w:r>
            <w:r w:rsidRPr="00A81B58">
              <w:rPr>
                <w:rFonts w:ascii="Times New Roman" w:hAnsi="Times New Roman" w:cs="Times New Roman"/>
              </w:rPr>
              <w:br/>
              <w:t>Medijan pokazuje da većina ispitanika smatra da je važno uskladiti stilove upravljanja kako bi se izbjegle organizacijske nesuglasice.</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je ovaj čimbenik važan, ali ne presudan.</w:t>
            </w:r>
            <w:r w:rsidRPr="00A81B58">
              <w:rPr>
                <w:rFonts w:ascii="Times New Roman" w:hAnsi="Times New Roman" w:cs="Times New Roman"/>
              </w:rPr>
              <w:br/>
              <w:t>Umjerena standardna devijacija (</w:t>
            </w:r>
            <w:r w:rsidRPr="00A81B58">
              <w:rPr>
                <w:rFonts w:ascii="Times New Roman" w:hAnsi="Times New Roman" w:cs="Times New Roman"/>
                <w:bCs/>
              </w:rPr>
              <w:t>0,687</w:t>
            </w:r>
            <w:r w:rsidRPr="00A81B58">
              <w:rPr>
                <w:rFonts w:ascii="Times New Roman" w:hAnsi="Times New Roman" w:cs="Times New Roman"/>
              </w:rPr>
              <w:t xml:space="preserve">) pokazuje da postoji relativno visoka </w:t>
            </w:r>
            <w:r w:rsidRPr="00A81B58">
              <w:rPr>
                <w:rFonts w:ascii="Times New Roman" w:hAnsi="Times New Roman" w:cs="Times New Roman"/>
              </w:rPr>
              <w:lastRenderedPageBreak/>
              <w:t>razina slaganja među ispitanicima.</w:t>
            </w:r>
          </w:p>
        </w:tc>
      </w:tr>
      <w:tr w:rsidR="006571B5" w:rsidRPr="00A81B58" w14:paraId="72DA08CD" w14:textId="77777777" w:rsidTr="00A81B58">
        <w:trPr>
          <w:trHeight w:val="255"/>
        </w:trPr>
        <w:tc>
          <w:tcPr>
            <w:tcW w:w="718" w:type="dxa"/>
            <w:vAlign w:val="center"/>
          </w:tcPr>
          <w:p w14:paraId="1FB1F80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4</w:t>
            </w:r>
          </w:p>
        </w:tc>
        <w:tc>
          <w:tcPr>
            <w:tcW w:w="1671" w:type="dxa"/>
            <w:noWrap/>
            <w:vAlign w:val="center"/>
          </w:tcPr>
          <w:p w14:paraId="0983EB53" w14:textId="4DB8BDEA"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Formalni plan zajedničke integracije od strane vodećih upravljačkih timova oba poduzeća (poduzeća preuzimatelja i poduzeća mete)</w:t>
            </w:r>
          </w:p>
        </w:tc>
        <w:tc>
          <w:tcPr>
            <w:tcW w:w="1279" w:type="dxa"/>
            <w:noWrap/>
            <w:vAlign w:val="center"/>
          </w:tcPr>
          <w:p w14:paraId="24E7820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4,167</w:t>
            </w:r>
          </w:p>
        </w:tc>
        <w:tc>
          <w:tcPr>
            <w:tcW w:w="1011" w:type="dxa"/>
            <w:noWrap/>
            <w:vAlign w:val="center"/>
          </w:tcPr>
          <w:p w14:paraId="60742D3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656" w:type="dxa"/>
            <w:noWrap/>
            <w:vAlign w:val="center"/>
          </w:tcPr>
          <w:p w14:paraId="63F6AB2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329" w:type="dxa"/>
            <w:noWrap/>
            <w:vAlign w:val="center"/>
          </w:tcPr>
          <w:p w14:paraId="09110F2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0,898</w:t>
            </w:r>
          </w:p>
        </w:tc>
        <w:tc>
          <w:tcPr>
            <w:tcW w:w="2687" w:type="dxa"/>
            <w:vAlign w:val="center"/>
          </w:tcPr>
          <w:p w14:paraId="6E7E002F"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važnost ovog čimbenika, ali su odgovori nešto varijabilniji.</w:t>
            </w:r>
            <w:r w:rsidRPr="00A81B58">
              <w:rPr>
                <w:rFonts w:ascii="Times New Roman" w:hAnsi="Times New Roman" w:cs="Times New Roman"/>
              </w:rPr>
              <w:br/>
              <w:t>Medijan ukazuje da većina ispitanika smatra da je ovaj čimbenik značajan.</w:t>
            </w:r>
            <w:r w:rsidRPr="00A81B58">
              <w:rPr>
                <w:rFonts w:ascii="Times New Roman" w:hAnsi="Times New Roman" w:cs="Times New Roman"/>
              </w:rPr>
              <w:br/>
              <w:t xml:space="preserve">Najčešća ocjena </w:t>
            </w:r>
            <w:r w:rsidRPr="00A81B58">
              <w:rPr>
                <w:rFonts w:ascii="Times New Roman" w:hAnsi="Times New Roman" w:cs="Times New Roman"/>
                <w:bCs/>
              </w:rPr>
              <w:t>5</w:t>
            </w:r>
            <w:r w:rsidRPr="00A81B58">
              <w:rPr>
                <w:rFonts w:ascii="Times New Roman" w:hAnsi="Times New Roman" w:cs="Times New Roman"/>
              </w:rPr>
              <w:t xml:space="preserve"> pokazuje da velik broj ispitanika ovaj čimbenik vidi kao ključan.</w:t>
            </w:r>
            <w:r w:rsidRPr="00A81B58">
              <w:rPr>
                <w:rFonts w:ascii="Times New Roman" w:hAnsi="Times New Roman" w:cs="Times New Roman"/>
              </w:rPr>
              <w:br/>
              <w:t>Viša standardna devijacija (</w:t>
            </w:r>
            <w:r w:rsidRPr="00A81B58">
              <w:rPr>
                <w:rFonts w:ascii="Times New Roman" w:hAnsi="Times New Roman" w:cs="Times New Roman"/>
                <w:bCs/>
              </w:rPr>
              <w:t>0,898</w:t>
            </w:r>
            <w:r w:rsidRPr="00A81B58">
              <w:rPr>
                <w:rFonts w:ascii="Times New Roman" w:hAnsi="Times New Roman" w:cs="Times New Roman"/>
              </w:rPr>
              <w:t>) sugerira podijeljena mišljenja među ispitanicima.</w:t>
            </w:r>
          </w:p>
        </w:tc>
      </w:tr>
      <w:tr w:rsidR="006571B5" w:rsidRPr="00A81B58" w14:paraId="062BF8D9" w14:textId="77777777" w:rsidTr="00A81B58">
        <w:trPr>
          <w:trHeight w:val="255"/>
        </w:trPr>
        <w:tc>
          <w:tcPr>
            <w:tcW w:w="718" w:type="dxa"/>
            <w:vAlign w:val="center"/>
          </w:tcPr>
          <w:p w14:paraId="319098E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671" w:type="dxa"/>
            <w:noWrap/>
            <w:vAlign w:val="center"/>
          </w:tcPr>
          <w:p w14:paraId="1345EC0C"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Brza integracija radi ostvarivanja zacrtanog plana</w:t>
            </w:r>
          </w:p>
        </w:tc>
        <w:tc>
          <w:tcPr>
            <w:tcW w:w="1279" w:type="dxa"/>
            <w:noWrap/>
            <w:vAlign w:val="center"/>
          </w:tcPr>
          <w:p w14:paraId="7C7D48F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1011" w:type="dxa"/>
            <w:noWrap/>
            <w:vAlign w:val="center"/>
          </w:tcPr>
          <w:p w14:paraId="6D645BC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3E21E8D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35EE4A3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0,577</w:t>
            </w:r>
          </w:p>
        </w:tc>
        <w:tc>
          <w:tcPr>
            <w:tcW w:w="2687" w:type="dxa"/>
            <w:vAlign w:val="center"/>
          </w:tcPr>
          <w:p w14:paraId="11A1C5BF"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važnost brzine integracije, ali se stavovi donekle razlikuju.</w:t>
            </w:r>
            <w:r w:rsidRPr="00A81B58">
              <w:rPr>
                <w:rFonts w:ascii="Times New Roman" w:hAnsi="Times New Roman" w:cs="Times New Roman"/>
              </w:rPr>
              <w:br/>
              <w:t>Medijan pokazuje da većina ispitanika smatra da je ovaj čimbenik bitan.</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neki ispitanici smatraju da se integracija treba odvijati postupno.</w:t>
            </w:r>
            <w:r w:rsidRPr="00A81B58">
              <w:rPr>
                <w:rFonts w:ascii="Times New Roman" w:hAnsi="Times New Roman" w:cs="Times New Roman"/>
              </w:rPr>
              <w:br/>
              <w:t>Relativno niska standardna devijacija (</w:t>
            </w:r>
            <w:r w:rsidRPr="00A81B58">
              <w:rPr>
                <w:rFonts w:ascii="Times New Roman" w:hAnsi="Times New Roman" w:cs="Times New Roman"/>
                <w:bCs/>
              </w:rPr>
              <w:t>0,577</w:t>
            </w:r>
            <w:r w:rsidRPr="00A81B58">
              <w:rPr>
                <w:rFonts w:ascii="Times New Roman" w:hAnsi="Times New Roman" w:cs="Times New Roman"/>
              </w:rPr>
              <w:t>) ukazuje na umjereno slaganje ispitanika.</w:t>
            </w:r>
          </w:p>
        </w:tc>
      </w:tr>
      <w:tr w:rsidR="006571B5" w:rsidRPr="00A81B58" w14:paraId="785AC1AC" w14:textId="77777777" w:rsidTr="00A81B58">
        <w:trPr>
          <w:trHeight w:val="255"/>
        </w:trPr>
        <w:tc>
          <w:tcPr>
            <w:tcW w:w="718" w:type="dxa"/>
            <w:vAlign w:val="center"/>
          </w:tcPr>
          <w:p w14:paraId="5FF642B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5</w:t>
            </w:r>
          </w:p>
        </w:tc>
        <w:tc>
          <w:tcPr>
            <w:tcW w:w="1671" w:type="dxa"/>
            <w:noWrap/>
            <w:vAlign w:val="center"/>
          </w:tcPr>
          <w:p w14:paraId="056B6FC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Identificiranje i usmjeravanje na ostvarivanje glavnih vrijednosnih pokretača procesa akvizicije</w:t>
            </w:r>
          </w:p>
        </w:tc>
        <w:tc>
          <w:tcPr>
            <w:tcW w:w="1279" w:type="dxa"/>
            <w:noWrap/>
            <w:vAlign w:val="center"/>
          </w:tcPr>
          <w:p w14:paraId="05AC0FB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1011" w:type="dxa"/>
            <w:noWrap/>
            <w:vAlign w:val="center"/>
          </w:tcPr>
          <w:p w14:paraId="34E2D07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7C63626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1329" w:type="dxa"/>
            <w:noWrap/>
            <w:vAlign w:val="center"/>
          </w:tcPr>
          <w:p w14:paraId="0BC3041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0,816</w:t>
            </w:r>
          </w:p>
        </w:tc>
        <w:tc>
          <w:tcPr>
            <w:tcW w:w="2687" w:type="dxa"/>
            <w:vAlign w:val="center"/>
          </w:tcPr>
          <w:p w14:paraId="5380341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važnost ovog čimbenika u fazi integracije.</w:t>
            </w:r>
            <w:r w:rsidRPr="00A81B58">
              <w:rPr>
                <w:rFonts w:ascii="Times New Roman" w:hAnsi="Times New Roman" w:cs="Times New Roman"/>
              </w:rPr>
              <w:br/>
              <w:t>Medijan pokazuje da većina ispitanika ovaj čimbenik smatra značajnim.</w:t>
            </w:r>
            <w:r w:rsidRPr="00A81B58">
              <w:rPr>
                <w:rFonts w:ascii="Times New Roman" w:hAnsi="Times New Roman" w:cs="Times New Roman"/>
              </w:rPr>
              <w:br/>
              <w:t xml:space="preserve">Najčešća ocjena </w:t>
            </w:r>
            <w:r w:rsidRPr="00A81B58">
              <w:rPr>
                <w:rFonts w:ascii="Times New Roman" w:hAnsi="Times New Roman" w:cs="Times New Roman"/>
                <w:bCs/>
              </w:rPr>
              <w:t>3</w:t>
            </w:r>
            <w:r w:rsidRPr="00A81B58">
              <w:rPr>
                <w:rFonts w:ascii="Times New Roman" w:hAnsi="Times New Roman" w:cs="Times New Roman"/>
              </w:rPr>
              <w:t xml:space="preserve"> sugerira da postoji određena nesigurnost u njegovu važnost.</w:t>
            </w:r>
            <w:r w:rsidRPr="00A81B58">
              <w:rPr>
                <w:rFonts w:ascii="Times New Roman" w:hAnsi="Times New Roman" w:cs="Times New Roman"/>
              </w:rPr>
              <w:br/>
              <w:t>Standardna devijacija (</w:t>
            </w:r>
            <w:r w:rsidRPr="00A81B58">
              <w:rPr>
                <w:rFonts w:ascii="Times New Roman" w:hAnsi="Times New Roman" w:cs="Times New Roman"/>
                <w:bCs/>
              </w:rPr>
              <w:t>0,816</w:t>
            </w:r>
            <w:r w:rsidRPr="00A81B58">
              <w:rPr>
                <w:rFonts w:ascii="Times New Roman" w:hAnsi="Times New Roman" w:cs="Times New Roman"/>
              </w:rPr>
              <w:t xml:space="preserve">) ukazuje na </w:t>
            </w:r>
            <w:r w:rsidRPr="00A81B58">
              <w:rPr>
                <w:rFonts w:ascii="Times New Roman" w:hAnsi="Times New Roman" w:cs="Times New Roman"/>
              </w:rPr>
              <w:lastRenderedPageBreak/>
              <w:t>umjereno neslaganje među ispitanicima.</w:t>
            </w:r>
          </w:p>
        </w:tc>
      </w:tr>
      <w:tr w:rsidR="006571B5" w:rsidRPr="00A81B58" w14:paraId="7E914C6D" w14:textId="77777777" w:rsidTr="00A81B58">
        <w:trPr>
          <w:trHeight w:val="255"/>
        </w:trPr>
        <w:tc>
          <w:tcPr>
            <w:tcW w:w="718" w:type="dxa"/>
            <w:vAlign w:val="center"/>
          </w:tcPr>
          <w:p w14:paraId="4CC4DE9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5</w:t>
            </w:r>
          </w:p>
        </w:tc>
        <w:tc>
          <w:tcPr>
            <w:tcW w:w="1671" w:type="dxa"/>
            <w:noWrap/>
            <w:vAlign w:val="center"/>
          </w:tcPr>
          <w:p w14:paraId="379C317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Promptna objava plana razvoja ljudskih resursa nakon procesa akvizicije (npr. ključne funkcije, ovlasti i odgovornosti, planovi otpuštanja itd. u novoosnovanom zajedničkom poduzeću ili u oba poduzeća koje su sudjelovala u akvizicijskom procesu)</w:t>
            </w:r>
          </w:p>
        </w:tc>
        <w:tc>
          <w:tcPr>
            <w:tcW w:w="1279" w:type="dxa"/>
            <w:noWrap/>
            <w:vAlign w:val="center"/>
          </w:tcPr>
          <w:p w14:paraId="7E23015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4,000</w:t>
            </w:r>
          </w:p>
        </w:tc>
        <w:tc>
          <w:tcPr>
            <w:tcW w:w="1011" w:type="dxa"/>
            <w:noWrap/>
            <w:vAlign w:val="center"/>
          </w:tcPr>
          <w:p w14:paraId="1FF84A2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13411C93"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43F1F08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1,000</w:t>
            </w:r>
          </w:p>
        </w:tc>
        <w:tc>
          <w:tcPr>
            <w:tcW w:w="2687" w:type="dxa"/>
            <w:vAlign w:val="center"/>
          </w:tcPr>
          <w:p w14:paraId="33A5E6B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su podijeljeni oko važnosti ovog čimbenika.</w:t>
            </w:r>
            <w:r w:rsidRPr="00A81B58">
              <w:rPr>
                <w:rFonts w:ascii="Times New Roman" w:hAnsi="Times New Roman" w:cs="Times New Roman"/>
              </w:rPr>
              <w:br/>
              <w:t>Medijan pokazuje da većina ispitanika smatra da je pravovremena objava plana korisna.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mnogi ispitanici smatraju da ovaj čimbenik igra važnu, ali ne presudnu ulogu.</w:t>
            </w:r>
            <w:r w:rsidRPr="00A81B58">
              <w:rPr>
                <w:rFonts w:ascii="Times New Roman" w:hAnsi="Times New Roman" w:cs="Times New Roman"/>
              </w:rPr>
              <w:br/>
              <w:t>Visoka standardna devijacija (</w:t>
            </w:r>
            <w:r w:rsidRPr="00A81B58">
              <w:rPr>
                <w:rFonts w:ascii="Times New Roman" w:hAnsi="Times New Roman" w:cs="Times New Roman"/>
                <w:bCs/>
              </w:rPr>
              <w:t>1,0</w:t>
            </w:r>
            <w:r w:rsidRPr="00A81B58">
              <w:rPr>
                <w:rFonts w:ascii="Times New Roman" w:hAnsi="Times New Roman" w:cs="Times New Roman"/>
              </w:rPr>
              <w:t>) ukazuje na velika odstupanja u mišljenjima.</w:t>
            </w:r>
          </w:p>
        </w:tc>
      </w:tr>
      <w:tr w:rsidR="006571B5" w:rsidRPr="00A81B58" w14:paraId="04DB7A46" w14:textId="77777777" w:rsidTr="00A81B58">
        <w:trPr>
          <w:trHeight w:val="255"/>
        </w:trPr>
        <w:tc>
          <w:tcPr>
            <w:tcW w:w="718" w:type="dxa"/>
            <w:vAlign w:val="center"/>
          </w:tcPr>
          <w:p w14:paraId="272DF02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6</w:t>
            </w:r>
          </w:p>
        </w:tc>
        <w:tc>
          <w:tcPr>
            <w:tcW w:w="1671" w:type="dxa"/>
            <w:noWrap/>
            <w:vAlign w:val="center"/>
          </w:tcPr>
          <w:p w14:paraId="2862DA1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Uspostavljanje novih programa procjene učinka uspješnosti u poduzećima koje su sudjelovale u procesu spajanja i preuzimanja bez obzira na njihovu trenutnu pravnu osobnost</w:t>
            </w:r>
          </w:p>
        </w:tc>
        <w:tc>
          <w:tcPr>
            <w:tcW w:w="1279" w:type="dxa"/>
            <w:noWrap/>
            <w:vAlign w:val="center"/>
          </w:tcPr>
          <w:p w14:paraId="7354861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3,833</w:t>
            </w:r>
          </w:p>
        </w:tc>
        <w:tc>
          <w:tcPr>
            <w:tcW w:w="1011" w:type="dxa"/>
            <w:noWrap/>
            <w:vAlign w:val="center"/>
          </w:tcPr>
          <w:p w14:paraId="0CA9A20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62BA003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14A75317"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0,687</w:t>
            </w:r>
          </w:p>
        </w:tc>
        <w:tc>
          <w:tcPr>
            <w:tcW w:w="2687" w:type="dxa"/>
            <w:vAlign w:val="center"/>
          </w:tcPr>
          <w:p w14:paraId="722B5EA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važan, ali ne presudan.</w:t>
            </w:r>
            <w:r w:rsidRPr="00A81B58">
              <w:rPr>
                <w:rFonts w:ascii="Times New Roman" w:hAnsi="Times New Roman" w:cs="Times New Roman"/>
              </w:rPr>
              <w:br/>
              <w:t>Medijan pokazuje da većina ispitanika smatra da su novi programi evaluacije potrebni, ali ne nužno odmah nakon preuzimanja.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se većina ispitanika slaže oko važnosti ove mjere.</w:t>
            </w:r>
            <w:r w:rsidRPr="00A81B58">
              <w:rPr>
                <w:rFonts w:ascii="Times New Roman" w:hAnsi="Times New Roman" w:cs="Times New Roman"/>
              </w:rPr>
              <w:br/>
              <w:t>Umjerena standardna devijacija (</w:t>
            </w:r>
            <w:r w:rsidRPr="00A81B58">
              <w:rPr>
                <w:rFonts w:ascii="Times New Roman" w:hAnsi="Times New Roman" w:cs="Times New Roman"/>
                <w:bCs/>
              </w:rPr>
              <w:t>0,687</w:t>
            </w:r>
            <w:r w:rsidRPr="00A81B58">
              <w:rPr>
                <w:rFonts w:ascii="Times New Roman" w:hAnsi="Times New Roman" w:cs="Times New Roman"/>
              </w:rPr>
              <w:t>) pokazuje da postoji određena razlika u mišljenjima.</w:t>
            </w:r>
          </w:p>
        </w:tc>
      </w:tr>
      <w:tr w:rsidR="006571B5" w:rsidRPr="00A81B58" w14:paraId="5236397A" w14:textId="77777777" w:rsidTr="00A81B58">
        <w:trPr>
          <w:trHeight w:val="255"/>
        </w:trPr>
        <w:tc>
          <w:tcPr>
            <w:tcW w:w="718" w:type="dxa"/>
            <w:vAlign w:val="center"/>
          </w:tcPr>
          <w:p w14:paraId="72EE931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6</w:t>
            </w:r>
          </w:p>
        </w:tc>
        <w:tc>
          <w:tcPr>
            <w:tcW w:w="1671" w:type="dxa"/>
            <w:noWrap/>
            <w:vAlign w:val="center"/>
          </w:tcPr>
          <w:p w14:paraId="458DB40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Asimiliranje kulturoloških sustava poduzeća preuzimatelja (tj. vrijednosti, norme) u poslovnu </w:t>
            </w:r>
            <w:r w:rsidRPr="00A81B58">
              <w:rPr>
                <w:rFonts w:ascii="Times New Roman" w:hAnsi="Times New Roman" w:cs="Times New Roman"/>
              </w:rPr>
              <w:lastRenderedPageBreak/>
              <w:t>kulturu poduzeća mete</w:t>
            </w:r>
          </w:p>
        </w:tc>
        <w:tc>
          <w:tcPr>
            <w:tcW w:w="1279" w:type="dxa"/>
            <w:noWrap/>
            <w:vAlign w:val="center"/>
          </w:tcPr>
          <w:p w14:paraId="683FF590"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3,833</w:t>
            </w:r>
          </w:p>
        </w:tc>
        <w:tc>
          <w:tcPr>
            <w:tcW w:w="1011" w:type="dxa"/>
            <w:noWrap/>
            <w:vAlign w:val="center"/>
          </w:tcPr>
          <w:p w14:paraId="78BC75AB"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70FB119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6ADE9A0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0,898</w:t>
            </w:r>
          </w:p>
        </w:tc>
        <w:tc>
          <w:tcPr>
            <w:tcW w:w="2687" w:type="dxa"/>
            <w:vAlign w:val="center"/>
          </w:tcPr>
          <w:p w14:paraId="78C900F2"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važnost kulturološke prilagodbe, ali stavovi o njezinoj presudnosti su podijeljeni.</w:t>
            </w:r>
            <w:r w:rsidRPr="00A81B58">
              <w:rPr>
                <w:rFonts w:ascii="Times New Roman" w:hAnsi="Times New Roman" w:cs="Times New Roman"/>
              </w:rPr>
              <w:br/>
              <w:t xml:space="preserve">Medijan pokazuje da većina ispitanika vjeruje da je potrebna određena </w:t>
            </w:r>
            <w:r w:rsidRPr="00A81B58">
              <w:rPr>
                <w:rFonts w:ascii="Times New Roman" w:hAnsi="Times New Roman" w:cs="Times New Roman"/>
              </w:rPr>
              <w:lastRenderedPageBreak/>
              <w:t>prilagodba poslovne kulture, ali nije nužno ključan čimbenik uspjeha integracije.</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potvrđuje da većina ispitanika smatra da kulturološka integracija igra važnu ulogu.</w:t>
            </w:r>
            <w:r w:rsidRPr="00A81B58">
              <w:rPr>
                <w:rFonts w:ascii="Times New Roman" w:hAnsi="Times New Roman" w:cs="Times New Roman"/>
              </w:rPr>
              <w:br/>
              <w:t>Standardna devijacija (</w:t>
            </w:r>
            <w:r w:rsidRPr="00A81B58">
              <w:rPr>
                <w:rFonts w:ascii="Times New Roman" w:hAnsi="Times New Roman" w:cs="Times New Roman"/>
                <w:bCs/>
              </w:rPr>
              <w:t>0,898</w:t>
            </w:r>
            <w:r w:rsidRPr="00A81B58">
              <w:rPr>
                <w:rFonts w:ascii="Times New Roman" w:hAnsi="Times New Roman" w:cs="Times New Roman"/>
              </w:rPr>
              <w:t>) pokazuje da postoje razlike u mišljenjima, što ukazuje na različite pristupe integraciji u praksi.</w:t>
            </w:r>
          </w:p>
        </w:tc>
      </w:tr>
      <w:tr w:rsidR="006571B5" w:rsidRPr="00A81B58" w14:paraId="0A33C155" w14:textId="77777777" w:rsidTr="00A81B58">
        <w:trPr>
          <w:trHeight w:val="255"/>
        </w:trPr>
        <w:tc>
          <w:tcPr>
            <w:tcW w:w="718" w:type="dxa"/>
            <w:vAlign w:val="center"/>
          </w:tcPr>
          <w:p w14:paraId="0547D703"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7</w:t>
            </w:r>
          </w:p>
        </w:tc>
        <w:tc>
          <w:tcPr>
            <w:tcW w:w="1671" w:type="dxa"/>
            <w:noWrap/>
            <w:vAlign w:val="center"/>
          </w:tcPr>
          <w:p w14:paraId="301051D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Razvojni programi kojima se potiče osjećaj zajedništva između zaposlenika poduzeća koja su sudjelovala u akvizicijskom procesu (bez obzira na njihov trenutni pravni status)</w:t>
            </w:r>
          </w:p>
        </w:tc>
        <w:tc>
          <w:tcPr>
            <w:tcW w:w="1279" w:type="dxa"/>
            <w:noWrap/>
            <w:vAlign w:val="center"/>
          </w:tcPr>
          <w:p w14:paraId="7D1FED4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3,667</w:t>
            </w:r>
          </w:p>
        </w:tc>
        <w:tc>
          <w:tcPr>
            <w:tcW w:w="1011" w:type="dxa"/>
            <w:noWrap/>
            <w:vAlign w:val="center"/>
          </w:tcPr>
          <w:p w14:paraId="4CDED6FF"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56" w:type="dxa"/>
            <w:noWrap/>
            <w:vAlign w:val="center"/>
          </w:tcPr>
          <w:p w14:paraId="1BEAC79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1329" w:type="dxa"/>
            <w:noWrap/>
            <w:vAlign w:val="center"/>
          </w:tcPr>
          <w:p w14:paraId="18F77BE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0,943</w:t>
            </w:r>
          </w:p>
        </w:tc>
        <w:tc>
          <w:tcPr>
            <w:tcW w:w="2687" w:type="dxa"/>
            <w:vAlign w:val="center"/>
          </w:tcPr>
          <w:p w14:paraId="6958AEB8"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važan, ali ne presudan.</w:t>
            </w:r>
            <w:r w:rsidRPr="00A81B58">
              <w:rPr>
                <w:rFonts w:ascii="Times New Roman" w:hAnsi="Times New Roman" w:cs="Times New Roman"/>
              </w:rPr>
              <w:br/>
              <w:t>Medijan ukazuje da većina ispitanika smatra da je ovaj čimbenik značajan, ali ne ključan.</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je razvoj zajedništva među zaposlenicima poželjan, ali ne nužno prioritetan.</w:t>
            </w:r>
            <w:r w:rsidRPr="00A81B58">
              <w:rPr>
                <w:rFonts w:ascii="Times New Roman" w:hAnsi="Times New Roman" w:cs="Times New Roman"/>
              </w:rPr>
              <w:br/>
              <w:t>Viša standardna devijacija (</w:t>
            </w:r>
            <w:r w:rsidRPr="00A81B58">
              <w:rPr>
                <w:rFonts w:ascii="Times New Roman" w:hAnsi="Times New Roman" w:cs="Times New Roman"/>
                <w:bCs/>
              </w:rPr>
              <w:t>0,943</w:t>
            </w:r>
            <w:r w:rsidRPr="00A81B58">
              <w:rPr>
                <w:rFonts w:ascii="Times New Roman" w:hAnsi="Times New Roman" w:cs="Times New Roman"/>
              </w:rPr>
              <w:t>) pokazuje podijeljena mišljenja o njegovoj važnosti.</w:t>
            </w:r>
          </w:p>
        </w:tc>
      </w:tr>
      <w:tr w:rsidR="006571B5" w:rsidRPr="00A81B58" w14:paraId="30C38D2E" w14:textId="77777777" w:rsidTr="00A81B58">
        <w:trPr>
          <w:trHeight w:val="255"/>
        </w:trPr>
        <w:tc>
          <w:tcPr>
            <w:tcW w:w="718" w:type="dxa"/>
            <w:vAlign w:val="center"/>
          </w:tcPr>
          <w:p w14:paraId="7E8C905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8</w:t>
            </w:r>
          </w:p>
        </w:tc>
        <w:tc>
          <w:tcPr>
            <w:tcW w:w="1671" w:type="dxa"/>
            <w:noWrap/>
            <w:vAlign w:val="center"/>
          </w:tcPr>
          <w:p w14:paraId="718AA88E" w14:textId="435A85B0"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 xml:space="preserve">Povezivanje naknada (kompenzacija)  s poboljšanjima u realizaciji slobodnih novčanih tokova (u novoosnovanom zajedničkom poduzeću ili u oba poduzeća koja su sudjelovala u </w:t>
            </w:r>
            <w:r w:rsidRPr="00A81B58">
              <w:rPr>
                <w:rFonts w:ascii="Times New Roman" w:hAnsi="Times New Roman" w:cs="Times New Roman"/>
              </w:rPr>
              <w:lastRenderedPageBreak/>
              <w:t>procesu preuzimanja)</w:t>
            </w:r>
          </w:p>
        </w:tc>
        <w:tc>
          <w:tcPr>
            <w:tcW w:w="1279" w:type="dxa"/>
            <w:noWrap/>
            <w:vAlign w:val="center"/>
          </w:tcPr>
          <w:p w14:paraId="6F714419"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lastRenderedPageBreak/>
              <w:t>3,333</w:t>
            </w:r>
          </w:p>
        </w:tc>
        <w:tc>
          <w:tcPr>
            <w:tcW w:w="1011" w:type="dxa"/>
            <w:noWrap/>
            <w:vAlign w:val="center"/>
          </w:tcPr>
          <w:p w14:paraId="674E5E4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656" w:type="dxa"/>
            <w:noWrap/>
            <w:vAlign w:val="center"/>
          </w:tcPr>
          <w:p w14:paraId="4484AD7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1329" w:type="dxa"/>
            <w:noWrap/>
            <w:vAlign w:val="center"/>
          </w:tcPr>
          <w:p w14:paraId="310004A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0,943</w:t>
            </w:r>
          </w:p>
        </w:tc>
        <w:tc>
          <w:tcPr>
            <w:tcW w:w="2687" w:type="dxa"/>
            <w:vAlign w:val="center"/>
          </w:tcPr>
          <w:p w14:paraId="68C03524"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su podijeljeni oko važnosti ovog čimbenika.</w:t>
            </w:r>
            <w:r w:rsidRPr="00A81B58">
              <w:rPr>
                <w:rFonts w:ascii="Times New Roman" w:hAnsi="Times New Roman" w:cs="Times New Roman"/>
              </w:rPr>
              <w:br/>
              <w:t>Medijan pokazuje da većina ispitanika ne vidi ovaj čimbenik kao ključan, ali ga ne isključuje iz važnih čimbenika.</w:t>
            </w:r>
            <w:r w:rsidRPr="00A81B58">
              <w:rPr>
                <w:rFonts w:ascii="Times New Roman" w:hAnsi="Times New Roman" w:cs="Times New Roman"/>
              </w:rPr>
              <w:br/>
              <w:t xml:space="preserve">Najčešća ocjena </w:t>
            </w:r>
            <w:r w:rsidRPr="00A81B58">
              <w:rPr>
                <w:rFonts w:ascii="Times New Roman" w:hAnsi="Times New Roman" w:cs="Times New Roman"/>
                <w:bCs/>
              </w:rPr>
              <w:t>3</w:t>
            </w:r>
            <w:r w:rsidRPr="00A81B58">
              <w:rPr>
                <w:rFonts w:ascii="Times New Roman" w:hAnsi="Times New Roman" w:cs="Times New Roman"/>
              </w:rPr>
              <w:t xml:space="preserve"> ukazuje na podijeljena mišljenja.</w:t>
            </w:r>
            <w:r w:rsidRPr="00A81B58">
              <w:rPr>
                <w:rFonts w:ascii="Times New Roman" w:hAnsi="Times New Roman" w:cs="Times New Roman"/>
              </w:rPr>
              <w:br/>
              <w:t>Visoka standardna devijacija (</w:t>
            </w:r>
            <w:r w:rsidRPr="00A81B58">
              <w:rPr>
                <w:rFonts w:ascii="Times New Roman" w:hAnsi="Times New Roman" w:cs="Times New Roman"/>
                <w:bCs/>
              </w:rPr>
              <w:t>0,943</w:t>
            </w:r>
            <w:r w:rsidRPr="00A81B58">
              <w:rPr>
                <w:rFonts w:ascii="Times New Roman" w:hAnsi="Times New Roman" w:cs="Times New Roman"/>
              </w:rPr>
              <w:t>) pokazuje da postoje znatne razlike u stavovima ispitanika.</w:t>
            </w:r>
          </w:p>
        </w:tc>
      </w:tr>
    </w:tbl>
    <w:p w14:paraId="590BF527"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t>Izvor: obrada autora</w:t>
      </w:r>
    </w:p>
    <w:p w14:paraId="3AC8B209"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t>Tablica 12: Rezultati drugog ciklusa Delphi postupka – ključni čimbenici uspješnosti u postakvizicijskoj fazi</w:t>
      </w:r>
    </w:p>
    <w:tbl>
      <w:tblPr>
        <w:tblStyle w:val="Reetkatablice1"/>
        <w:tblW w:w="5231" w:type="pct"/>
        <w:tblInd w:w="-431" w:type="dxa"/>
        <w:tblLayout w:type="fixed"/>
        <w:tblLook w:val="04A0" w:firstRow="1" w:lastRow="0" w:firstColumn="1" w:lastColumn="0" w:noHBand="0" w:noVBand="1"/>
      </w:tblPr>
      <w:tblGrid>
        <w:gridCol w:w="938"/>
        <w:gridCol w:w="1331"/>
        <w:gridCol w:w="1417"/>
        <w:gridCol w:w="1137"/>
        <w:gridCol w:w="708"/>
        <w:gridCol w:w="1700"/>
        <w:gridCol w:w="2551"/>
      </w:tblGrid>
      <w:tr w:rsidR="006571B5" w:rsidRPr="00A81B58" w14:paraId="7A475D4F" w14:textId="77777777" w:rsidTr="002E5B41">
        <w:trPr>
          <w:trHeight w:val="445"/>
        </w:trPr>
        <w:tc>
          <w:tcPr>
            <w:tcW w:w="479" w:type="pct"/>
          </w:tcPr>
          <w:p w14:paraId="4062C714" w14:textId="2DE0CA6A"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R</w:t>
            </w:r>
            <w:r w:rsidR="002E5B41">
              <w:rPr>
                <w:rFonts w:ascii="Times New Roman" w:hAnsi="Times New Roman" w:cs="Times New Roman"/>
                <w:b/>
                <w:lang w:val="en-US"/>
              </w:rPr>
              <w:t>ang</w:t>
            </w:r>
          </w:p>
        </w:tc>
        <w:tc>
          <w:tcPr>
            <w:tcW w:w="680" w:type="pct"/>
            <w:noWrap/>
            <w:hideMark/>
          </w:tcPr>
          <w:p w14:paraId="287C32DE" w14:textId="326A2856"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Čimbenici</w:t>
            </w:r>
          </w:p>
        </w:tc>
        <w:tc>
          <w:tcPr>
            <w:tcW w:w="724" w:type="pct"/>
            <w:noWrap/>
            <w:hideMark/>
          </w:tcPr>
          <w:p w14:paraId="3FB83801" w14:textId="77777777"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Aritmetička sredina</w:t>
            </w:r>
          </w:p>
        </w:tc>
        <w:tc>
          <w:tcPr>
            <w:tcW w:w="581" w:type="pct"/>
            <w:noWrap/>
            <w:hideMark/>
          </w:tcPr>
          <w:p w14:paraId="19495189" w14:textId="77777777"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Medijan</w:t>
            </w:r>
          </w:p>
        </w:tc>
        <w:tc>
          <w:tcPr>
            <w:tcW w:w="362" w:type="pct"/>
            <w:noWrap/>
            <w:hideMark/>
          </w:tcPr>
          <w:p w14:paraId="2CC9C013" w14:textId="77777777"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Mod</w:t>
            </w:r>
          </w:p>
        </w:tc>
        <w:tc>
          <w:tcPr>
            <w:tcW w:w="869" w:type="pct"/>
            <w:noWrap/>
            <w:hideMark/>
          </w:tcPr>
          <w:p w14:paraId="52DA616F" w14:textId="77777777"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Standardna devijacija</w:t>
            </w:r>
          </w:p>
        </w:tc>
        <w:tc>
          <w:tcPr>
            <w:tcW w:w="1304" w:type="pct"/>
          </w:tcPr>
          <w:p w14:paraId="1ED8B292" w14:textId="77777777"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Interpretacija</w:t>
            </w:r>
          </w:p>
        </w:tc>
      </w:tr>
      <w:tr w:rsidR="006571B5" w:rsidRPr="00A81B58" w14:paraId="03A32F73" w14:textId="77777777" w:rsidTr="002E5B41">
        <w:trPr>
          <w:trHeight w:val="445"/>
        </w:trPr>
        <w:tc>
          <w:tcPr>
            <w:tcW w:w="479" w:type="pct"/>
            <w:vAlign w:val="center"/>
          </w:tcPr>
          <w:p w14:paraId="1ED38A7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1</w:t>
            </w:r>
          </w:p>
        </w:tc>
        <w:tc>
          <w:tcPr>
            <w:tcW w:w="680" w:type="pct"/>
            <w:noWrap/>
            <w:vAlign w:val="center"/>
          </w:tcPr>
          <w:p w14:paraId="347417A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Uobičajeni hotelski pokazatelji uspješnosti (ADR, stopa popunjenosti, REVPAR, TREVPAR)</w:t>
            </w:r>
          </w:p>
          <w:p w14:paraId="64BC3762"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23A5A30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4,500</w:t>
            </w:r>
          </w:p>
        </w:tc>
        <w:tc>
          <w:tcPr>
            <w:tcW w:w="581" w:type="pct"/>
            <w:noWrap/>
            <w:vAlign w:val="center"/>
          </w:tcPr>
          <w:p w14:paraId="246B7FF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4,5</w:t>
            </w:r>
          </w:p>
        </w:tc>
        <w:tc>
          <w:tcPr>
            <w:tcW w:w="362" w:type="pct"/>
            <w:noWrap/>
            <w:vAlign w:val="center"/>
          </w:tcPr>
          <w:p w14:paraId="4B18B9F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0EA3EC8A"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0,500</w:t>
            </w:r>
          </w:p>
        </w:tc>
        <w:tc>
          <w:tcPr>
            <w:tcW w:w="1304" w:type="pct"/>
          </w:tcPr>
          <w:p w14:paraId="41B62481"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jedan od ključnih pokazatelja uspješnosti nakon preuzimanja.</w:t>
            </w:r>
            <w:r w:rsidRPr="00A81B58">
              <w:rPr>
                <w:rFonts w:ascii="Times New Roman" w:hAnsi="Times New Roman" w:cs="Times New Roman"/>
              </w:rPr>
              <w:br/>
              <w:t>Medijan pokazuje da većina ispitanika smatra da su hotelski pokazatelji presudni za poslovanje u sektoru hotelijerstva.</w:t>
            </w:r>
            <w:r w:rsidRPr="00A81B58">
              <w:rPr>
                <w:rFonts w:ascii="Times New Roman" w:hAnsi="Times New Roman" w:cs="Times New Roman"/>
              </w:rPr>
              <w:br/>
              <w:t xml:space="preserve">Najčešća ocjena </w:t>
            </w:r>
            <w:r w:rsidRPr="00A81B58">
              <w:rPr>
                <w:rFonts w:ascii="Times New Roman" w:hAnsi="Times New Roman" w:cs="Times New Roman"/>
                <w:bCs/>
              </w:rPr>
              <w:t>4,5</w:t>
            </w:r>
            <w:r w:rsidRPr="00A81B58">
              <w:rPr>
                <w:rFonts w:ascii="Times New Roman" w:hAnsi="Times New Roman" w:cs="Times New Roman"/>
              </w:rPr>
              <w:t xml:space="preserve"> potvrđuje da je ovaj pokazatelj vrlo važan.</w:t>
            </w:r>
            <w:r w:rsidRPr="00A81B58">
              <w:rPr>
                <w:rFonts w:ascii="Times New Roman" w:hAnsi="Times New Roman" w:cs="Times New Roman"/>
              </w:rPr>
              <w:br/>
              <w:t>Niska standardna devijacija (</w:t>
            </w:r>
            <w:r w:rsidRPr="00A81B58">
              <w:rPr>
                <w:rFonts w:ascii="Times New Roman" w:hAnsi="Times New Roman" w:cs="Times New Roman"/>
                <w:bCs/>
              </w:rPr>
              <w:t>0,5</w:t>
            </w:r>
            <w:r w:rsidRPr="00A81B58">
              <w:rPr>
                <w:rFonts w:ascii="Times New Roman" w:hAnsi="Times New Roman" w:cs="Times New Roman"/>
              </w:rPr>
              <w:t>) ukazuje na visoku razinu suglasnosti među ispitanicima.</w:t>
            </w:r>
          </w:p>
        </w:tc>
      </w:tr>
      <w:tr w:rsidR="006571B5" w:rsidRPr="00A81B58" w14:paraId="5D848062" w14:textId="77777777" w:rsidTr="002E5B41">
        <w:trPr>
          <w:trHeight w:val="445"/>
        </w:trPr>
        <w:tc>
          <w:tcPr>
            <w:tcW w:w="479" w:type="pct"/>
            <w:vAlign w:val="center"/>
          </w:tcPr>
          <w:p w14:paraId="2660064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2</w:t>
            </w:r>
          </w:p>
        </w:tc>
        <w:tc>
          <w:tcPr>
            <w:tcW w:w="680" w:type="pct"/>
            <w:noWrap/>
            <w:vAlign w:val="center"/>
          </w:tcPr>
          <w:p w14:paraId="4CDE824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Novčani tijek iz operacija (prodaja umanjena za troškove prodanih dobara i usluga, administrativne troškove uvećano za depricijaciju i goodwill)</w:t>
            </w:r>
          </w:p>
          <w:p w14:paraId="0F39A502"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317BF9D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581" w:type="pct"/>
            <w:noWrap/>
            <w:vAlign w:val="center"/>
          </w:tcPr>
          <w:p w14:paraId="7C2BBAB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34A5E421"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5B2D98E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1304" w:type="pct"/>
          </w:tcPr>
          <w:p w14:paraId="7F50E595"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financijsku stabilnost poduzeća nakon preuzimanja.</w:t>
            </w:r>
            <w:r w:rsidRPr="00A81B58">
              <w:rPr>
                <w:rFonts w:ascii="Times New Roman" w:hAnsi="Times New Roman" w:cs="Times New Roman"/>
              </w:rPr>
              <w:br/>
              <w:t>Medijan pokazuje da većina ispitanika prepoznaje važnost kontinuiranog priljeva sredstava iz operacija.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ispitanici smatraju ovaj pokazatelj jednim od ključnih za dugoročnu održivost poslovanja.</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xml:space="preserve">) ukazuje na visok stupanj </w:t>
            </w:r>
            <w:r w:rsidRPr="00A81B58">
              <w:rPr>
                <w:rFonts w:ascii="Times New Roman" w:hAnsi="Times New Roman" w:cs="Times New Roman"/>
              </w:rPr>
              <w:lastRenderedPageBreak/>
              <w:t>suglasnosti među ispitanicima.</w:t>
            </w:r>
          </w:p>
        </w:tc>
      </w:tr>
      <w:tr w:rsidR="006571B5" w:rsidRPr="00A81B58" w14:paraId="0817159B" w14:textId="77777777" w:rsidTr="002E5B41">
        <w:trPr>
          <w:trHeight w:val="445"/>
        </w:trPr>
        <w:tc>
          <w:tcPr>
            <w:tcW w:w="479" w:type="pct"/>
            <w:vAlign w:val="center"/>
          </w:tcPr>
          <w:p w14:paraId="3F3E282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2</w:t>
            </w:r>
          </w:p>
        </w:tc>
        <w:tc>
          <w:tcPr>
            <w:tcW w:w="680" w:type="pct"/>
            <w:noWrap/>
            <w:vAlign w:val="center"/>
          </w:tcPr>
          <w:p w14:paraId="4E9790B3" w14:textId="2D9A3F8A"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Prihvaćanje nove organizacijske strukture</w:t>
            </w:r>
          </w:p>
          <w:p w14:paraId="2796FAC5"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661F25F0"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4,333</w:t>
            </w:r>
          </w:p>
        </w:tc>
        <w:tc>
          <w:tcPr>
            <w:tcW w:w="581" w:type="pct"/>
            <w:noWrap/>
            <w:vAlign w:val="center"/>
          </w:tcPr>
          <w:p w14:paraId="53FF683D"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084ED64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537E839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0,471</w:t>
            </w:r>
          </w:p>
        </w:tc>
        <w:tc>
          <w:tcPr>
            <w:tcW w:w="1304" w:type="pct"/>
          </w:tcPr>
          <w:p w14:paraId="378BC52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uspješnu konsolidaciju poduzeća nakon preuzimanja.</w:t>
            </w:r>
            <w:r w:rsidRPr="00A81B58">
              <w:rPr>
                <w:rFonts w:ascii="Times New Roman" w:hAnsi="Times New Roman" w:cs="Times New Roman"/>
              </w:rPr>
              <w:br/>
              <w:t>Medijan pokazuje da većina ispitanika prepoznaje važnost uspostavljanja nove organizacijske strukture kako bi se omogućila stabilna integracija.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potvrđuje da ispitanici vide strukturalne promjene kao ključan dio procesa nakon M&amp;A.</w:t>
            </w:r>
            <w:r w:rsidRPr="00A81B58">
              <w:rPr>
                <w:rFonts w:ascii="Times New Roman" w:hAnsi="Times New Roman" w:cs="Times New Roman"/>
              </w:rPr>
              <w:br/>
              <w:t>Niska standardna devijacija (</w:t>
            </w:r>
            <w:r w:rsidRPr="00A81B58">
              <w:rPr>
                <w:rFonts w:ascii="Times New Roman" w:hAnsi="Times New Roman" w:cs="Times New Roman"/>
                <w:bCs/>
              </w:rPr>
              <w:t>0,471</w:t>
            </w:r>
            <w:r w:rsidRPr="00A81B58">
              <w:rPr>
                <w:rFonts w:ascii="Times New Roman" w:hAnsi="Times New Roman" w:cs="Times New Roman"/>
              </w:rPr>
              <w:t>) ukazuje na visoku razinu slaganja među ispitanicima.</w:t>
            </w:r>
          </w:p>
        </w:tc>
      </w:tr>
      <w:tr w:rsidR="006571B5" w:rsidRPr="00A81B58" w14:paraId="5BE4B6A8" w14:textId="77777777" w:rsidTr="002E5B41">
        <w:trPr>
          <w:trHeight w:val="445"/>
        </w:trPr>
        <w:tc>
          <w:tcPr>
            <w:tcW w:w="479" w:type="pct"/>
            <w:vAlign w:val="center"/>
          </w:tcPr>
          <w:p w14:paraId="78A483C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680" w:type="pct"/>
            <w:noWrap/>
            <w:vAlign w:val="center"/>
          </w:tcPr>
          <w:p w14:paraId="5A5FF9B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Povrat na ukupno uloženi kapital (WACC)</w:t>
            </w:r>
          </w:p>
          <w:p w14:paraId="2EFB3FD7"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77CCDF96"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4,167</w:t>
            </w:r>
          </w:p>
          <w:p w14:paraId="09AA7E73" w14:textId="77777777" w:rsidR="006571B5" w:rsidRPr="00A81B58" w:rsidRDefault="006571B5" w:rsidP="002E5B41">
            <w:pPr>
              <w:spacing w:after="160" w:line="259" w:lineRule="auto"/>
              <w:jc w:val="center"/>
              <w:rPr>
                <w:rFonts w:ascii="Times New Roman" w:hAnsi="Times New Roman" w:cs="Times New Roman"/>
              </w:rPr>
            </w:pPr>
          </w:p>
        </w:tc>
        <w:tc>
          <w:tcPr>
            <w:tcW w:w="581" w:type="pct"/>
            <w:noWrap/>
            <w:vAlign w:val="center"/>
          </w:tcPr>
          <w:p w14:paraId="6CC1A61D"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4</w:t>
            </w:r>
          </w:p>
          <w:p w14:paraId="5C0EAA68" w14:textId="77777777" w:rsidR="006571B5" w:rsidRPr="00A81B58" w:rsidRDefault="006571B5" w:rsidP="002E5B41">
            <w:pPr>
              <w:spacing w:after="160" w:line="259" w:lineRule="auto"/>
              <w:jc w:val="center"/>
              <w:rPr>
                <w:rFonts w:ascii="Times New Roman" w:hAnsi="Times New Roman" w:cs="Times New Roman"/>
              </w:rPr>
            </w:pPr>
          </w:p>
        </w:tc>
        <w:tc>
          <w:tcPr>
            <w:tcW w:w="362" w:type="pct"/>
            <w:noWrap/>
            <w:vAlign w:val="center"/>
          </w:tcPr>
          <w:p w14:paraId="39AC4BFF"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4</w:t>
            </w:r>
          </w:p>
          <w:p w14:paraId="21EC44EA" w14:textId="77777777" w:rsidR="006571B5" w:rsidRPr="00A81B58" w:rsidRDefault="006571B5" w:rsidP="002E5B41">
            <w:pPr>
              <w:spacing w:after="160" w:line="259" w:lineRule="auto"/>
              <w:jc w:val="center"/>
              <w:rPr>
                <w:rFonts w:ascii="Times New Roman" w:hAnsi="Times New Roman" w:cs="Times New Roman"/>
              </w:rPr>
            </w:pPr>
          </w:p>
        </w:tc>
        <w:tc>
          <w:tcPr>
            <w:tcW w:w="869" w:type="pct"/>
            <w:noWrap/>
            <w:vAlign w:val="center"/>
          </w:tcPr>
          <w:p w14:paraId="001C7F3B"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0,687</w:t>
            </w:r>
          </w:p>
          <w:p w14:paraId="6049B314" w14:textId="77777777" w:rsidR="006571B5" w:rsidRPr="00A81B58" w:rsidRDefault="006571B5" w:rsidP="002E5B41">
            <w:pPr>
              <w:spacing w:after="160" w:line="259" w:lineRule="auto"/>
              <w:jc w:val="center"/>
              <w:rPr>
                <w:rFonts w:ascii="Times New Roman" w:hAnsi="Times New Roman" w:cs="Times New Roman"/>
              </w:rPr>
            </w:pPr>
          </w:p>
        </w:tc>
        <w:tc>
          <w:tcPr>
            <w:tcW w:w="1304" w:type="pct"/>
          </w:tcPr>
          <w:p w14:paraId="0667EC6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vrlo važan za procjenu uspješnosti preuzimanja.</w:t>
            </w:r>
            <w:r w:rsidRPr="00A81B58">
              <w:rPr>
                <w:rFonts w:ascii="Times New Roman" w:hAnsi="Times New Roman" w:cs="Times New Roman"/>
              </w:rPr>
              <w:br/>
              <w:t>Medijan pokazuje da većina ispitanika smatra da je povrat na uloženi kapital ključan pokazatelj financijskog učinka nakon M&amp;A.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ispitanici ovaj pokazatelj prepoznaju kao značajan, ali ne svi podjednako.</w:t>
            </w:r>
            <w:r w:rsidRPr="00A81B58">
              <w:rPr>
                <w:rFonts w:ascii="Times New Roman" w:hAnsi="Times New Roman" w:cs="Times New Roman"/>
              </w:rPr>
              <w:br/>
              <w:t>Umjerena standardna devijacija (</w:t>
            </w:r>
            <w:r w:rsidRPr="00A81B58">
              <w:rPr>
                <w:rFonts w:ascii="Times New Roman" w:hAnsi="Times New Roman" w:cs="Times New Roman"/>
                <w:bCs/>
              </w:rPr>
              <w:t>0,687</w:t>
            </w:r>
            <w:r w:rsidRPr="00A81B58">
              <w:rPr>
                <w:rFonts w:ascii="Times New Roman" w:hAnsi="Times New Roman" w:cs="Times New Roman"/>
              </w:rPr>
              <w:t>) ukazuje na blagu razliku u mišljenjima ispitanika.</w:t>
            </w:r>
          </w:p>
        </w:tc>
      </w:tr>
      <w:tr w:rsidR="006571B5" w:rsidRPr="00A81B58" w14:paraId="58CC4642" w14:textId="77777777" w:rsidTr="002E5B41">
        <w:trPr>
          <w:trHeight w:val="445"/>
        </w:trPr>
        <w:tc>
          <w:tcPr>
            <w:tcW w:w="479" w:type="pct"/>
            <w:vAlign w:val="center"/>
          </w:tcPr>
          <w:p w14:paraId="70402E4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w:t>
            </w:r>
          </w:p>
        </w:tc>
        <w:tc>
          <w:tcPr>
            <w:tcW w:w="680" w:type="pct"/>
            <w:noWrap/>
            <w:vAlign w:val="center"/>
          </w:tcPr>
          <w:p w14:paraId="693D8063" w14:textId="77777777"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t xml:space="preserve">Računovodstveni pokazatelji </w:t>
            </w:r>
            <w:r w:rsidRPr="00A81B58">
              <w:rPr>
                <w:rFonts w:ascii="Times New Roman" w:hAnsi="Times New Roman" w:cs="Times New Roman"/>
              </w:rPr>
              <w:lastRenderedPageBreak/>
              <w:t>(ROI, ROE, ROA)</w:t>
            </w:r>
          </w:p>
          <w:p w14:paraId="7773412F" w14:textId="77777777" w:rsidR="006571B5" w:rsidRPr="00A81B58" w:rsidRDefault="006571B5" w:rsidP="002E5B41">
            <w:pPr>
              <w:spacing w:after="160" w:line="259" w:lineRule="auto"/>
              <w:jc w:val="center"/>
              <w:rPr>
                <w:rFonts w:ascii="Times New Roman" w:hAnsi="Times New Roman" w:cs="Times New Roman"/>
                <w:lang w:val="it-IT"/>
              </w:rPr>
            </w:pPr>
          </w:p>
        </w:tc>
        <w:tc>
          <w:tcPr>
            <w:tcW w:w="724" w:type="pct"/>
            <w:noWrap/>
            <w:vAlign w:val="center"/>
          </w:tcPr>
          <w:p w14:paraId="1B98A582"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lastRenderedPageBreak/>
              <w:t>4,167</w:t>
            </w:r>
          </w:p>
          <w:p w14:paraId="4A122266" w14:textId="77777777" w:rsidR="006571B5" w:rsidRPr="00A81B58" w:rsidRDefault="006571B5" w:rsidP="002E5B41">
            <w:pPr>
              <w:spacing w:after="160" w:line="259" w:lineRule="auto"/>
              <w:jc w:val="center"/>
              <w:rPr>
                <w:rFonts w:ascii="Times New Roman" w:hAnsi="Times New Roman" w:cs="Times New Roman"/>
              </w:rPr>
            </w:pPr>
          </w:p>
        </w:tc>
        <w:tc>
          <w:tcPr>
            <w:tcW w:w="581" w:type="pct"/>
            <w:noWrap/>
            <w:vAlign w:val="center"/>
          </w:tcPr>
          <w:p w14:paraId="34BE896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0CAA3945"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7963C16A"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0,687</w:t>
            </w:r>
          </w:p>
          <w:p w14:paraId="02FFE5F0" w14:textId="77777777" w:rsidR="006571B5" w:rsidRPr="00A81B58" w:rsidRDefault="006571B5" w:rsidP="002E5B41">
            <w:pPr>
              <w:spacing w:after="160" w:line="259" w:lineRule="auto"/>
              <w:jc w:val="center"/>
              <w:rPr>
                <w:rFonts w:ascii="Times New Roman" w:hAnsi="Times New Roman" w:cs="Times New Roman"/>
              </w:rPr>
            </w:pPr>
          </w:p>
        </w:tc>
        <w:tc>
          <w:tcPr>
            <w:tcW w:w="1304" w:type="pct"/>
          </w:tcPr>
          <w:p w14:paraId="2E24E75A"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važan, ali ne ključan.</w:t>
            </w:r>
            <w:r w:rsidRPr="00A81B58">
              <w:rPr>
                <w:rFonts w:ascii="Times New Roman" w:hAnsi="Times New Roman" w:cs="Times New Roman"/>
              </w:rPr>
              <w:br/>
            </w:r>
            <w:r w:rsidRPr="00A81B58">
              <w:rPr>
                <w:rFonts w:ascii="Times New Roman" w:hAnsi="Times New Roman" w:cs="Times New Roman"/>
              </w:rPr>
              <w:lastRenderedPageBreak/>
              <w:t>Medijan pokazuje da većina ispitanika smatra da su računovodstveni pokazatelji relevantni za ocjenu uspješnosti M&amp;A.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postoji široko slaganje o važnosti ovog pokazatelja.</w:t>
            </w:r>
            <w:r w:rsidRPr="00A81B58">
              <w:rPr>
                <w:rFonts w:ascii="Times New Roman" w:hAnsi="Times New Roman" w:cs="Times New Roman"/>
              </w:rPr>
              <w:br/>
              <w:t>Umjerena standardna devijacija (</w:t>
            </w:r>
            <w:r w:rsidRPr="00A81B58">
              <w:rPr>
                <w:rFonts w:ascii="Times New Roman" w:hAnsi="Times New Roman" w:cs="Times New Roman"/>
                <w:bCs/>
              </w:rPr>
              <w:t>0,687</w:t>
            </w:r>
            <w:r w:rsidRPr="00A81B58">
              <w:rPr>
                <w:rFonts w:ascii="Times New Roman" w:hAnsi="Times New Roman" w:cs="Times New Roman"/>
              </w:rPr>
              <w:t>) pokazuje da su ispitanici imali različite poglede na njegovu presudnost.</w:t>
            </w:r>
          </w:p>
        </w:tc>
      </w:tr>
      <w:tr w:rsidR="006571B5" w:rsidRPr="00A81B58" w14:paraId="2C67DE8E" w14:textId="77777777" w:rsidTr="002E5B41">
        <w:trPr>
          <w:trHeight w:val="445"/>
        </w:trPr>
        <w:tc>
          <w:tcPr>
            <w:tcW w:w="479" w:type="pct"/>
            <w:vAlign w:val="center"/>
          </w:tcPr>
          <w:p w14:paraId="2FB0254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3</w:t>
            </w:r>
          </w:p>
        </w:tc>
        <w:tc>
          <w:tcPr>
            <w:tcW w:w="680" w:type="pct"/>
            <w:noWrap/>
            <w:vAlign w:val="center"/>
          </w:tcPr>
          <w:p w14:paraId="1393ADDA"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Tržišni udio (gubitak/dobitak)</w:t>
            </w:r>
          </w:p>
          <w:p w14:paraId="2381447C"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312D1D0B"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4,167</w:t>
            </w:r>
          </w:p>
          <w:p w14:paraId="2ABFFA3A" w14:textId="77777777" w:rsidR="006571B5" w:rsidRPr="00A81B58" w:rsidRDefault="006571B5" w:rsidP="002E5B41">
            <w:pPr>
              <w:spacing w:after="160" w:line="259" w:lineRule="auto"/>
              <w:jc w:val="center"/>
              <w:rPr>
                <w:rFonts w:ascii="Times New Roman" w:hAnsi="Times New Roman" w:cs="Times New Roman"/>
              </w:rPr>
            </w:pPr>
          </w:p>
        </w:tc>
        <w:tc>
          <w:tcPr>
            <w:tcW w:w="581" w:type="pct"/>
            <w:noWrap/>
            <w:vAlign w:val="center"/>
          </w:tcPr>
          <w:p w14:paraId="21EF44A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7328D237"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0015803F"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0,687</w:t>
            </w:r>
          </w:p>
          <w:p w14:paraId="53E59287" w14:textId="77777777" w:rsidR="006571B5" w:rsidRPr="00A81B58" w:rsidRDefault="006571B5" w:rsidP="002E5B41">
            <w:pPr>
              <w:spacing w:after="160" w:line="259" w:lineRule="auto"/>
              <w:jc w:val="center"/>
              <w:rPr>
                <w:rFonts w:ascii="Times New Roman" w:hAnsi="Times New Roman" w:cs="Times New Roman"/>
              </w:rPr>
            </w:pPr>
          </w:p>
        </w:tc>
        <w:tc>
          <w:tcPr>
            <w:tcW w:w="1304" w:type="pct"/>
          </w:tcPr>
          <w:p w14:paraId="2933343D"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značajan, ali ne presudan za ocjenu uspješnosti preuzimanja.</w:t>
            </w:r>
            <w:r w:rsidRPr="00A81B58">
              <w:rPr>
                <w:rFonts w:ascii="Times New Roman" w:hAnsi="Times New Roman" w:cs="Times New Roman"/>
              </w:rPr>
              <w:br/>
              <w:t>Medijan pokazuje da većina ispitanika smatra da je promjena tržišnog udjela važan pokazatelj dugoročne strategije.</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ispitanici vide tržišni udio kao relevantan čimbenik, ali ne nužno presudan.</w:t>
            </w:r>
            <w:r w:rsidRPr="00A81B58">
              <w:rPr>
                <w:rFonts w:ascii="Times New Roman" w:hAnsi="Times New Roman" w:cs="Times New Roman"/>
              </w:rPr>
              <w:br/>
              <w:t>Umjerena standardna devijacija (</w:t>
            </w:r>
            <w:r w:rsidRPr="00A81B58">
              <w:rPr>
                <w:rFonts w:ascii="Times New Roman" w:hAnsi="Times New Roman" w:cs="Times New Roman"/>
                <w:bCs/>
              </w:rPr>
              <w:t>0,687</w:t>
            </w:r>
            <w:r w:rsidRPr="00A81B58">
              <w:rPr>
                <w:rFonts w:ascii="Times New Roman" w:hAnsi="Times New Roman" w:cs="Times New Roman"/>
              </w:rPr>
              <w:t>) pokazuje da postoje različita mišljenja među ispitanicima.</w:t>
            </w:r>
          </w:p>
        </w:tc>
      </w:tr>
      <w:tr w:rsidR="006571B5" w:rsidRPr="00A81B58" w14:paraId="165460C2" w14:textId="77777777" w:rsidTr="002E5B41">
        <w:trPr>
          <w:trHeight w:val="445"/>
        </w:trPr>
        <w:tc>
          <w:tcPr>
            <w:tcW w:w="479" w:type="pct"/>
            <w:vAlign w:val="center"/>
          </w:tcPr>
          <w:p w14:paraId="27D1B19F"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680" w:type="pct"/>
            <w:noWrap/>
            <w:vAlign w:val="center"/>
          </w:tcPr>
          <w:p w14:paraId="3297F7E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Promjena kretanja cijene dionica</w:t>
            </w:r>
          </w:p>
          <w:p w14:paraId="0B0E3C47"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3C2B1DB9"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4,000</w:t>
            </w:r>
          </w:p>
          <w:p w14:paraId="5D20294F" w14:textId="77777777" w:rsidR="006571B5" w:rsidRPr="00A81B58" w:rsidRDefault="006571B5" w:rsidP="002E5B41">
            <w:pPr>
              <w:spacing w:after="160" w:line="259" w:lineRule="auto"/>
              <w:jc w:val="center"/>
              <w:rPr>
                <w:rFonts w:ascii="Times New Roman" w:hAnsi="Times New Roman" w:cs="Times New Roman"/>
              </w:rPr>
            </w:pPr>
          </w:p>
        </w:tc>
        <w:tc>
          <w:tcPr>
            <w:tcW w:w="581" w:type="pct"/>
            <w:noWrap/>
            <w:vAlign w:val="center"/>
          </w:tcPr>
          <w:p w14:paraId="35DD932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1062A4F2"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335E9BBA"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0,577</w:t>
            </w:r>
          </w:p>
          <w:p w14:paraId="4F88F0CE" w14:textId="77777777" w:rsidR="006571B5" w:rsidRPr="00A81B58" w:rsidRDefault="006571B5" w:rsidP="002E5B41">
            <w:pPr>
              <w:spacing w:after="160" w:line="259" w:lineRule="auto"/>
              <w:jc w:val="center"/>
              <w:rPr>
                <w:rFonts w:ascii="Times New Roman" w:hAnsi="Times New Roman" w:cs="Times New Roman"/>
              </w:rPr>
            </w:pPr>
          </w:p>
        </w:tc>
        <w:tc>
          <w:tcPr>
            <w:tcW w:w="1304" w:type="pct"/>
          </w:tcPr>
          <w:p w14:paraId="538AFE8E"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ovaj čimbenik ocjenjuju kao važan pokazatelj uspjeha preuzimanja s aspekta tržišta kapitala.</w:t>
            </w:r>
            <w:r w:rsidRPr="00A81B58">
              <w:rPr>
                <w:rFonts w:ascii="Times New Roman" w:hAnsi="Times New Roman" w:cs="Times New Roman"/>
              </w:rPr>
              <w:br/>
              <w:t>Medijan pokazuje da većina ispitanika smatra da promjena cijene dionica može biti signal uspješnosti ili neuspješnosti M&amp;A.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je ovaj </w:t>
            </w:r>
            <w:r w:rsidRPr="00A81B58">
              <w:rPr>
                <w:rFonts w:ascii="Times New Roman" w:hAnsi="Times New Roman" w:cs="Times New Roman"/>
              </w:rPr>
              <w:lastRenderedPageBreak/>
              <w:t>čimbenik relevantan, ali ne presudan u ukupnoj ocjeni uspješnosti.</w:t>
            </w:r>
            <w:r w:rsidRPr="00A81B58">
              <w:rPr>
                <w:rFonts w:ascii="Times New Roman" w:hAnsi="Times New Roman" w:cs="Times New Roman"/>
              </w:rPr>
              <w:br/>
              <w:t>Relativno niska standardna devijacija (</w:t>
            </w:r>
            <w:r w:rsidRPr="00A81B58">
              <w:rPr>
                <w:rFonts w:ascii="Times New Roman" w:hAnsi="Times New Roman" w:cs="Times New Roman"/>
                <w:bCs/>
              </w:rPr>
              <w:t>0,577</w:t>
            </w:r>
            <w:r w:rsidRPr="00A81B58">
              <w:rPr>
                <w:rFonts w:ascii="Times New Roman" w:hAnsi="Times New Roman" w:cs="Times New Roman"/>
              </w:rPr>
              <w:t>) ukazuje na visoku razinu slaganja među ispitanicima.</w:t>
            </w:r>
          </w:p>
        </w:tc>
      </w:tr>
      <w:tr w:rsidR="006571B5" w:rsidRPr="00A81B58" w14:paraId="3BD0082D" w14:textId="77777777" w:rsidTr="002E5B41">
        <w:trPr>
          <w:trHeight w:val="445"/>
        </w:trPr>
        <w:tc>
          <w:tcPr>
            <w:tcW w:w="479" w:type="pct"/>
            <w:vAlign w:val="center"/>
          </w:tcPr>
          <w:p w14:paraId="3E10BDC8"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lastRenderedPageBreak/>
              <w:t>5</w:t>
            </w:r>
          </w:p>
        </w:tc>
        <w:tc>
          <w:tcPr>
            <w:tcW w:w="680" w:type="pct"/>
            <w:noWrap/>
            <w:vAlign w:val="center"/>
          </w:tcPr>
          <w:p w14:paraId="234D6A30"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Prihvaćanje nove/izmijenjene organizacijske kulture</w:t>
            </w:r>
          </w:p>
          <w:p w14:paraId="6BEF86AE"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5F0EB9D8"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3,833</w:t>
            </w:r>
          </w:p>
          <w:p w14:paraId="52FC7E64" w14:textId="77777777" w:rsidR="006571B5" w:rsidRPr="00A81B58" w:rsidRDefault="006571B5" w:rsidP="002E5B41">
            <w:pPr>
              <w:spacing w:after="160" w:line="259" w:lineRule="auto"/>
              <w:jc w:val="center"/>
              <w:rPr>
                <w:rFonts w:ascii="Times New Roman" w:hAnsi="Times New Roman" w:cs="Times New Roman"/>
              </w:rPr>
            </w:pPr>
          </w:p>
        </w:tc>
        <w:tc>
          <w:tcPr>
            <w:tcW w:w="581" w:type="pct"/>
            <w:noWrap/>
            <w:vAlign w:val="center"/>
          </w:tcPr>
          <w:p w14:paraId="3B89A3E3"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2A6101F9"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6695845F" w14:textId="77777777" w:rsidR="006571B5" w:rsidRPr="00A81B58" w:rsidRDefault="006571B5" w:rsidP="002E5B41">
            <w:pPr>
              <w:spacing w:after="160" w:line="259" w:lineRule="auto"/>
              <w:jc w:val="center"/>
              <w:rPr>
                <w:rFonts w:ascii="Times New Roman" w:hAnsi="Times New Roman" w:cs="Times New Roman"/>
                <w:lang w:val="en-US"/>
              </w:rPr>
            </w:pPr>
            <w:r w:rsidRPr="00A81B58">
              <w:rPr>
                <w:rFonts w:ascii="Times New Roman" w:hAnsi="Times New Roman" w:cs="Times New Roman"/>
              </w:rPr>
              <w:t>0,898</w:t>
            </w:r>
          </w:p>
          <w:p w14:paraId="11042554" w14:textId="77777777" w:rsidR="006571B5" w:rsidRPr="00A81B58" w:rsidRDefault="006571B5" w:rsidP="002E5B41">
            <w:pPr>
              <w:spacing w:after="160" w:line="259" w:lineRule="auto"/>
              <w:jc w:val="center"/>
              <w:rPr>
                <w:rFonts w:ascii="Times New Roman" w:hAnsi="Times New Roman" w:cs="Times New Roman"/>
              </w:rPr>
            </w:pPr>
          </w:p>
        </w:tc>
        <w:tc>
          <w:tcPr>
            <w:tcW w:w="1304" w:type="pct"/>
          </w:tcPr>
          <w:p w14:paraId="6718C1CF"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prepoznaju važnost prilagodbe organizacijske kulture nakon preuzimanja.</w:t>
            </w:r>
            <w:r w:rsidRPr="00A81B58">
              <w:rPr>
                <w:rFonts w:ascii="Times New Roman" w:hAnsi="Times New Roman" w:cs="Times New Roman"/>
              </w:rPr>
              <w:br/>
              <w:t>Medijan pokazuje da većina ispitanika smatra da je prihvaćanje organizacijske kulture važan čimbenik dugoročne stabilnosti poduzeća.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većina ispitanika vidi ovaj čimbenik kao bitan, ali ne nužno presudan za uspjeh integracije.</w:t>
            </w:r>
            <w:r w:rsidRPr="00A81B58">
              <w:rPr>
                <w:rFonts w:ascii="Times New Roman" w:hAnsi="Times New Roman" w:cs="Times New Roman"/>
              </w:rPr>
              <w:br/>
              <w:t>Visoka standardna devijacija (</w:t>
            </w:r>
            <w:r w:rsidRPr="00A81B58">
              <w:rPr>
                <w:rFonts w:ascii="Times New Roman" w:hAnsi="Times New Roman" w:cs="Times New Roman"/>
                <w:bCs/>
              </w:rPr>
              <w:t>0,897</w:t>
            </w:r>
            <w:r w:rsidRPr="00A81B58">
              <w:rPr>
                <w:rFonts w:ascii="Times New Roman" w:hAnsi="Times New Roman" w:cs="Times New Roman"/>
              </w:rPr>
              <w:t>) ukazuje na podijeljena mišljenja o važnosti ovog pokazatelja.</w:t>
            </w:r>
          </w:p>
        </w:tc>
      </w:tr>
      <w:tr w:rsidR="006571B5" w:rsidRPr="00A81B58" w14:paraId="2757BA94" w14:textId="77777777" w:rsidTr="002E5B41">
        <w:trPr>
          <w:trHeight w:val="445"/>
        </w:trPr>
        <w:tc>
          <w:tcPr>
            <w:tcW w:w="479" w:type="pct"/>
            <w:vAlign w:val="center"/>
          </w:tcPr>
          <w:p w14:paraId="36D6885B"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6</w:t>
            </w:r>
          </w:p>
        </w:tc>
        <w:tc>
          <w:tcPr>
            <w:tcW w:w="680" w:type="pct"/>
            <w:noWrap/>
            <w:vAlign w:val="center"/>
          </w:tcPr>
          <w:p w14:paraId="5F39D503" w14:textId="118451E0" w:rsidR="006571B5" w:rsidRPr="00A81B58" w:rsidRDefault="006571B5" w:rsidP="002E5B41">
            <w:pPr>
              <w:spacing w:after="160" w:line="259" w:lineRule="auto"/>
              <w:jc w:val="center"/>
              <w:rPr>
                <w:rFonts w:ascii="Times New Roman" w:hAnsi="Times New Roman" w:cs="Times New Roman"/>
                <w:lang w:val="it-IT"/>
              </w:rPr>
            </w:pPr>
            <w:r w:rsidRPr="00A81B58">
              <w:rPr>
                <w:rFonts w:ascii="Times New Roman" w:hAnsi="Times New Roman" w:cs="Times New Roman"/>
              </w:rPr>
              <w:t>Slobodni novčani tijek po dionici</w:t>
            </w:r>
          </w:p>
          <w:p w14:paraId="48ADB8A5" w14:textId="77777777" w:rsidR="006571B5" w:rsidRPr="00A81B58" w:rsidRDefault="006571B5" w:rsidP="002E5B41">
            <w:pPr>
              <w:spacing w:after="160" w:line="259" w:lineRule="auto"/>
              <w:jc w:val="center"/>
              <w:rPr>
                <w:rFonts w:ascii="Times New Roman" w:hAnsi="Times New Roman" w:cs="Times New Roman"/>
              </w:rPr>
            </w:pPr>
          </w:p>
        </w:tc>
        <w:tc>
          <w:tcPr>
            <w:tcW w:w="724" w:type="pct"/>
            <w:noWrap/>
            <w:vAlign w:val="center"/>
          </w:tcPr>
          <w:p w14:paraId="4B9162A4"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3,667</w:t>
            </w:r>
          </w:p>
        </w:tc>
        <w:tc>
          <w:tcPr>
            <w:tcW w:w="581" w:type="pct"/>
            <w:noWrap/>
            <w:vAlign w:val="center"/>
          </w:tcPr>
          <w:p w14:paraId="2381F91C"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362" w:type="pct"/>
            <w:noWrap/>
            <w:vAlign w:val="center"/>
          </w:tcPr>
          <w:p w14:paraId="4C3E5E3E"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4</w:t>
            </w:r>
          </w:p>
        </w:tc>
        <w:tc>
          <w:tcPr>
            <w:tcW w:w="869" w:type="pct"/>
            <w:noWrap/>
            <w:vAlign w:val="center"/>
          </w:tcPr>
          <w:p w14:paraId="0FB25DC6" w14:textId="77777777" w:rsidR="006571B5" w:rsidRPr="00A81B58" w:rsidRDefault="006571B5" w:rsidP="002E5B41">
            <w:pPr>
              <w:spacing w:after="160" w:line="259" w:lineRule="auto"/>
              <w:jc w:val="center"/>
              <w:rPr>
                <w:rFonts w:ascii="Times New Roman" w:hAnsi="Times New Roman" w:cs="Times New Roman"/>
              </w:rPr>
            </w:pPr>
            <w:r w:rsidRPr="00A81B58">
              <w:rPr>
                <w:rFonts w:ascii="Times New Roman" w:hAnsi="Times New Roman" w:cs="Times New Roman"/>
              </w:rPr>
              <w:t>0,943</w:t>
            </w:r>
          </w:p>
        </w:tc>
        <w:tc>
          <w:tcPr>
            <w:tcW w:w="1304" w:type="pct"/>
          </w:tcPr>
          <w:p w14:paraId="48C421F6" w14:textId="77777777" w:rsidR="006571B5" w:rsidRPr="00A81B58" w:rsidRDefault="006571B5" w:rsidP="00A81B58">
            <w:pPr>
              <w:spacing w:after="160" w:line="259" w:lineRule="auto"/>
              <w:jc w:val="center"/>
              <w:rPr>
                <w:rFonts w:ascii="Times New Roman" w:hAnsi="Times New Roman" w:cs="Times New Roman"/>
              </w:rPr>
            </w:pPr>
            <w:r w:rsidRPr="00A81B58">
              <w:rPr>
                <w:rFonts w:ascii="Times New Roman" w:hAnsi="Times New Roman" w:cs="Times New Roman"/>
              </w:rPr>
              <w:t>Ispitanici su podijeljeni oko važnosti ovog pokazatelja.</w:t>
            </w:r>
            <w:r w:rsidRPr="00A81B58">
              <w:rPr>
                <w:rFonts w:ascii="Times New Roman" w:hAnsi="Times New Roman" w:cs="Times New Roman"/>
              </w:rPr>
              <w:br/>
              <w:t>Medijan pokazuje da većina ispitanika prepoznaje njegov značaj, ali s određenim rezervama.</w:t>
            </w:r>
            <w:r w:rsidRPr="00A81B58">
              <w:rPr>
                <w:rFonts w:ascii="Times New Roman" w:hAnsi="Times New Roman" w:cs="Times New Roman"/>
              </w:rPr>
              <w:br/>
              <w:t xml:space="preserve">Najčešća ocjena </w:t>
            </w:r>
            <w:r w:rsidRPr="00A81B58">
              <w:rPr>
                <w:rFonts w:ascii="Times New Roman" w:hAnsi="Times New Roman" w:cs="Times New Roman"/>
                <w:bCs/>
              </w:rPr>
              <w:t>4</w:t>
            </w:r>
            <w:r w:rsidRPr="00A81B58">
              <w:rPr>
                <w:rFonts w:ascii="Times New Roman" w:hAnsi="Times New Roman" w:cs="Times New Roman"/>
              </w:rPr>
              <w:t xml:space="preserve"> sugerira da je većina ispitanika ocijenila ovaj čimbenik pozitivno, ali neki mu ne pridaju jednaku važnost.</w:t>
            </w:r>
            <w:r w:rsidRPr="00A81B58">
              <w:rPr>
                <w:rFonts w:ascii="Times New Roman" w:hAnsi="Times New Roman" w:cs="Times New Roman"/>
              </w:rPr>
              <w:br/>
              <w:t>Visoka standardna devijacija (</w:t>
            </w:r>
            <w:r w:rsidRPr="00A81B58">
              <w:rPr>
                <w:rFonts w:ascii="Times New Roman" w:hAnsi="Times New Roman" w:cs="Times New Roman"/>
                <w:bCs/>
              </w:rPr>
              <w:t>0,943</w:t>
            </w:r>
            <w:r w:rsidRPr="00A81B58">
              <w:rPr>
                <w:rFonts w:ascii="Times New Roman" w:hAnsi="Times New Roman" w:cs="Times New Roman"/>
              </w:rPr>
              <w:t xml:space="preserve">) ukazuje </w:t>
            </w:r>
            <w:r w:rsidRPr="00A81B58">
              <w:rPr>
                <w:rFonts w:ascii="Times New Roman" w:hAnsi="Times New Roman" w:cs="Times New Roman"/>
              </w:rPr>
              <w:lastRenderedPageBreak/>
              <w:t>na značajne razlike u stavovima ispitanika.</w:t>
            </w:r>
          </w:p>
        </w:tc>
      </w:tr>
    </w:tbl>
    <w:p w14:paraId="6B9D7BEE"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lastRenderedPageBreak/>
        <w:t>Izvor: obrada autora</w:t>
      </w:r>
    </w:p>
    <w:p w14:paraId="54FD0313" w14:textId="4E7C02BA" w:rsidR="006571B5" w:rsidRPr="00A81B58" w:rsidRDefault="006571B5" w:rsidP="00A81B58">
      <w:pPr>
        <w:rPr>
          <w:rFonts w:ascii="Times New Roman" w:hAnsi="Times New Roman" w:cs="Times New Roman"/>
          <w:b/>
        </w:rPr>
      </w:pPr>
      <w:r w:rsidRPr="00A81B58">
        <w:rPr>
          <w:rFonts w:ascii="Times New Roman" w:hAnsi="Times New Roman" w:cs="Times New Roman"/>
          <w:b/>
        </w:rPr>
        <w:t xml:space="preserve">Prilog 8 </w:t>
      </w:r>
    </w:p>
    <w:p w14:paraId="096BC0E7" w14:textId="77777777" w:rsidR="006571B5" w:rsidRPr="00A81B58" w:rsidRDefault="006571B5" w:rsidP="00A81B58">
      <w:pPr>
        <w:rPr>
          <w:rFonts w:ascii="Times New Roman" w:hAnsi="Times New Roman" w:cs="Times New Roman"/>
        </w:rPr>
      </w:pPr>
      <w:r w:rsidRPr="00A81B58">
        <w:rPr>
          <w:rFonts w:ascii="Times New Roman" w:hAnsi="Times New Roman" w:cs="Times New Roman"/>
        </w:rPr>
        <w:t xml:space="preserve">Tablica 13: Rezultati empirijskog istraživanja – procjena motiva pokretanja procesa spajanja i preuzimanja od strane ispitanika iz hotelskih poduzeća </w:t>
      </w:r>
    </w:p>
    <w:tbl>
      <w:tblPr>
        <w:tblStyle w:val="Reetkatablice1"/>
        <w:tblW w:w="0" w:type="auto"/>
        <w:tblInd w:w="-289" w:type="dxa"/>
        <w:tblLayout w:type="fixed"/>
        <w:tblLook w:val="04A0" w:firstRow="1" w:lastRow="0" w:firstColumn="1" w:lastColumn="0" w:noHBand="0" w:noVBand="1"/>
      </w:tblPr>
      <w:tblGrid>
        <w:gridCol w:w="941"/>
        <w:gridCol w:w="1611"/>
        <w:gridCol w:w="1523"/>
        <w:gridCol w:w="678"/>
        <w:gridCol w:w="1034"/>
        <w:gridCol w:w="1336"/>
        <w:gridCol w:w="2516"/>
      </w:tblGrid>
      <w:tr w:rsidR="006571B5" w:rsidRPr="00A81B58" w14:paraId="374908C6" w14:textId="77777777" w:rsidTr="00A81B58">
        <w:trPr>
          <w:trHeight w:val="600"/>
        </w:trPr>
        <w:tc>
          <w:tcPr>
            <w:tcW w:w="941" w:type="dxa"/>
            <w:noWrap/>
            <w:vAlign w:val="center"/>
            <w:hideMark/>
          </w:tcPr>
          <w:p w14:paraId="05D41EF6" w14:textId="1039C149"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R</w:t>
            </w:r>
            <w:r w:rsidR="002E5B41">
              <w:rPr>
                <w:rFonts w:ascii="Times New Roman" w:hAnsi="Times New Roman" w:cs="Times New Roman"/>
                <w:b/>
                <w:bCs/>
                <w:lang w:val="en-US"/>
              </w:rPr>
              <w:t>ang</w:t>
            </w:r>
          </w:p>
        </w:tc>
        <w:tc>
          <w:tcPr>
            <w:tcW w:w="1611" w:type="dxa"/>
            <w:noWrap/>
            <w:vAlign w:val="center"/>
            <w:hideMark/>
          </w:tcPr>
          <w:p w14:paraId="35B469F5" w14:textId="45368CCC"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M</w:t>
            </w:r>
            <w:r w:rsidR="002E5B41">
              <w:rPr>
                <w:rFonts w:ascii="Times New Roman" w:hAnsi="Times New Roman" w:cs="Times New Roman"/>
                <w:b/>
                <w:bCs/>
                <w:lang w:val="en-US"/>
              </w:rPr>
              <w:t>otivi</w:t>
            </w:r>
          </w:p>
        </w:tc>
        <w:tc>
          <w:tcPr>
            <w:tcW w:w="1523" w:type="dxa"/>
            <w:vAlign w:val="center"/>
            <w:hideMark/>
          </w:tcPr>
          <w:p w14:paraId="6551A462" w14:textId="77777777"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Aritmetička sredina</w:t>
            </w:r>
          </w:p>
        </w:tc>
        <w:tc>
          <w:tcPr>
            <w:tcW w:w="678" w:type="dxa"/>
            <w:noWrap/>
            <w:vAlign w:val="center"/>
            <w:hideMark/>
          </w:tcPr>
          <w:p w14:paraId="081C2F47" w14:textId="77777777"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Mod</w:t>
            </w:r>
          </w:p>
        </w:tc>
        <w:tc>
          <w:tcPr>
            <w:tcW w:w="1034" w:type="dxa"/>
            <w:noWrap/>
            <w:vAlign w:val="center"/>
            <w:hideMark/>
          </w:tcPr>
          <w:p w14:paraId="3C4E6AF2" w14:textId="77777777"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Medijan</w:t>
            </w:r>
          </w:p>
        </w:tc>
        <w:tc>
          <w:tcPr>
            <w:tcW w:w="1336" w:type="dxa"/>
            <w:vAlign w:val="center"/>
            <w:hideMark/>
          </w:tcPr>
          <w:p w14:paraId="27698993" w14:textId="77777777"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Standardna devijacija</w:t>
            </w:r>
          </w:p>
        </w:tc>
        <w:tc>
          <w:tcPr>
            <w:tcW w:w="2516" w:type="dxa"/>
            <w:noWrap/>
            <w:vAlign w:val="center"/>
            <w:hideMark/>
          </w:tcPr>
          <w:p w14:paraId="16CFA712" w14:textId="5565B81B" w:rsidR="006571B5" w:rsidRPr="00A81B58" w:rsidRDefault="006571B5" w:rsidP="00A81B58">
            <w:pPr>
              <w:spacing w:after="160" w:line="259" w:lineRule="auto"/>
              <w:jc w:val="center"/>
              <w:rPr>
                <w:rFonts w:ascii="Times New Roman" w:hAnsi="Times New Roman" w:cs="Times New Roman"/>
                <w:b/>
                <w:bCs/>
                <w:lang w:val="en-US"/>
              </w:rPr>
            </w:pPr>
            <w:r w:rsidRPr="00A81B58">
              <w:rPr>
                <w:rFonts w:ascii="Times New Roman" w:hAnsi="Times New Roman" w:cs="Times New Roman"/>
                <w:b/>
                <w:bCs/>
                <w:lang w:val="en-US"/>
              </w:rPr>
              <w:t>I</w:t>
            </w:r>
            <w:r w:rsidR="002E5B41">
              <w:rPr>
                <w:rFonts w:ascii="Times New Roman" w:hAnsi="Times New Roman" w:cs="Times New Roman"/>
                <w:b/>
                <w:bCs/>
                <w:lang w:val="en-US"/>
              </w:rPr>
              <w:t>nterpretacija</w:t>
            </w:r>
          </w:p>
        </w:tc>
      </w:tr>
      <w:tr w:rsidR="006571B5" w:rsidRPr="00A81B58" w14:paraId="47D31A2E" w14:textId="77777777" w:rsidTr="00A81B58">
        <w:trPr>
          <w:trHeight w:val="1800"/>
        </w:trPr>
        <w:tc>
          <w:tcPr>
            <w:tcW w:w="941" w:type="dxa"/>
            <w:noWrap/>
            <w:vAlign w:val="center"/>
            <w:hideMark/>
          </w:tcPr>
          <w:p w14:paraId="07E2665B"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1</w:t>
            </w:r>
          </w:p>
        </w:tc>
        <w:tc>
          <w:tcPr>
            <w:tcW w:w="1611" w:type="dxa"/>
            <w:vAlign w:val="center"/>
            <w:hideMark/>
          </w:tcPr>
          <w:p w14:paraId="137D5D0B"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Povećanje kapaciteta pouzeća preuzimatelja (uz manje kapitalne i operativne troškove nego li što bi to bilo u slučaju izgradnje novih vlastitih objekata)</w:t>
            </w:r>
          </w:p>
        </w:tc>
        <w:tc>
          <w:tcPr>
            <w:tcW w:w="1523" w:type="dxa"/>
            <w:noWrap/>
            <w:vAlign w:val="center"/>
            <w:hideMark/>
          </w:tcPr>
          <w:p w14:paraId="4B673A60"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4,333333333</w:t>
            </w:r>
          </w:p>
        </w:tc>
        <w:tc>
          <w:tcPr>
            <w:tcW w:w="678" w:type="dxa"/>
            <w:noWrap/>
            <w:vAlign w:val="center"/>
            <w:hideMark/>
          </w:tcPr>
          <w:p w14:paraId="52374460"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034" w:type="dxa"/>
            <w:noWrap/>
            <w:vAlign w:val="center"/>
            <w:hideMark/>
          </w:tcPr>
          <w:p w14:paraId="2D46E600"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336" w:type="dxa"/>
            <w:noWrap/>
            <w:vAlign w:val="center"/>
            <w:hideMark/>
          </w:tcPr>
          <w:p w14:paraId="13F260A6"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0,623609564</w:t>
            </w:r>
          </w:p>
        </w:tc>
        <w:tc>
          <w:tcPr>
            <w:tcW w:w="2516" w:type="dxa"/>
            <w:vAlign w:val="center"/>
            <w:hideMark/>
          </w:tcPr>
          <w:p w14:paraId="54728131" w14:textId="77777777" w:rsidR="006571B5" w:rsidRPr="00A81B58" w:rsidRDefault="006571B5" w:rsidP="00A81B58">
            <w:pPr>
              <w:spacing w:after="160" w:line="259" w:lineRule="auto"/>
              <w:jc w:val="center"/>
              <w:rPr>
                <w:rFonts w:ascii="Times New Roman" w:hAnsi="Times New Roman" w:cs="Times New Roman"/>
                <w:lang w:val="it-IT"/>
              </w:rPr>
            </w:pPr>
            <w:r w:rsidRPr="00A81B58">
              <w:rPr>
                <w:rFonts w:ascii="Times New Roman" w:hAnsi="Times New Roman" w:cs="Times New Roman"/>
                <w:lang w:val="en-US"/>
              </w:rPr>
              <w:t>Aritmetička sredina iznosi 4,33, što ukazuje na vrlo visoku razinu slaganja ispitanika o važnosti ovog motiva.</w:t>
            </w:r>
            <w:r w:rsidRPr="00A81B58">
              <w:rPr>
                <w:rFonts w:ascii="Times New Roman" w:hAnsi="Times New Roman" w:cs="Times New Roman"/>
                <w:lang w:val="en-US"/>
              </w:rPr>
              <w:br/>
            </w:r>
            <w:r w:rsidRPr="00A81B58">
              <w:rPr>
                <w:rFonts w:ascii="Times New Roman" w:hAnsi="Times New Roman" w:cs="Times New Roman"/>
                <w:lang w:val="it-IT"/>
              </w:rPr>
              <w:t>Medijan i mod iznose 4, što potvrđuje da je dominantna ocjena ispitanika visoka.</w:t>
            </w:r>
            <w:r w:rsidRPr="00A81B58">
              <w:rPr>
                <w:rFonts w:ascii="Times New Roman" w:hAnsi="Times New Roman" w:cs="Times New Roman"/>
                <w:lang w:val="it-IT"/>
              </w:rPr>
              <w:br/>
              <w:t>Standardna devijacija od 0,62 upućuje na nisku varijaciju odgovora i visoku razinu suglasnosti među ispitanicima.</w:t>
            </w:r>
            <w:r w:rsidRPr="00A81B58">
              <w:rPr>
                <w:rFonts w:ascii="Times New Roman" w:hAnsi="Times New Roman" w:cs="Times New Roman"/>
                <w:lang w:val="it-IT"/>
              </w:rPr>
              <w:br/>
              <w:t>Rezultati pokazuju da ispitanici ovaj motiv smatraju jednim od ključnih razloga za preuzimanje, uz stabilne i ujednačene stavove.</w:t>
            </w:r>
          </w:p>
        </w:tc>
      </w:tr>
      <w:tr w:rsidR="006571B5" w:rsidRPr="00A81B58" w14:paraId="3D91846C" w14:textId="77777777" w:rsidTr="00A81B58">
        <w:trPr>
          <w:trHeight w:val="1800"/>
        </w:trPr>
        <w:tc>
          <w:tcPr>
            <w:tcW w:w="941" w:type="dxa"/>
            <w:noWrap/>
            <w:vAlign w:val="center"/>
            <w:hideMark/>
          </w:tcPr>
          <w:p w14:paraId="08A02756"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2</w:t>
            </w:r>
          </w:p>
        </w:tc>
        <w:tc>
          <w:tcPr>
            <w:tcW w:w="1611" w:type="dxa"/>
            <w:noWrap/>
            <w:vAlign w:val="center"/>
            <w:hideMark/>
          </w:tcPr>
          <w:p w14:paraId="0311D2CE"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Povećanje tržišnog udjela poduzeća preuzimatelja</w:t>
            </w:r>
          </w:p>
        </w:tc>
        <w:tc>
          <w:tcPr>
            <w:tcW w:w="1523" w:type="dxa"/>
            <w:noWrap/>
            <w:vAlign w:val="center"/>
            <w:hideMark/>
          </w:tcPr>
          <w:p w14:paraId="5DD0E407"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4,166666667</w:t>
            </w:r>
          </w:p>
        </w:tc>
        <w:tc>
          <w:tcPr>
            <w:tcW w:w="678" w:type="dxa"/>
            <w:noWrap/>
            <w:vAlign w:val="center"/>
            <w:hideMark/>
          </w:tcPr>
          <w:p w14:paraId="31C8CD6B"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034" w:type="dxa"/>
            <w:noWrap/>
            <w:vAlign w:val="center"/>
            <w:hideMark/>
          </w:tcPr>
          <w:p w14:paraId="7F7D496D"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336" w:type="dxa"/>
            <w:noWrap/>
            <w:vAlign w:val="center"/>
            <w:hideMark/>
          </w:tcPr>
          <w:p w14:paraId="0476C659"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0,687184271</w:t>
            </w:r>
          </w:p>
        </w:tc>
        <w:tc>
          <w:tcPr>
            <w:tcW w:w="2516" w:type="dxa"/>
            <w:vAlign w:val="center"/>
            <w:hideMark/>
          </w:tcPr>
          <w:p w14:paraId="5BA3FF99" w14:textId="77777777" w:rsidR="006571B5" w:rsidRPr="00A81B58" w:rsidRDefault="006571B5" w:rsidP="00A81B58">
            <w:pPr>
              <w:spacing w:after="160" w:line="259" w:lineRule="auto"/>
              <w:jc w:val="center"/>
              <w:rPr>
                <w:rFonts w:ascii="Times New Roman" w:hAnsi="Times New Roman" w:cs="Times New Roman"/>
                <w:lang w:val="it-IT"/>
              </w:rPr>
            </w:pPr>
            <w:r w:rsidRPr="00A81B58">
              <w:rPr>
                <w:rFonts w:ascii="Times New Roman" w:hAnsi="Times New Roman" w:cs="Times New Roman"/>
                <w:lang w:val="it-IT"/>
              </w:rPr>
              <w:t>Aritmetička sredina iznosi 4,17, što ukazuje na visoku razinu slaganja ispitanika o važnosti ovog motiva.</w:t>
            </w:r>
            <w:r w:rsidRPr="00A81B58">
              <w:rPr>
                <w:rFonts w:ascii="Times New Roman" w:hAnsi="Times New Roman" w:cs="Times New Roman"/>
                <w:lang w:val="it-IT"/>
              </w:rPr>
              <w:br/>
              <w:t>Medijan i mod iznose 4, što znači da je dominantna ocjena ispitanika upravo ta vrijednost.</w:t>
            </w:r>
            <w:r w:rsidRPr="00A81B58">
              <w:rPr>
                <w:rFonts w:ascii="Times New Roman" w:hAnsi="Times New Roman" w:cs="Times New Roman"/>
                <w:lang w:val="it-IT"/>
              </w:rPr>
              <w:br/>
              <w:t xml:space="preserve">Standardna devijacija od 0,69 upućuje na relativno nisku varijaciju u odgovorima, odnosno na dobru razinu suglasnosti </w:t>
            </w:r>
            <w:r w:rsidRPr="00A81B58">
              <w:rPr>
                <w:rFonts w:ascii="Times New Roman" w:hAnsi="Times New Roman" w:cs="Times New Roman"/>
                <w:lang w:val="it-IT"/>
              </w:rPr>
              <w:lastRenderedPageBreak/>
              <w:t>među ispitanicima.</w:t>
            </w:r>
            <w:r w:rsidRPr="00A81B58">
              <w:rPr>
                <w:rFonts w:ascii="Times New Roman" w:hAnsi="Times New Roman" w:cs="Times New Roman"/>
                <w:lang w:val="it-IT"/>
              </w:rPr>
              <w:br/>
              <w:t>Rezultati ukazuju da se povećanje tržišnog udjela percipira kao značajan motiv preuzimanja, uz pretežno ujednačene stavove ispitanika.</w:t>
            </w:r>
          </w:p>
        </w:tc>
      </w:tr>
      <w:tr w:rsidR="006571B5" w:rsidRPr="00A81B58" w14:paraId="71C14E31" w14:textId="77777777" w:rsidTr="00A81B58">
        <w:trPr>
          <w:trHeight w:val="1800"/>
        </w:trPr>
        <w:tc>
          <w:tcPr>
            <w:tcW w:w="941" w:type="dxa"/>
            <w:noWrap/>
            <w:vAlign w:val="center"/>
            <w:hideMark/>
          </w:tcPr>
          <w:p w14:paraId="1291F609"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lastRenderedPageBreak/>
              <w:t>3</w:t>
            </w:r>
          </w:p>
        </w:tc>
        <w:tc>
          <w:tcPr>
            <w:tcW w:w="1611" w:type="dxa"/>
            <w:vAlign w:val="center"/>
            <w:hideMark/>
          </w:tcPr>
          <w:p w14:paraId="04985FBC"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Proširivanje tržišnih segmenata (baze kupaca) poduzeća preuzimatelja širenjem ponude na postojećem ili novom tržištu – destinaciji</w:t>
            </w:r>
          </w:p>
        </w:tc>
        <w:tc>
          <w:tcPr>
            <w:tcW w:w="1523" w:type="dxa"/>
            <w:noWrap/>
            <w:vAlign w:val="center"/>
            <w:hideMark/>
          </w:tcPr>
          <w:p w14:paraId="649D6611"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3,5</w:t>
            </w:r>
          </w:p>
        </w:tc>
        <w:tc>
          <w:tcPr>
            <w:tcW w:w="678" w:type="dxa"/>
            <w:noWrap/>
            <w:vAlign w:val="center"/>
            <w:hideMark/>
          </w:tcPr>
          <w:p w14:paraId="056191EA"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034" w:type="dxa"/>
            <w:noWrap/>
            <w:vAlign w:val="center"/>
            <w:hideMark/>
          </w:tcPr>
          <w:p w14:paraId="0B277B87"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4</w:t>
            </w:r>
          </w:p>
        </w:tc>
        <w:tc>
          <w:tcPr>
            <w:tcW w:w="1336" w:type="dxa"/>
            <w:noWrap/>
            <w:vAlign w:val="center"/>
            <w:hideMark/>
          </w:tcPr>
          <w:p w14:paraId="04BAA265"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0,645497224</w:t>
            </w:r>
          </w:p>
        </w:tc>
        <w:tc>
          <w:tcPr>
            <w:tcW w:w="2516" w:type="dxa"/>
            <w:vAlign w:val="center"/>
            <w:hideMark/>
          </w:tcPr>
          <w:p w14:paraId="06F4A096" w14:textId="77777777" w:rsidR="006571B5" w:rsidRPr="00A81B58" w:rsidRDefault="006571B5" w:rsidP="00A81B58">
            <w:pPr>
              <w:spacing w:after="160" w:line="259" w:lineRule="auto"/>
              <w:jc w:val="center"/>
              <w:rPr>
                <w:rFonts w:ascii="Times New Roman" w:hAnsi="Times New Roman" w:cs="Times New Roman"/>
                <w:lang w:val="en-US"/>
              </w:rPr>
            </w:pPr>
            <w:r w:rsidRPr="00A81B58">
              <w:rPr>
                <w:rFonts w:ascii="Times New Roman" w:hAnsi="Times New Roman" w:cs="Times New Roman"/>
                <w:lang w:val="en-US"/>
              </w:rPr>
              <w:t>Aritmetička sredina iznosi 3,50, što upućuje na umjerenu razinu slaganja ispitanika o važnosti ovog motiva.</w:t>
            </w:r>
            <w:r w:rsidRPr="00A81B58">
              <w:rPr>
                <w:rFonts w:ascii="Times New Roman" w:hAnsi="Times New Roman" w:cs="Times New Roman"/>
                <w:lang w:val="en-US"/>
              </w:rPr>
              <w:br/>
              <w:t>Medijan i mod iznose 4, što pokazuje da je najčešća i središnja ocjena pozitivna, iako dio ispitanika ovaj motiv procjenjuje nižim ocjenama.</w:t>
            </w:r>
            <w:r w:rsidRPr="00A81B58">
              <w:rPr>
                <w:rFonts w:ascii="Times New Roman" w:hAnsi="Times New Roman" w:cs="Times New Roman"/>
                <w:lang w:val="en-US"/>
              </w:rPr>
              <w:br/>
              <w:t>Standardna devijacija od 0,65 ukazuje na umjerenu varijaciju odgovora.</w:t>
            </w:r>
            <w:r w:rsidRPr="00A81B58">
              <w:rPr>
                <w:rFonts w:ascii="Times New Roman" w:hAnsi="Times New Roman" w:cs="Times New Roman"/>
                <w:lang w:val="en-US"/>
              </w:rPr>
              <w:br/>
              <w:t>Može se zaključiti da je ovaj motiv važan za većinu ispitanika, ali uz nešto izraženiju raznolikost stavova u usporedbi s ostalim motivima.</w:t>
            </w:r>
          </w:p>
        </w:tc>
      </w:tr>
      <w:tr w:rsidR="006571B5" w:rsidRPr="00E2667C" w14:paraId="4B5CCB86" w14:textId="77777777" w:rsidTr="00A81B58">
        <w:trPr>
          <w:trHeight w:val="1800"/>
        </w:trPr>
        <w:tc>
          <w:tcPr>
            <w:tcW w:w="941" w:type="dxa"/>
            <w:noWrap/>
            <w:vAlign w:val="center"/>
          </w:tcPr>
          <w:p w14:paraId="1FE19461" w14:textId="77777777" w:rsidR="006571B5" w:rsidRPr="00A81B58" w:rsidRDefault="006571B5" w:rsidP="00A81B58">
            <w:pPr>
              <w:spacing w:after="160" w:line="259" w:lineRule="auto"/>
              <w:jc w:val="center"/>
              <w:rPr>
                <w:rFonts w:ascii="Times New Roman" w:hAnsi="Times New Roman" w:cs="Times New Roman"/>
                <w:lang w:val="en-US"/>
              </w:rPr>
            </w:pPr>
          </w:p>
        </w:tc>
        <w:tc>
          <w:tcPr>
            <w:tcW w:w="1611" w:type="dxa"/>
            <w:vAlign w:val="center"/>
          </w:tcPr>
          <w:p w14:paraId="2C061A57" w14:textId="10974EEC" w:rsidR="006571B5" w:rsidRPr="00A81B58" w:rsidRDefault="006571B5" w:rsidP="00A81B58">
            <w:pPr>
              <w:spacing w:after="160" w:line="259" w:lineRule="auto"/>
              <w:jc w:val="center"/>
              <w:rPr>
                <w:rFonts w:ascii="Times New Roman" w:hAnsi="Times New Roman" w:cs="Times New Roman"/>
                <w:b/>
                <w:lang w:val="en-US"/>
              </w:rPr>
            </w:pPr>
            <w:r w:rsidRPr="00A81B58">
              <w:rPr>
                <w:rFonts w:ascii="Times New Roman" w:hAnsi="Times New Roman" w:cs="Times New Roman"/>
                <w:b/>
                <w:lang w:val="en-US"/>
              </w:rPr>
              <w:t>Neki drugi motivi:</w:t>
            </w:r>
          </w:p>
          <w:p w14:paraId="012D51ED" w14:textId="77777777" w:rsidR="006571B5" w:rsidRPr="00A81B58" w:rsidRDefault="006571B5" w:rsidP="00A81B58">
            <w:pPr>
              <w:numPr>
                <w:ilvl w:val="0"/>
                <w:numId w:val="106"/>
              </w:numPr>
              <w:spacing w:after="160" w:line="259" w:lineRule="auto"/>
              <w:jc w:val="center"/>
              <w:rPr>
                <w:rFonts w:ascii="Times New Roman" w:hAnsi="Times New Roman" w:cs="Times New Roman"/>
                <w:lang w:val="en-US"/>
              </w:rPr>
            </w:pPr>
            <w:r w:rsidRPr="00A81B58">
              <w:rPr>
                <w:rFonts w:ascii="Times New Roman" w:hAnsi="Times New Roman" w:cs="Times New Roman"/>
                <w:lang w:val="en-US"/>
              </w:rPr>
              <w:t>Prodaja menadžment usluga i partnerstva s financijskim investitorom, mirovinskim fondovima i ostalima</w:t>
            </w:r>
          </w:p>
          <w:p w14:paraId="42ACAE2A"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lastRenderedPageBreak/>
              <w:t>Sinergija znanja i kadrova</w:t>
            </w:r>
          </w:p>
          <w:p w14:paraId="75A25C85"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Poslovan prilika</w:t>
            </w:r>
          </w:p>
          <w:p w14:paraId="70C448C2"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Strategija</w:t>
            </w:r>
          </w:p>
          <w:p w14:paraId="352830CA"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Potencijal rasta poduzeća kojega se preuzima</w:t>
            </w:r>
          </w:p>
          <w:p w14:paraId="61E48807"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Destinacija</w:t>
            </w:r>
          </w:p>
          <w:p w14:paraId="17435BCC"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Sinergijski učinci</w:t>
            </w:r>
          </w:p>
          <w:p w14:paraId="0E256021"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Akvizicija kapaciteta koji imaju veliki up-side potencijal i koji se nalaze na atraktivnim lokacijama</w:t>
            </w:r>
          </w:p>
          <w:p w14:paraId="4AE57C3F"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Sinergijski učinci</w:t>
            </w:r>
          </w:p>
          <w:p w14:paraId="60DC67CF" w14:textId="77777777" w:rsidR="006571B5" w:rsidRPr="00A81B58" w:rsidRDefault="006571B5" w:rsidP="00A81B58">
            <w:pPr>
              <w:numPr>
                <w:ilvl w:val="0"/>
                <w:numId w:val="106"/>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 xml:space="preserve">osim diverzifikacije portfelja i drugih sličnih čimbenika, omogućiti djelatnicima cjelogodišnji rad (zimi u planinama, </w:t>
            </w:r>
            <w:r w:rsidRPr="00A81B58">
              <w:rPr>
                <w:rFonts w:ascii="Times New Roman" w:hAnsi="Times New Roman" w:cs="Times New Roman"/>
                <w:lang w:val="it-IT"/>
              </w:rPr>
              <w:lastRenderedPageBreak/>
              <w:t>a ljeti na moru)</w:t>
            </w:r>
          </w:p>
        </w:tc>
        <w:tc>
          <w:tcPr>
            <w:tcW w:w="1523" w:type="dxa"/>
            <w:noWrap/>
            <w:vAlign w:val="center"/>
          </w:tcPr>
          <w:p w14:paraId="028751C3" w14:textId="77777777" w:rsidR="006571B5" w:rsidRPr="00A81B58" w:rsidRDefault="006571B5" w:rsidP="00A81B58">
            <w:pPr>
              <w:spacing w:after="160" w:line="259" w:lineRule="auto"/>
              <w:jc w:val="center"/>
              <w:rPr>
                <w:rFonts w:ascii="Times New Roman" w:hAnsi="Times New Roman" w:cs="Times New Roman"/>
                <w:lang w:val="it-IT"/>
              </w:rPr>
            </w:pPr>
          </w:p>
        </w:tc>
        <w:tc>
          <w:tcPr>
            <w:tcW w:w="678" w:type="dxa"/>
            <w:noWrap/>
            <w:vAlign w:val="center"/>
          </w:tcPr>
          <w:p w14:paraId="1C5845FD" w14:textId="77777777" w:rsidR="006571B5" w:rsidRPr="00A81B58" w:rsidRDefault="006571B5" w:rsidP="00A81B58">
            <w:pPr>
              <w:spacing w:after="160" w:line="259" w:lineRule="auto"/>
              <w:jc w:val="center"/>
              <w:rPr>
                <w:rFonts w:ascii="Times New Roman" w:hAnsi="Times New Roman" w:cs="Times New Roman"/>
                <w:lang w:val="it-IT"/>
              </w:rPr>
            </w:pPr>
          </w:p>
        </w:tc>
        <w:tc>
          <w:tcPr>
            <w:tcW w:w="1034" w:type="dxa"/>
            <w:noWrap/>
            <w:vAlign w:val="center"/>
          </w:tcPr>
          <w:p w14:paraId="0181AB78" w14:textId="77777777" w:rsidR="006571B5" w:rsidRPr="00A81B58" w:rsidRDefault="006571B5" w:rsidP="00A81B58">
            <w:pPr>
              <w:spacing w:after="160" w:line="259" w:lineRule="auto"/>
              <w:jc w:val="center"/>
              <w:rPr>
                <w:rFonts w:ascii="Times New Roman" w:hAnsi="Times New Roman" w:cs="Times New Roman"/>
                <w:lang w:val="it-IT"/>
              </w:rPr>
            </w:pPr>
          </w:p>
        </w:tc>
        <w:tc>
          <w:tcPr>
            <w:tcW w:w="1336" w:type="dxa"/>
            <w:noWrap/>
            <w:vAlign w:val="center"/>
          </w:tcPr>
          <w:p w14:paraId="669BD9AE" w14:textId="77777777" w:rsidR="006571B5" w:rsidRPr="00A81B58" w:rsidRDefault="006571B5" w:rsidP="00A81B58">
            <w:pPr>
              <w:spacing w:after="160" w:line="259" w:lineRule="auto"/>
              <w:jc w:val="center"/>
              <w:rPr>
                <w:rFonts w:ascii="Times New Roman" w:hAnsi="Times New Roman" w:cs="Times New Roman"/>
                <w:lang w:val="it-IT"/>
              </w:rPr>
            </w:pPr>
          </w:p>
        </w:tc>
        <w:tc>
          <w:tcPr>
            <w:tcW w:w="2516" w:type="dxa"/>
            <w:vAlign w:val="center"/>
          </w:tcPr>
          <w:p w14:paraId="03FAE62C" w14:textId="77777777" w:rsidR="006571B5" w:rsidRPr="00A81B58" w:rsidRDefault="006571B5" w:rsidP="00A81B58">
            <w:pPr>
              <w:spacing w:after="160" w:line="259" w:lineRule="auto"/>
              <w:jc w:val="center"/>
              <w:rPr>
                <w:rFonts w:ascii="Times New Roman" w:hAnsi="Times New Roman" w:cs="Times New Roman"/>
                <w:lang w:val="it-IT"/>
              </w:rPr>
            </w:pPr>
          </w:p>
        </w:tc>
      </w:tr>
    </w:tbl>
    <w:p w14:paraId="41F8AD98" w14:textId="77777777" w:rsidR="006571B5" w:rsidRPr="00E2667C" w:rsidRDefault="006571B5" w:rsidP="006571B5">
      <w:pPr>
        <w:rPr>
          <w:rFonts w:ascii="Times New Roman" w:hAnsi="Times New Roman" w:cs="Times New Roman"/>
          <w:highlight w:val="yellow"/>
          <w:lang w:val="it-IT"/>
        </w:rPr>
      </w:pPr>
    </w:p>
    <w:p w14:paraId="7C2878DB" w14:textId="77777777" w:rsidR="006571B5" w:rsidRPr="00A81B58" w:rsidRDefault="006571B5" w:rsidP="006571B5">
      <w:pPr>
        <w:rPr>
          <w:rFonts w:ascii="Times New Roman" w:hAnsi="Times New Roman" w:cs="Times New Roman"/>
        </w:rPr>
      </w:pPr>
      <w:r w:rsidRPr="00A81B58">
        <w:rPr>
          <w:rFonts w:ascii="Times New Roman" w:hAnsi="Times New Roman" w:cs="Times New Roman"/>
        </w:rPr>
        <w:t>Tablica 14: Rezultati empirijskog istraživanja – procjena čimbenika uspjeha u fazi prije preuzimanja poduzeća mete od strane ispitanika iz hotelskih poduzeća</w:t>
      </w:r>
    </w:p>
    <w:tbl>
      <w:tblPr>
        <w:tblStyle w:val="TableGrid"/>
        <w:tblW w:w="0" w:type="auto"/>
        <w:tblInd w:w="-431" w:type="dxa"/>
        <w:tblLook w:val="04A0" w:firstRow="1" w:lastRow="0" w:firstColumn="1" w:lastColumn="0" w:noHBand="0" w:noVBand="1"/>
      </w:tblPr>
      <w:tblGrid>
        <w:gridCol w:w="915"/>
        <w:gridCol w:w="1683"/>
        <w:gridCol w:w="1398"/>
        <w:gridCol w:w="708"/>
        <w:gridCol w:w="1115"/>
        <w:gridCol w:w="1339"/>
        <w:gridCol w:w="2623"/>
      </w:tblGrid>
      <w:tr w:rsidR="006571B5" w:rsidRPr="00A81B58" w14:paraId="5E5AA39A" w14:textId="77777777" w:rsidTr="00A81B58">
        <w:trPr>
          <w:trHeight w:val="600"/>
        </w:trPr>
        <w:tc>
          <w:tcPr>
            <w:tcW w:w="936" w:type="dxa"/>
            <w:noWrap/>
            <w:vAlign w:val="center"/>
            <w:hideMark/>
          </w:tcPr>
          <w:p w14:paraId="37B16531" w14:textId="1DB4C022" w:rsidR="006571B5" w:rsidRPr="00A81B58" w:rsidRDefault="006571B5" w:rsidP="00A81B58">
            <w:pPr>
              <w:jc w:val="center"/>
              <w:rPr>
                <w:rFonts w:ascii="Times New Roman" w:hAnsi="Times New Roman" w:cs="Times New Roman"/>
                <w:b/>
                <w:bCs/>
                <w:lang w:val="en-US"/>
              </w:rPr>
            </w:pPr>
            <w:r w:rsidRPr="00A81B58">
              <w:rPr>
                <w:rFonts w:ascii="Times New Roman" w:hAnsi="Times New Roman" w:cs="Times New Roman"/>
                <w:b/>
                <w:bCs/>
                <w:lang w:val="en-GB"/>
              </w:rPr>
              <w:t>R</w:t>
            </w:r>
            <w:r w:rsidR="002E5B41">
              <w:rPr>
                <w:rFonts w:ascii="Times New Roman" w:hAnsi="Times New Roman" w:cs="Times New Roman"/>
                <w:b/>
                <w:bCs/>
                <w:lang w:val="en-GB"/>
              </w:rPr>
              <w:t>ang</w:t>
            </w:r>
          </w:p>
        </w:tc>
        <w:tc>
          <w:tcPr>
            <w:tcW w:w="1719" w:type="dxa"/>
            <w:noWrap/>
            <w:vAlign w:val="center"/>
            <w:hideMark/>
          </w:tcPr>
          <w:p w14:paraId="2B83D78D" w14:textId="6CAB27FF"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Č</w:t>
            </w:r>
            <w:r w:rsidR="002E5B41">
              <w:rPr>
                <w:rFonts w:ascii="Times New Roman" w:hAnsi="Times New Roman" w:cs="Times New Roman"/>
                <w:b/>
                <w:bCs/>
                <w:lang w:val="en-GB"/>
              </w:rPr>
              <w:t>imbenici</w:t>
            </w:r>
          </w:p>
        </w:tc>
        <w:tc>
          <w:tcPr>
            <w:tcW w:w="1432" w:type="dxa"/>
            <w:vAlign w:val="center"/>
            <w:hideMark/>
          </w:tcPr>
          <w:p w14:paraId="7BF11263"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Aritmetička sredina</w:t>
            </w:r>
          </w:p>
        </w:tc>
        <w:tc>
          <w:tcPr>
            <w:tcW w:w="722" w:type="dxa"/>
            <w:noWrap/>
            <w:vAlign w:val="center"/>
            <w:hideMark/>
          </w:tcPr>
          <w:p w14:paraId="6A5B5BD2"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Mod</w:t>
            </w:r>
          </w:p>
        </w:tc>
        <w:tc>
          <w:tcPr>
            <w:tcW w:w="1141" w:type="dxa"/>
            <w:noWrap/>
            <w:vAlign w:val="center"/>
            <w:hideMark/>
          </w:tcPr>
          <w:p w14:paraId="4DDE6ADE"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Medijan</w:t>
            </w:r>
          </w:p>
        </w:tc>
        <w:tc>
          <w:tcPr>
            <w:tcW w:w="1139" w:type="dxa"/>
            <w:vAlign w:val="center"/>
            <w:hideMark/>
          </w:tcPr>
          <w:p w14:paraId="68B6AFD8"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Standardna devijacija</w:t>
            </w:r>
          </w:p>
        </w:tc>
        <w:tc>
          <w:tcPr>
            <w:tcW w:w="2692" w:type="dxa"/>
            <w:noWrap/>
            <w:vAlign w:val="center"/>
            <w:hideMark/>
          </w:tcPr>
          <w:p w14:paraId="4384F292" w14:textId="5B3DB12D"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I</w:t>
            </w:r>
            <w:r w:rsidR="002E5B41">
              <w:rPr>
                <w:rFonts w:ascii="Times New Roman" w:hAnsi="Times New Roman" w:cs="Times New Roman"/>
                <w:b/>
                <w:bCs/>
                <w:lang w:val="en-GB"/>
              </w:rPr>
              <w:t>nterpretacija</w:t>
            </w:r>
          </w:p>
        </w:tc>
      </w:tr>
      <w:tr w:rsidR="006571B5" w:rsidRPr="00A81B58" w14:paraId="39D8E2BC" w14:textId="77777777" w:rsidTr="00A81B58">
        <w:trPr>
          <w:trHeight w:val="2400"/>
        </w:trPr>
        <w:tc>
          <w:tcPr>
            <w:tcW w:w="936" w:type="dxa"/>
            <w:noWrap/>
            <w:vAlign w:val="center"/>
            <w:hideMark/>
          </w:tcPr>
          <w:p w14:paraId="56433F9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1</w:t>
            </w:r>
          </w:p>
        </w:tc>
        <w:tc>
          <w:tcPr>
            <w:tcW w:w="1719" w:type="dxa"/>
            <w:noWrap/>
            <w:vAlign w:val="center"/>
            <w:hideMark/>
          </w:tcPr>
          <w:p w14:paraId="6CEC1664" w14:textId="482E7E85"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Lokacija poduzeća mete</w:t>
            </w:r>
          </w:p>
        </w:tc>
        <w:tc>
          <w:tcPr>
            <w:tcW w:w="1432" w:type="dxa"/>
            <w:noWrap/>
            <w:vAlign w:val="center"/>
            <w:hideMark/>
          </w:tcPr>
          <w:p w14:paraId="3823E88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4,75</w:t>
            </w:r>
          </w:p>
        </w:tc>
        <w:tc>
          <w:tcPr>
            <w:tcW w:w="722" w:type="dxa"/>
            <w:noWrap/>
            <w:vAlign w:val="center"/>
            <w:hideMark/>
          </w:tcPr>
          <w:p w14:paraId="549D2431"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2B8243C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39" w:type="dxa"/>
            <w:noWrap/>
            <w:vAlign w:val="center"/>
            <w:hideMark/>
          </w:tcPr>
          <w:p w14:paraId="3F6E997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0,595119036</w:t>
            </w:r>
          </w:p>
        </w:tc>
        <w:tc>
          <w:tcPr>
            <w:tcW w:w="2692" w:type="dxa"/>
            <w:vAlign w:val="center"/>
            <w:hideMark/>
          </w:tcPr>
          <w:p w14:paraId="1102F760"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Lokacija poduzeća mete ističe se kao jedan od najvažnijih čimbenika u procesu odlučivanja. Visoka prosječna ocjena, uz činjenicu da su i mod i medijan na najvišoj razini, upućuju na izrazito snažan konsenzus među ispitanicima. Relativno niska standardna devijacija dodatno potvrđuje da su stavovi vrlo homogeni, što ukazuje na stratešku važnost lokacije u hotelskom sektoru.</w:t>
            </w:r>
          </w:p>
        </w:tc>
      </w:tr>
      <w:tr w:rsidR="006571B5" w:rsidRPr="00A81B58" w14:paraId="02849F21" w14:textId="77777777" w:rsidTr="00A81B58">
        <w:trPr>
          <w:trHeight w:val="2400"/>
        </w:trPr>
        <w:tc>
          <w:tcPr>
            <w:tcW w:w="936" w:type="dxa"/>
            <w:noWrap/>
            <w:vAlign w:val="center"/>
            <w:hideMark/>
          </w:tcPr>
          <w:p w14:paraId="507F1D5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2</w:t>
            </w:r>
          </w:p>
        </w:tc>
        <w:tc>
          <w:tcPr>
            <w:tcW w:w="1719" w:type="dxa"/>
            <w:vAlign w:val="center"/>
            <w:hideMark/>
          </w:tcPr>
          <w:p w14:paraId="3796552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Potencijalna upravljačka sinergija (tj. poboljšani konkurentni položaj poduzeća mete prijenosom upravljačkog znanja poduzeća preuzimatelja)</w:t>
            </w:r>
          </w:p>
        </w:tc>
        <w:tc>
          <w:tcPr>
            <w:tcW w:w="1432" w:type="dxa"/>
            <w:noWrap/>
            <w:vAlign w:val="center"/>
            <w:hideMark/>
          </w:tcPr>
          <w:p w14:paraId="1D4E516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4,583333333</w:t>
            </w:r>
          </w:p>
        </w:tc>
        <w:tc>
          <w:tcPr>
            <w:tcW w:w="722" w:type="dxa"/>
            <w:noWrap/>
            <w:vAlign w:val="center"/>
            <w:hideMark/>
          </w:tcPr>
          <w:p w14:paraId="60959CC8"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66AC7F9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39" w:type="dxa"/>
            <w:noWrap/>
            <w:vAlign w:val="center"/>
            <w:hideMark/>
          </w:tcPr>
          <w:p w14:paraId="02A8BDD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0,493006649</w:t>
            </w:r>
          </w:p>
        </w:tc>
        <w:tc>
          <w:tcPr>
            <w:tcW w:w="2692" w:type="dxa"/>
            <w:vAlign w:val="center"/>
            <w:hideMark/>
          </w:tcPr>
          <w:p w14:paraId="1E88D5F3"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ispitanici ocjenjuju kao izrazito važan. Visoka prosječna ocjena, uz identične vrijednosti moda i medijana na najvišoj razini, upućuje na snažan konsenzus o značaju prijenosa upravljačkog znanja i poboljšanja konkurentnog položaja. Niska standardna devijacija potvrđuje homogenost stavova i jasno prepoznavanje upravljačke sinergije kao ključnog motiva preuzimanja.</w:t>
            </w:r>
          </w:p>
        </w:tc>
      </w:tr>
      <w:tr w:rsidR="006571B5" w:rsidRPr="00A81B58" w14:paraId="319CB823" w14:textId="77777777" w:rsidTr="00A81B58">
        <w:trPr>
          <w:trHeight w:val="2100"/>
        </w:trPr>
        <w:tc>
          <w:tcPr>
            <w:tcW w:w="936" w:type="dxa"/>
            <w:noWrap/>
            <w:vAlign w:val="center"/>
            <w:hideMark/>
          </w:tcPr>
          <w:p w14:paraId="34D962E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3</w:t>
            </w:r>
          </w:p>
        </w:tc>
        <w:tc>
          <w:tcPr>
            <w:tcW w:w="1719" w:type="dxa"/>
            <w:vAlign w:val="center"/>
            <w:hideMark/>
          </w:tcPr>
          <w:p w14:paraId="12B4B87A"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Imidž turističke destinacije u kojoj posluje poduzeće meta</w:t>
            </w:r>
          </w:p>
        </w:tc>
        <w:tc>
          <w:tcPr>
            <w:tcW w:w="1432" w:type="dxa"/>
            <w:noWrap/>
            <w:vAlign w:val="center"/>
            <w:hideMark/>
          </w:tcPr>
          <w:p w14:paraId="3A15E86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4,416666667</w:t>
            </w:r>
          </w:p>
        </w:tc>
        <w:tc>
          <w:tcPr>
            <w:tcW w:w="722" w:type="dxa"/>
            <w:noWrap/>
            <w:vAlign w:val="center"/>
            <w:hideMark/>
          </w:tcPr>
          <w:p w14:paraId="7581873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41" w:type="dxa"/>
            <w:noWrap/>
            <w:vAlign w:val="center"/>
            <w:hideMark/>
          </w:tcPr>
          <w:p w14:paraId="052D33FB"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322FE65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0,493006649</w:t>
            </w:r>
          </w:p>
        </w:tc>
        <w:tc>
          <w:tcPr>
            <w:tcW w:w="2692" w:type="dxa"/>
            <w:vAlign w:val="center"/>
            <w:hideMark/>
          </w:tcPr>
          <w:p w14:paraId="72A4A6B7"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Imidž destinacije percipira se kao vrlo važan čimbenik prije M&amp;A procesa. Prosječna ocjena je visoka, a podudaranje moda i medijana potvrđuje stabilan i konzistentan stav ispitanika. Niska standardna devijacija upućuje na visok stupanj suglasnosti, što pokazuje da većina ispitanika slično vrednuje utjecaj imidža destinacije na atraktivnost poduzeća mete.</w:t>
            </w:r>
          </w:p>
        </w:tc>
      </w:tr>
      <w:tr w:rsidR="006571B5" w:rsidRPr="00A81B58" w14:paraId="05AFFC49" w14:textId="77777777" w:rsidTr="00A81B58">
        <w:trPr>
          <w:trHeight w:val="2100"/>
        </w:trPr>
        <w:tc>
          <w:tcPr>
            <w:tcW w:w="936" w:type="dxa"/>
            <w:noWrap/>
            <w:vAlign w:val="center"/>
            <w:hideMark/>
          </w:tcPr>
          <w:p w14:paraId="6450E1B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719" w:type="dxa"/>
            <w:vAlign w:val="center"/>
            <w:hideMark/>
          </w:tcPr>
          <w:p w14:paraId="0DF022DE" w14:textId="3AB8846B"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Sadašnja vrijednost očekivanih sinergija preuzimanja za poduzeće preuzimatelja će biti veća od plaćenih premija</w:t>
            </w:r>
          </w:p>
        </w:tc>
        <w:tc>
          <w:tcPr>
            <w:tcW w:w="1432" w:type="dxa"/>
            <w:noWrap/>
            <w:vAlign w:val="center"/>
            <w:hideMark/>
          </w:tcPr>
          <w:p w14:paraId="50765C04"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4,333333333</w:t>
            </w:r>
          </w:p>
        </w:tc>
        <w:tc>
          <w:tcPr>
            <w:tcW w:w="722" w:type="dxa"/>
            <w:noWrap/>
            <w:vAlign w:val="center"/>
            <w:hideMark/>
          </w:tcPr>
          <w:p w14:paraId="67B4D63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41" w:type="dxa"/>
            <w:noWrap/>
            <w:vAlign w:val="center"/>
            <w:hideMark/>
          </w:tcPr>
          <w:p w14:paraId="1F8B419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3C5F30F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0,471404521</w:t>
            </w:r>
          </w:p>
        </w:tc>
        <w:tc>
          <w:tcPr>
            <w:tcW w:w="2692" w:type="dxa"/>
            <w:vAlign w:val="center"/>
            <w:hideMark/>
          </w:tcPr>
          <w:p w14:paraId="2AE74788"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Ispitanici ovaj čimbenik ocjenjuju kao vrlo važan u procesu donošenja odluka. Visoka prosječna ocjena te podudaranje moda i medijana ukazuju na snažan konsenzus da ekonomska opravdanost preuzimanja mora biti jasno izražena. Niska standardna devijacija dodatno potvrđuje da većina ispitanika dijeli sličan stav o važnosti odnosa između sinergija i plaćene premije.</w:t>
            </w:r>
          </w:p>
        </w:tc>
      </w:tr>
      <w:tr w:rsidR="006571B5" w:rsidRPr="00A81B58" w14:paraId="19EDE0D4" w14:textId="77777777" w:rsidTr="00A81B58">
        <w:trPr>
          <w:trHeight w:val="2400"/>
        </w:trPr>
        <w:tc>
          <w:tcPr>
            <w:tcW w:w="936" w:type="dxa"/>
            <w:noWrap/>
            <w:vAlign w:val="center"/>
            <w:hideMark/>
          </w:tcPr>
          <w:p w14:paraId="4B6E21C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719" w:type="dxa"/>
            <w:noWrap/>
            <w:vAlign w:val="center"/>
            <w:hideMark/>
          </w:tcPr>
          <w:p w14:paraId="5B11F3E1" w14:textId="53BCC27B"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Dubinsko snimanje poduzeća mete</w:t>
            </w:r>
          </w:p>
        </w:tc>
        <w:tc>
          <w:tcPr>
            <w:tcW w:w="1432" w:type="dxa"/>
            <w:noWrap/>
            <w:vAlign w:val="center"/>
            <w:hideMark/>
          </w:tcPr>
          <w:p w14:paraId="5AC5E7D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4,333333333</w:t>
            </w:r>
          </w:p>
        </w:tc>
        <w:tc>
          <w:tcPr>
            <w:tcW w:w="722" w:type="dxa"/>
            <w:noWrap/>
            <w:vAlign w:val="center"/>
            <w:hideMark/>
          </w:tcPr>
          <w:p w14:paraId="755CDD0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06993EC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4,5</w:t>
            </w:r>
          </w:p>
        </w:tc>
        <w:tc>
          <w:tcPr>
            <w:tcW w:w="1139" w:type="dxa"/>
            <w:noWrap/>
            <w:vAlign w:val="center"/>
            <w:hideMark/>
          </w:tcPr>
          <w:p w14:paraId="4009FFE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0,849836586</w:t>
            </w:r>
          </w:p>
        </w:tc>
        <w:tc>
          <w:tcPr>
            <w:tcW w:w="2692" w:type="dxa"/>
            <w:vAlign w:val="center"/>
            <w:hideMark/>
          </w:tcPr>
          <w:p w14:paraId="5AAC2AA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Dubinsko snimanje percipira se kao vrlo važan preduvjet uspješnog preuzimanja. Prosječna ocjena ukazuje na visok značaj ovog čimbenika, dok mod i medijan potvrđuju da većina ispitanika naginje višim ocjenama. Nešto viša standardna devijacija sugerira da među ispitanicima postoje određene razlike u procjeni njegove važnosti, što može upućivati na različita iskustva ili pristupe procesu analize prije akvizicije.</w:t>
            </w:r>
          </w:p>
        </w:tc>
      </w:tr>
      <w:tr w:rsidR="006571B5" w:rsidRPr="00A81B58" w14:paraId="48352EAB" w14:textId="77777777" w:rsidTr="00A81B58">
        <w:trPr>
          <w:trHeight w:val="2400"/>
        </w:trPr>
        <w:tc>
          <w:tcPr>
            <w:tcW w:w="936" w:type="dxa"/>
            <w:noWrap/>
            <w:vAlign w:val="center"/>
            <w:hideMark/>
          </w:tcPr>
          <w:p w14:paraId="55D6DE6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5</w:t>
            </w:r>
          </w:p>
        </w:tc>
        <w:tc>
          <w:tcPr>
            <w:tcW w:w="1719" w:type="dxa"/>
            <w:vAlign w:val="center"/>
            <w:hideMark/>
          </w:tcPr>
          <w:p w14:paraId="2F1F413B"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Potreba kapitalnih izdataka kod poduzeća mete (npr. potencijalni troškovi obnove nekretnina)</w:t>
            </w:r>
          </w:p>
        </w:tc>
        <w:tc>
          <w:tcPr>
            <w:tcW w:w="1432" w:type="dxa"/>
            <w:noWrap/>
            <w:vAlign w:val="center"/>
            <w:hideMark/>
          </w:tcPr>
          <w:p w14:paraId="5D163B2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4,25</w:t>
            </w:r>
          </w:p>
        </w:tc>
        <w:tc>
          <w:tcPr>
            <w:tcW w:w="722" w:type="dxa"/>
            <w:noWrap/>
            <w:vAlign w:val="center"/>
            <w:hideMark/>
          </w:tcPr>
          <w:p w14:paraId="38E8A61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503835B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4,5</w:t>
            </w:r>
          </w:p>
        </w:tc>
        <w:tc>
          <w:tcPr>
            <w:tcW w:w="1139" w:type="dxa"/>
            <w:noWrap/>
            <w:vAlign w:val="center"/>
            <w:hideMark/>
          </w:tcPr>
          <w:p w14:paraId="17718F44"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0,829156198</w:t>
            </w:r>
          </w:p>
        </w:tc>
        <w:tc>
          <w:tcPr>
            <w:tcW w:w="2692" w:type="dxa"/>
            <w:vAlign w:val="center"/>
            <w:hideMark/>
          </w:tcPr>
          <w:p w14:paraId="7A91D8C0"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ispitanici uglavnom ocjenjuju kao značajan u procesu spajanja i preuzimanja. Visoka prosječna ocjena, uz mod na najvišoj razini i viši medijan, ukazuje na to da većina ispitanika prepoznaje važnost potencijalnih budućih ulaganja. Umjerena standardna devijacija pokazuje postojanje određenih razlika u stavovima, što može odražavati različite percepcije rizika i financijskog opterećenja.</w:t>
            </w:r>
          </w:p>
        </w:tc>
      </w:tr>
      <w:tr w:rsidR="006571B5" w:rsidRPr="00A81B58" w14:paraId="414A006A" w14:textId="77777777" w:rsidTr="00A81B58">
        <w:trPr>
          <w:trHeight w:val="2100"/>
        </w:trPr>
        <w:tc>
          <w:tcPr>
            <w:tcW w:w="936" w:type="dxa"/>
            <w:noWrap/>
            <w:vAlign w:val="center"/>
            <w:hideMark/>
          </w:tcPr>
          <w:p w14:paraId="3B4C25C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6</w:t>
            </w:r>
          </w:p>
        </w:tc>
        <w:tc>
          <w:tcPr>
            <w:tcW w:w="1719" w:type="dxa"/>
            <w:noWrap/>
            <w:vAlign w:val="center"/>
            <w:hideMark/>
          </w:tcPr>
          <w:p w14:paraId="7351D3A0" w14:textId="0B7DB8B6"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Iznos akvizicijske premije</w:t>
            </w:r>
          </w:p>
        </w:tc>
        <w:tc>
          <w:tcPr>
            <w:tcW w:w="1432" w:type="dxa"/>
            <w:noWrap/>
            <w:vAlign w:val="center"/>
            <w:hideMark/>
          </w:tcPr>
          <w:p w14:paraId="253091E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4,166666667</w:t>
            </w:r>
          </w:p>
        </w:tc>
        <w:tc>
          <w:tcPr>
            <w:tcW w:w="722" w:type="dxa"/>
            <w:noWrap/>
            <w:vAlign w:val="center"/>
            <w:hideMark/>
          </w:tcPr>
          <w:p w14:paraId="5359BFE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3523E63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3D43E25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0,799305254</w:t>
            </w:r>
          </w:p>
        </w:tc>
        <w:tc>
          <w:tcPr>
            <w:tcW w:w="2692" w:type="dxa"/>
            <w:vAlign w:val="center"/>
            <w:hideMark/>
          </w:tcPr>
          <w:p w14:paraId="704FD277"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Iznos akvizicijske premije percipira se kao važan, ali ne i apsolutno presudan čimbenik. Prosječna ocjena je relativno visoka, dok razlika između moda i medijana ukazuje na blagu neujednačenost u stavovima. Umjerena standardna devijacija sugerira postojanje određenih razlika u procjeni prihvatljivosti visine premije među ispitanicima.</w:t>
            </w:r>
          </w:p>
        </w:tc>
      </w:tr>
      <w:tr w:rsidR="006571B5" w:rsidRPr="00A81B58" w14:paraId="4B993DDB" w14:textId="77777777" w:rsidTr="00A81B58">
        <w:trPr>
          <w:trHeight w:val="2400"/>
        </w:trPr>
        <w:tc>
          <w:tcPr>
            <w:tcW w:w="936" w:type="dxa"/>
            <w:noWrap/>
            <w:vAlign w:val="center"/>
            <w:hideMark/>
          </w:tcPr>
          <w:p w14:paraId="4EFEAC9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7</w:t>
            </w:r>
          </w:p>
        </w:tc>
        <w:tc>
          <w:tcPr>
            <w:tcW w:w="1719" w:type="dxa"/>
            <w:vAlign w:val="center"/>
            <w:hideMark/>
          </w:tcPr>
          <w:p w14:paraId="1B30CF2A" w14:textId="7123D14A"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Strateška povezanost između poduzeća preuzimatelja i poduzeća mete</w:t>
            </w:r>
          </w:p>
        </w:tc>
        <w:tc>
          <w:tcPr>
            <w:tcW w:w="1432" w:type="dxa"/>
            <w:noWrap/>
            <w:vAlign w:val="center"/>
            <w:hideMark/>
          </w:tcPr>
          <w:p w14:paraId="3A8846B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722" w:type="dxa"/>
            <w:noWrap/>
            <w:vAlign w:val="center"/>
            <w:hideMark/>
          </w:tcPr>
          <w:p w14:paraId="190DA6C3"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41" w:type="dxa"/>
            <w:noWrap/>
            <w:vAlign w:val="center"/>
            <w:hideMark/>
          </w:tcPr>
          <w:p w14:paraId="3BC336D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4B1CCD0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0,577350269</w:t>
            </w:r>
          </w:p>
        </w:tc>
        <w:tc>
          <w:tcPr>
            <w:tcW w:w="2692" w:type="dxa"/>
            <w:vAlign w:val="center"/>
            <w:hideMark/>
          </w:tcPr>
          <w:p w14:paraId="2AF31C81"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Strateška povezanost prepoznata je kao važan čimbenik prije ulaska u M&amp;A proces. Prosječna ocjena, uz identične vrijednosti moda i medijana, upućuje na jasno izražen dominantan stav o njezinoj važnosti. Niska standardna devijacija ukazuje na visok stupanj suglasnosti među ispitanicima, što sugerira da se strateško usklađivanje smatra temeljem uspješnog preuzimanja.</w:t>
            </w:r>
          </w:p>
        </w:tc>
      </w:tr>
      <w:tr w:rsidR="006571B5" w:rsidRPr="00A81B58" w14:paraId="0EE31777" w14:textId="77777777" w:rsidTr="00A81B58">
        <w:trPr>
          <w:trHeight w:val="2700"/>
        </w:trPr>
        <w:tc>
          <w:tcPr>
            <w:tcW w:w="936" w:type="dxa"/>
            <w:noWrap/>
            <w:vAlign w:val="center"/>
            <w:hideMark/>
          </w:tcPr>
          <w:p w14:paraId="50E6CED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8</w:t>
            </w:r>
          </w:p>
        </w:tc>
        <w:tc>
          <w:tcPr>
            <w:tcW w:w="1719" w:type="dxa"/>
            <w:vAlign w:val="center"/>
            <w:hideMark/>
          </w:tcPr>
          <w:p w14:paraId="419A684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Dobra procjena potencijalne operativne sinergije poduzeća mete na poduzeće preuzimatelja (tj. poboljšanu operativnu učinkovitost)</w:t>
            </w:r>
          </w:p>
        </w:tc>
        <w:tc>
          <w:tcPr>
            <w:tcW w:w="1432" w:type="dxa"/>
            <w:noWrap/>
            <w:vAlign w:val="center"/>
            <w:hideMark/>
          </w:tcPr>
          <w:p w14:paraId="5BA0030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3,916666667</w:t>
            </w:r>
          </w:p>
        </w:tc>
        <w:tc>
          <w:tcPr>
            <w:tcW w:w="722" w:type="dxa"/>
            <w:noWrap/>
            <w:vAlign w:val="center"/>
            <w:hideMark/>
          </w:tcPr>
          <w:p w14:paraId="24A1E29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41" w:type="dxa"/>
            <w:noWrap/>
            <w:vAlign w:val="center"/>
            <w:hideMark/>
          </w:tcPr>
          <w:p w14:paraId="717E7EA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1CCE285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0,640095479</w:t>
            </w:r>
          </w:p>
        </w:tc>
        <w:tc>
          <w:tcPr>
            <w:tcW w:w="2692" w:type="dxa"/>
            <w:vAlign w:val="center"/>
            <w:hideMark/>
          </w:tcPr>
          <w:p w14:paraId="2BEF1AC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ispitanici ocjenjuju kao važan u kontekstu odluke o spajanju i preuzimanju. Prosječna ocjena ukazuje na relativno visok stupanj slaganja o njegovoj važnosti, dok su mod i medijan jednaki i upućuju na dominantnu percepciju dobre operativne sinergije kao relevantnog motiva. Umjerena standardna devijacija sugerira da, iako većina ispitanika dijeli sličan stav, postoje manje razlike u procjeni značaja ovog čimbenika među članovima uprave i menadžmenta.</w:t>
            </w:r>
          </w:p>
        </w:tc>
      </w:tr>
      <w:tr w:rsidR="006571B5" w:rsidRPr="00A81B58" w14:paraId="0057B20E" w14:textId="77777777" w:rsidTr="00A81B58">
        <w:trPr>
          <w:trHeight w:val="2700"/>
        </w:trPr>
        <w:tc>
          <w:tcPr>
            <w:tcW w:w="936" w:type="dxa"/>
            <w:noWrap/>
            <w:vAlign w:val="center"/>
            <w:hideMark/>
          </w:tcPr>
          <w:p w14:paraId="3907FB8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8</w:t>
            </w:r>
          </w:p>
        </w:tc>
        <w:tc>
          <w:tcPr>
            <w:tcW w:w="1719" w:type="dxa"/>
            <w:vAlign w:val="center"/>
            <w:hideMark/>
          </w:tcPr>
          <w:p w14:paraId="02497F4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Cijena ponude (akvizicije) temelji se na konkurentnom položaju poduzeća mete u hotelskom sektoru</w:t>
            </w:r>
          </w:p>
        </w:tc>
        <w:tc>
          <w:tcPr>
            <w:tcW w:w="1432" w:type="dxa"/>
            <w:noWrap/>
            <w:vAlign w:val="center"/>
            <w:hideMark/>
          </w:tcPr>
          <w:p w14:paraId="58A58038"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3,916666667</w:t>
            </w:r>
          </w:p>
        </w:tc>
        <w:tc>
          <w:tcPr>
            <w:tcW w:w="722" w:type="dxa"/>
            <w:noWrap/>
            <w:vAlign w:val="center"/>
            <w:hideMark/>
          </w:tcPr>
          <w:p w14:paraId="6034B69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141" w:type="dxa"/>
            <w:noWrap/>
            <w:vAlign w:val="center"/>
            <w:hideMark/>
          </w:tcPr>
          <w:p w14:paraId="614EA6C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2162441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1,037491633</w:t>
            </w:r>
          </w:p>
        </w:tc>
        <w:tc>
          <w:tcPr>
            <w:tcW w:w="2692" w:type="dxa"/>
            <w:vAlign w:val="center"/>
            <w:hideMark/>
          </w:tcPr>
          <w:p w14:paraId="51DC027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ocijenjen je kao umjereno važan do važan, s nešto većim razlikama u percepciji ispitanika. Prosječna ocjena ukazuje na relevantnost ovog kriterija, dok mod i medijan pokazuju da većina ispitanika ipak teži višim ocjenama. Najviša standardna devijacija među promatranim čimbenicima sugerira izraženiju heterogenost stavova, što može upućivati na različite procjene tržišnog položaja i njegovog utjecaja na formiranje cijene akvizicije.</w:t>
            </w:r>
          </w:p>
        </w:tc>
      </w:tr>
      <w:tr w:rsidR="006571B5" w:rsidRPr="00A81B58" w14:paraId="2653349B" w14:textId="77777777" w:rsidTr="00A81B58">
        <w:trPr>
          <w:trHeight w:val="2100"/>
        </w:trPr>
        <w:tc>
          <w:tcPr>
            <w:tcW w:w="936" w:type="dxa"/>
            <w:noWrap/>
            <w:vAlign w:val="center"/>
            <w:hideMark/>
          </w:tcPr>
          <w:p w14:paraId="3F566B3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9</w:t>
            </w:r>
          </w:p>
        </w:tc>
        <w:tc>
          <w:tcPr>
            <w:tcW w:w="1719" w:type="dxa"/>
            <w:vAlign w:val="center"/>
            <w:hideMark/>
          </w:tcPr>
          <w:p w14:paraId="715D3783"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Potencijalni učinak na jačanje marke i reputacije poduzeća preuzimatelja</w:t>
            </w:r>
          </w:p>
        </w:tc>
        <w:tc>
          <w:tcPr>
            <w:tcW w:w="1432" w:type="dxa"/>
            <w:noWrap/>
            <w:vAlign w:val="center"/>
            <w:hideMark/>
          </w:tcPr>
          <w:p w14:paraId="20278CD6"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3,75</w:t>
            </w:r>
          </w:p>
        </w:tc>
        <w:tc>
          <w:tcPr>
            <w:tcW w:w="722" w:type="dxa"/>
            <w:noWrap/>
            <w:vAlign w:val="center"/>
            <w:hideMark/>
          </w:tcPr>
          <w:p w14:paraId="2852A51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41" w:type="dxa"/>
            <w:noWrap/>
            <w:vAlign w:val="center"/>
            <w:hideMark/>
          </w:tcPr>
          <w:p w14:paraId="05952C4B"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w:t>
            </w:r>
          </w:p>
        </w:tc>
        <w:tc>
          <w:tcPr>
            <w:tcW w:w="1139" w:type="dxa"/>
            <w:noWrap/>
            <w:vAlign w:val="center"/>
            <w:hideMark/>
          </w:tcPr>
          <w:p w14:paraId="46D0FC28"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0,829156198</w:t>
            </w:r>
          </w:p>
        </w:tc>
        <w:tc>
          <w:tcPr>
            <w:tcW w:w="2692" w:type="dxa"/>
            <w:vAlign w:val="center"/>
            <w:hideMark/>
          </w:tcPr>
          <w:p w14:paraId="5A666C3D"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en-GB"/>
              </w:rPr>
              <w:t xml:space="preserve">Jačanje marke i reputacije preuzimatelja ocijenjeno je kao umjereno važan do važan čimbenik. </w:t>
            </w:r>
            <w:r w:rsidRPr="00A81B58">
              <w:rPr>
                <w:rFonts w:ascii="Times New Roman" w:hAnsi="Times New Roman" w:cs="Times New Roman"/>
                <w:lang w:val="it-IT"/>
              </w:rPr>
              <w:t xml:space="preserve">Prosječna ocjena i podudaranje moda i medijana upućuju na relativno stabilan stav ispitanika. Međutim, nešto viša standardna devijacija sugerira da među ispitanicima postoji veća </w:t>
            </w:r>
            <w:r w:rsidRPr="00A81B58">
              <w:rPr>
                <w:rFonts w:ascii="Times New Roman" w:hAnsi="Times New Roman" w:cs="Times New Roman"/>
                <w:lang w:val="it-IT"/>
              </w:rPr>
              <w:lastRenderedPageBreak/>
              <w:t>raznolikost u percepciji značaja ovog čimbenika u odnosu na neke druge strateške motive.</w:t>
            </w:r>
          </w:p>
        </w:tc>
      </w:tr>
      <w:tr w:rsidR="006571B5" w:rsidRPr="00E2667C" w14:paraId="36163B7E" w14:textId="77777777" w:rsidTr="00A81B58">
        <w:trPr>
          <w:trHeight w:val="2100"/>
        </w:trPr>
        <w:tc>
          <w:tcPr>
            <w:tcW w:w="936" w:type="dxa"/>
            <w:noWrap/>
            <w:vAlign w:val="center"/>
          </w:tcPr>
          <w:p w14:paraId="6115ECFB" w14:textId="77777777" w:rsidR="006571B5" w:rsidRPr="00A81B58" w:rsidRDefault="006571B5" w:rsidP="00A81B58">
            <w:pPr>
              <w:jc w:val="center"/>
              <w:rPr>
                <w:rFonts w:ascii="Times New Roman" w:hAnsi="Times New Roman" w:cs="Times New Roman"/>
                <w:lang w:val="it-IT"/>
              </w:rPr>
            </w:pPr>
          </w:p>
        </w:tc>
        <w:tc>
          <w:tcPr>
            <w:tcW w:w="1719" w:type="dxa"/>
            <w:vAlign w:val="center"/>
          </w:tcPr>
          <w:p w14:paraId="21314EC0" w14:textId="77777777" w:rsidR="006571B5" w:rsidRPr="00A81B58" w:rsidRDefault="006571B5" w:rsidP="00A81B58">
            <w:pPr>
              <w:numPr>
                <w:ilvl w:val="0"/>
                <w:numId w:val="107"/>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Što ti je taj upside koji može ta nekretnina napraviti u odnosu na trenutni scenarij plus operative, operativna efikasnost, koliko može još ta investicija tj. koja joj je neka krajnja vrijednost.</w:t>
            </w:r>
          </w:p>
          <w:p w14:paraId="7BA6CEFF" w14:textId="77777777" w:rsidR="006571B5" w:rsidRPr="00A81B58" w:rsidRDefault="006571B5" w:rsidP="00A81B58">
            <w:pPr>
              <w:numPr>
                <w:ilvl w:val="0"/>
                <w:numId w:val="107"/>
              </w:numPr>
              <w:spacing w:after="160" w:line="259" w:lineRule="auto"/>
              <w:jc w:val="center"/>
              <w:rPr>
                <w:rFonts w:ascii="Times New Roman" w:hAnsi="Times New Roman" w:cs="Times New Roman"/>
                <w:lang w:val="en-GB"/>
              </w:rPr>
            </w:pPr>
            <w:r w:rsidRPr="00A81B58">
              <w:rPr>
                <w:rFonts w:ascii="Times New Roman" w:hAnsi="Times New Roman" w:cs="Times New Roman"/>
                <w:lang w:val="en-GB"/>
              </w:rPr>
              <w:t>Sinergija znanja</w:t>
            </w:r>
          </w:p>
          <w:p w14:paraId="49601621" w14:textId="77777777" w:rsidR="006571B5" w:rsidRPr="00A81B58" w:rsidRDefault="006571B5" w:rsidP="00A81B58">
            <w:pPr>
              <w:numPr>
                <w:ilvl w:val="0"/>
                <w:numId w:val="107"/>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 xml:space="preserve">Potencijal rasta, traženi multiplikator EBITDA vs naša procjena rasta </w:t>
            </w:r>
            <w:r w:rsidRPr="00A81B58">
              <w:rPr>
                <w:rFonts w:ascii="Times New Roman" w:hAnsi="Times New Roman" w:cs="Times New Roman"/>
                <w:i/>
                <w:lang w:val="it-IT"/>
              </w:rPr>
              <w:t>as is</w:t>
            </w:r>
            <w:r w:rsidRPr="00A81B58">
              <w:rPr>
                <w:rFonts w:ascii="Times New Roman" w:hAnsi="Times New Roman" w:cs="Times New Roman"/>
                <w:lang w:val="it-IT"/>
              </w:rPr>
              <w:t xml:space="preserve"> kompanije.</w:t>
            </w:r>
          </w:p>
          <w:p w14:paraId="063DD5D2" w14:textId="06210669" w:rsidR="006571B5" w:rsidRPr="00A81B58" w:rsidRDefault="006571B5" w:rsidP="00A81B58">
            <w:pPr>
              <w:numPr>
                <w:ilvl w:val="0"/>
                <w:numId w:val="107"/>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Pravni okvir</w:t>
            </w:r>
          </w:p>
          <w:p w14:paraId="0D408700" w14:textId="77777777" w:rsidR="006571B5" w:rsidRPr="00A81B58" w:rsidRDefault="006571B5" w:rsidP="00A81B58">
            <w:pPr>
              <w:numPr>
                <w:ilvl w:val="0"/>
                <w:numId w:val="107"/>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 xml:space="preserve">Psihološka komponenta vlasništva koji totalno nema uporište u brojevima, </w:t>
            </w:r>
            <w:r w:rsidRPr="00A81B58">
              <w:rPr>
                <w:rFonts w:ascii="Times New Roman" w:hAnsi="Times New Roman" w:cs="Times New Roman"/>
                <w:lang w:val="it-IT"/>
              </w:rPr>
              <w:lastRenderedPageBreak/>
              <w:t>mada ona nije presudna. Ona je nešto što će nekoga da li će se netko upustiti u nekakvu analizu nečega ili ne, ali kasnije da donese tu odluku, ona nije ključna, ona ne može biti neki trigger u startu.</w:t>
            </w:r>
          </w:p>
        </w:tc>
        <w:tc>
          <w:tcPr>
            <w:tcW w:w="1432" w:type="dxa"/>
            <w:noWrap/>
            <w:vAlign w:val="center"/>
          </w:tcPr>
          <w:p w14:paraId="7F87B6D4" w14:textId="77777777" w:rsidR="006571B5" w:rsidRPr="00A81B58" w:rsidRDefault="006571B5" w:rsidP="00A81B58">
            <w:pPr>
              <w:jc w:val="center"/>
              <w:rPr>
                <w:rFonts w:ascii="Times New Roman" w:hAnsi="Times New Roman" w:cs="Times New Roman"/>
                <w:lang w:val="it-IT"/>
              </w:rPr>
            </w:pPr>
          </w:p>
        </w:tc>
        <w:tc>
          <w:tcPr>
            <w:tcW w:w="722" w:type="dxa"/>
            <w:noWrap/>
            <w:vAlign w:val="center"/>
          </w:tcPr>
          <w:p w14:paraId="147DED30" w14:textId="77777777" w:rsidR="006571B5" w:rsidRPr="00A81B58" w:rsidRDefault="006571B5" w:rsidP="00A81B58">
            <w:pPr>
              <w:jc w:val="center"/>
              <w:rPr>
                <w:rFonts w:ascii="Times New Roman" w:hAnsi="Times New Roman" w:cs="Times New Roman"/>
                <w:lang w:val="it-IT"/>
              </w:rPr>
            </w:pPr>
          </w:p>
        </w:tc>
        <w:tc>
          <w:tcPr>
            <w:tcW w:w="1141" w:type="dxa"/>
            <w:noWrap/>
            <w:vAlign w:val="center"/>
          </w:tcPr>
          <w:p w14:paraId="3E00FBD1" w14:textId="77777777" w:rsidR="006571B5" w:rsidRPr="00A81B58" w:rsidRDefault="006571B5" w:rsidP="00A81B58">
            <w:pPr>
              <w:jc w:val="center"/>
              <w:rPr>
                <w:rFonts w:ascii="Times New Roman" w:hAnsi="Times New Roman" w:cs="Times New Roman"/>
                <w:lang w:val="it-IT"/>
              </w:rPr>
            </w:pPr>
          </w:p>
        </w:tc>
        <w:tc>
          <w:tcPr>
            <w:tcW w:w="1139" w:type="dxa"/>
            <w:noWrap/>
            <w:vAlign w:val="center"/>
          </w:tcPr>
          <w:p w14:paraId="46C94F4D" w14:textId="77777777" w:rsidR="006571B5" w:rsidRPr="00A81B58" w:rsidRDefault="006571B5" w:rsidP="00A81B58">
            <w:pPr>
              <w:jc w:val="center"/>
              <w:rPr>
                <w:rFonts w:ascii="Times New Roman" w:hAnsi="Times New Roman" w:cs="Times New Roman"/>
                <w:lang w:val="it-IT"/>
              </w:rPr>
            </w:pPr>
          </w:p>
        </w:tc>
        <w:tc>
          <w:tcPr>
            <w:tcW w:w="2692" w:type="dxa"/>
            <w:vAlign w:val="center"/>
          </w:tcPr>
          <w:p w14:paraId="33F416AA" w14:textId="77777777" w:rsidR="006571B5" w:rsidRPr="00A81B58" w:rsidRDefault="006571B5" w:rsidP="00A81B58">
            <w:pPr>
              <w:jc w:val="center"/>
              <w:rPr>
                <w:rFonts w:ascii="Times New Roman" w:hAnsi="Times New Roman" w:cs="Times New Roman"/>
                <w:lang w:val="it-IT"/>
              </w:rPr>
            </w:pPr>
          </w:p>
        </w:tc>
      </w:tr>
    </w:tbl>
    <w:p w14:paraId="0DF53269" w14:textId="77777777" w:rsidR="006571B5" w:rsidRPr="00E2667C" w:rsidRDefault="006571B5" w:rsidP="006571B5">
      <w:pPr>
        <w:rPr>
          <w:rFonts w:ascii="Times New Roman" w:hAnsi="Times New Roman" w:cs="Times New Roman"/>
          <w:highlight w:val="yellow"/>
          <w:lang w:val="it-IT"/>
        </w:rPr>
      </w:pPr>
    </w:p>
    <w:p w14:paraId="129B8D43" w14:textId="77777777" w:rsidR="006571B5" w:rsidRPr="00A81B58" w:rsidRDefault="006571B5" w:rsidP="006571B5">
      <w:pPr>
        <w:rPr>
          <w:rFonts w:ascii="Times New Roman" w:hAnsi="Times New Roman" w:cs="Times New Roman"/>
          <w:bCs/>
        </w:rPr>
      </w:pPr>
      <w:r w:rsidRPr="00A81B58">
        <w:rPr>
          <w:rFonts w:ascii="Times New Roman" w:hAnsi="Times New Roman" w:cs="Times New Roman"/>
          <w:bCs/>
        </w:rPr>
        <w:t>Tablica 15: Rezultati empirijskog istraživanja – procjena čimbenika uspjeha u fazi integracije od strane ispitanika iz hotelskih poduzeća</w:t>
      </w:r>
    </w:p>
    <w:tbl>
      <w:tblPr>
        <w:tblStyle w:val="TableGrid"/>
        <w:tblW w:w="0" w:type="auto"/>
        <w:tblInd w:w="-572" w:type="dxa"/>
        <w:tblLook w:val="04A0" w:firstRow="1" w:lastRow="0" w:firstColumn="1" w:lastColumn="0" w:noHBand="0" w:noVBand="1"/>
      </w:tblPr>
      <w:tblGrid>
        <w:gridCol w:w="996"/>
        <w:gridCol w:w="2078"/>
        <w:gridCol w:w="1462"/>
        <w:gridCol w:w="747"/>
        <w:gridCol w:w="1011"/>
        <w:gridCol w:w="1370"/>
        <w:gridCol w:w="2258"/>
      </w:tblGrid>
      <w:tr w:rsidR="006571B5" w:rsidRPr="00A81B58" w14:paraId="678F2404" w14:textId="77777777" w:rsidTr="00A81B58">
        <w:trPr>
          <w:trHeight w:val="600"/>
        </w:trPr>
        <w:tc>
          <w:tcPr>
            <w:tcW w:w="996" w:type="dxa"/>
            <w:noWrap/>
            <w:vAlign w:val="center"/>
            <w:hideMark/>
          </w:tcPr>
          <w:p w14:paraId="7486EFC5" w14:textId="67810DFA" w:rsidR="006571B5" w:rsidRPr="00A81B58" w:rsidRDefault="006571B5" w:rsidP="00A81B58">
            <w:pPr>
              <w:jc w:val="center"/>
              <w:rPr>
                <w:rFonts w:ascii="Times New Roman" w:hAnsi="Times New Roman" w:cs="Times New Roman"/>
                <w:b/>
                <w:bCs/>
                <w:lang w:val="en-US"/>
              </w:rPr>
            </w:pPr>
            <w:r w:rsidRPr="00A81B58">
              <w:rPr>
                <w:rFonts w:ascii="Times New Roman" w:hAnsi="Times New Roman" w:cs="Times New Roman"/>
                <w:b/>
                <w:bCs/>
                <w:lang w:val="en-GB"/>
              </w:rPr>
              <w:t>R</w:t>
            </w:r>
            <w:r w:rsidR="002E5B41">
              <w:rPr>
                <w:rFonts w:ascii="Times New Roman" w:hAnsi="Times New Roman" w:cs="Times New Roman"/>
                <w:b/>
                <w:bCs/>
                <w:lang w:val="en-GB"/>
              </w:rPr>
              <w:t>ang</w:t>
            </w:r>
          </w:p>
        </w:tc>
        <w:tc>
          <w:tcPr>
            <w:tcW w:w="2077" w:type="dxa"/>
            <w:noWrap/>
            <w:vAlign w:val="center"/>
            <w:hideMark/>
          </w:tcPr>
          <w:p w14:paraId="77A94DC0" w14:textId="37358B36"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Č</w:t>
            </w:r>
            <w:r w:rsidR="002E5B41">
              <w:rPr>
                <w:rFonts w:ascii="Times New Roman" w:hAnsi="Times New Roman" w:cs="Times New Roman"/>
                <w:b/>
                <w:bCs/>
                <w:lang w:val="en-GB"/>
              </w:rPr>
              <w:t>imbenici</w:t>
            </w:r>
          </w:p>
        </w:tc>
        <w:tc>
          <w:tcPr>
            <w:tcW w:w="1463" w:type="dxa"/>
            <w:vAlign w:val="center"/>
            <w:hideMark/>
          </w:tcPr>
          <w:p w14:paraId="3518C240"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Aritmetička sredina</w:t>
            </w:r>
          </w:p>
        </w:tc>
        <w:tc>
          <w:tcPr>
            <w:tcW w:w="747" w:type="dxa"/>
            <w:noWrap/>
            <w:vAlign w:val="center"/>
            <w:hideMark/>
          </w:tcPr>
          <w:p w14:paraId="11E0E2B3"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Mod</w:t>
            </w:r>
          </w:p>
        </w:tc>
        <w:tc>
          <w:tcPr>
            <w:tcW w:w="1010" w:type="dxa"/>
            <w:noWrap/>
            <w:vAlign w:val="center"/>
            <w:hideMark/>
          </w:tcPr>
          <w:p w14:paraId="7B65B182"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Medijan</w:t>
            </w:r>
          </w:p>
        </w:tc>
        <w:tc>
          <w:tcPr>
            <w:tcW w:w="1370" w:type="dxa"/>
            <w:vAlign w:val="center"/>
            <w:hideMark/>
          </w:tcPr>
          <w:p w14:paraId="0757C92F" w14:textId="77777777"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Standardna devijacija</w:t>
            </w:r>
          </w:p>
        </w:tc>
        <w:tc>
          <w:tcPr>
            <w:tcW w:w="2259" w:type="dxa"/>
            <w:noWrap/>
            <w:vAlign w:val="center"/>
            <w:hideMark/>
          </w:tcPr>
          <w:p w14:paraId="4DCDB46A" w14:textId="266FC232" w:rsidR="006571B5" w:rsidRPr="00A81B58" w:rsidRDefault="006571B5" w:rsidP="00A81B58">
            <w:pPr>
              <w:jc w:val="center"/>
              <w:rPr>
                <w:rFonts w:ascii="Times New Roman" w:hAnsi="Times New Roman" w:cs="Times New Roman"/>
                <w:b/>
                <w:bCs/>
                <w:lang w:val="en-GB"/>
              </w:rPr>
            </w:pPr>
            <w:r w:rsidRPr="00A81B58">
              <w:rPr>
                <w:rFonts w:ascii="Times New Roman" w:hAnsi="Times New Roman" w:cs="Times New Roman"/>
                <w:b/>
                <w:bCs/>
                <w:lang w:val="en-GB"/>
              </w:rPr>
              <w:t>I</w:t>
            </w:r>
            <w:r w:rsidR="002E5B41">
              <w:rPr>
                <w:rFonts w:ascii="Times New Roman" w:hAnsi="Times New Roman" w:cs="Times New Roman"/>
                <w:b/>
                <w:bCs/>
                <w:lang w:val="en-GB"/>
              </w:rPr>
              <w:t>nterpretacija</w:t>
            </w:r>
          </w:p>
        </w:tc>
      </w:tr>
      <w:tr w:rsidR="006571B5" w:rsidRPr="00A81B58" w14:paraId="12DEB64E" w14:textId="77777777" w:rsidTr="00A81B58">
        <w:trPr>
          <w:trHeight w:val="2100"/>
        </w:trPr>
        <w:tc>
          <w:tcPr>
            <w:tcW w:w="996" w:type="dxa"/>
            <w:noWrap/>
            <w:vAlign w:val="center"/>
            <w:hideMark/>
          </w:tcPr>
          <w:p w14:paraId="7965A1A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1</w:t>
            </w:r>
          </w:p>
        </w:tc>
        <w:tc>
          <w:tcPr>
            <w:tcW w:w="2077" w:type="dxa"/>
            <w:vAlign w:val="center"/>
            <w:hideMark/>
          </w:tcPr>
          <w:p w14:paraId="4AF7EC65" w14:textId="29AEE260"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Uspostaviti odgovarajuće unutarnje mehanizme za prijenos kompetencija i sredstava između poslovnih jedinica</w:t>
            </w:r>
          </w:p>
        </w:tc>
        <w:tc>
          <w:tcPr>
            <w:tcW w:w="1463" w:type="dxa"/>
            <w:noWrap/>
            <w:vAlign w:val="center"/>
            <w:hideMark/>
          </w:tcPr>
          <w:p w14:paraId="2434BF6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4,833333333</w:t>
            </w:r>
          </w:p>
        </w:tc>
        <w:tc>
          <w:tcPr>
            <w:tcW w:w="747" w:type="dxa"/>
            <w:noWrap/>
            <w:vAlign w:val="center"/>
            <w:hideMark/>
          </w:tcPr>
          <w:p w14:paraId="16A07F2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263BE59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62E3E8E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0,552770798</w:t>
            </w:r>
          </w:p>
        </w:tc>
        <w:tc>
          <w:tcPr>
            <w:tcW w:w="2259" w:type="dxa"/>
            <w:vAlign w:val="center"/>
            <w:hideMark/>
          </w:tcPr>
          <w:p w14:paraId="5C6B13A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ispitanici ocjenjuju kao jedan od najvažnijih u fazi integracije. Vrlo visoka prosječna ocjena, uz mod i medijan na najvišoj razini, ukazuje na jasno prepoznatu potrebu za učinkovitom razmjenom znanja, resursa i kompetencija. Relativno niska standardna devijacija potvrđuje visok stupanj suglasnosti i stratešku važnost ovog čimbenika.</w:t>
            </w:r>
          </w:p>
        </w:tc>
      </w:tr>
      <w:tr w:rsidR="006571B5" w:rsidRPr="00A81B58" w14:paraId="528DBADC" w14:textId="77777777" w:rsidTr="00A81B58">
        <w:trPr>
          <w:trHeight w:val="2400"/>
        </w:trPr>
        <w:tc>
          <w:tcPr>
            <w:tcW w:w="996" w:type="dxa"/>
            <w:noWrap/>
            <w:vAlign w:val="center"/>
            <w:hideMark/>
          </w:tcPr>
          <w:p w14:paraId="05049BB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2</w:t>
            </w:r>
          </w:p>
        </w:tc>
        <w:tc>
          <w:tcPr>
            <w:tcW w:w="2077" w:type="dxa"/>
            <w:vAlign w:val="center"/>
            <w:hideMark/>
          </w:tcPr>
          <w:p w14:paraId="1CD76D7D"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Odlučan i pravedan odnos prema zaposlenicima koje je potrebno otpustiti</w:t>
            </w:r>
          </w:p>
        </w:tc>
        <w:tc>
          <w:tcPr>
            <w:tcW w:w="1463" w:type="dxa"/>
            <w:noWrap/>
            <w:vAlign w:val="center"/>
            <w:hideMark/>
          </w:tcPr>
          <w:p w14:paraId="0F90275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4,666666667</w:t>
            </w:r>
          </w:p>
        </w:tc>
        <w:tc>
          <w:tcPr>
            <w:tcW w:w="747" w:type="dxa"/>
            <w:noWrap/>
            <w:vAlign w:val="center"/>
            <w:hideMark/>
          </w:tcPr>
          <w:p w14:paraId="2842AAD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20A00F2F"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3773503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0,471404521</w:t>
            </w:r>
          </w:p>
        </w:tc>
        <w:tc>
          <w:tcPr>
            <w:tcW w:w="2259" w:type="dxa"/>
            <w:vAlign w:val="center"/>
            <w:hideMark/>
          </w:tcPr>
          <w:p w14:paraId="5DD86B00"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zauzima vrlo visoko mjesto u percepciji važnosti tijekom integracije. Visoka prosječna ocjena, uz maksimalne vrijednosti moda i medijana, upućuje na snažan konsenzus o potrebi pravednog i transparentnog postupanja prema zaposlenicima. Niska standardna devijacija dodatno potvrđuje homogenost stavova i osjetljivost menadžmenta na socijalne aspekte integracijskog procesa.</w:t>
            </w:r>
          </w:p>
        </w:tc>
      </w:tr>
      <w:tr w:rsidR="006571B5" w:rsidRPr="00A81B58" w14:paraId="3F8BB27A" w14:textId="77777777" w:rsidTr="00A81B58">
        <w:trPr>
          <w:trHeight w:val="2400"/>
        </w:trPr>
        <w:tc>
          <w:tcPr>
            <w:tcW w:w="996" w:type="dxa"/>
            <w:noWrap/>
            <w:vAlign w:val="center"/>
            <w:hideMark/>
          </w:tcPr>
          <w:p w14:paraId="22467E4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2</w:t>
            </w:r>
          </w:p>
        </w:tc>
        <w:tc>
          <w:tcPr>
            <w:tcW w:w="2077" w:type="dxa"/>
            <w:vAlign w:val="center"/>
            <w:hideMark/>
          </w:tcPr>
          <w:p w14:paraId="056793BC" w14:textId="352F554B"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Postavljanje nove upravljačke strukture u poduzeću meti</w:t>
            </w:r>
          </w:p>
        </w:tc>
        <w:tc>
          <w:tcPr>
            <w:tcW w:w="1463" w:type="dxa"/>
            <w:noWrap/>
            <w:vAlign w:val="center"/>
            <w:hideMark/>
          </w:tcPr>
          <w:p w14:paraId="719B454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4,666666667</w:t>
            </w:r>
          </w:p>
        </w:tc>
        <w:tc>
          <w:tcPr>
            <w:tcW w:w="747" w:type="dxa"/>
            <w:noWrap/>
            <w:vAlign w:val="center"/>
            <w:hideMark/>
          </w:tcPr>
          <w:p w14:paraId="6CBD6E30"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3A3906A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38C1C93B"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0,471404521</w:t>
            </w:r>
          </w:p>
        </w:tc>
        <w:tc>
          <w:tcPr>
            <w:tcW w:w="2259" w:type="dxa"/>
            <w:vAlign w:val="center"/>
            <w:hideMark/>
          </w:tcPr>
          <w:p w14:paraId="7D51A09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Postavljanje nove upravljačke strukture prepoznato je kao ključan čimbenik uspješne integracije. Visoka prosječna ocjena te maksimalne vrijednosti moda i medijana ukazuju na snažan konsenzus među ispitanicima. Niska standardna devijacija dodatno potvrđuje ujednačenost stavova i važnost jasne upravljačke hijerarhije u stabilizaciji poslovanja nakon preuzimanja.</w:t>
            </w:r>
          </w:p>
        </w:tc>
      </w:tr>
      <w:tr w:rsidR="006571B5" w:rsidRPr="00A81B58" w14:paraId="52ADBC62" w14:textId="77777777" w:rsidTr="00A81B58">
        <w:trPr>
          <w:trHeight w:val="2700"/>
        </w:trPr>
        <w:tc>
          <w:tcPr>
            <w:tcW w:w="996" w:type="dxa"/>
            <w:noWrap/>
            <w:vAlign w:val="center"/>
            <w:hideMark/>
          </w:tcPr>
          <w:p w14:paraId="6D4ACD81"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2</w:t>
            </w:r>
          </w:p>
        </w:tc>
        <w:tc>
          <w:tcPr>
            <w:tcW w:w="2077" w:type="dxa"/>
            <w:vAlign w:val="center"/>
            <w:hideMark/>
          </w:tcPr>
          <w:p w14:paraId="69BAD03C"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Identificiranje prilika za poboljšanje konkurentske pozicije novostvorenog zajedničkog poduzeća ili oba poduzeća koja su sudjelovala u procesu spajanja i preuzimanja, ali su ostala kao samostalne pravne osobe</w:t>
            </w:r>
          </w:p>
        </w:tc>
        <w:tc>
          <w:tcPr>
            <w:tcW w:w="1463" w:type="dxa"/>
            <w:noWrap/>
            <w:vAlign w:val="center"/>
            <w:hideMark/>
          </w:tcPr>
          <w:p w14:paraId="3ED3901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4,666666667</w:t>
            </w:r>
          </w:p>
        </w:tc>
        <w:tc>
          <w:tcPr>
            <w:tcW w:w="747" w:type="dxa"/>
            <w:noWrap/>
            <w:vAlign w:val="center"/>
            <w:hideMark/>
          </w:tcPr>
          <w:p w14:paraId="554BE40D"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5B789FD0"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3D97C74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0,623609564</w:t>
            </w:r>
          </w:p>
        </w:tc>
        <w:tc>
          <w:tcPr>
            <w:tcW w:w="2259" w:type="dxa"/>
            <w:vAlign w:val="center"/>
            <w:hideMark/>
          </w:tcPr>
          <w:p w14:paraId="02C4CB09"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en-GB"/>
              </w:rPr>
              <w:t xml:space="preserve">Ispitanici ovaj čimbenik percipiraju kao iznimno važan u postakvizicijskoj fazi. Visoka prosječna ocjena, uz dominantne maksimalne vrijednosti moda i medijana, ukazuje na snažnu orijentaciju menadžmenta prema stvaranju dodatne tržišne vrijednosti kroz integraciju. </w:t>
            </w:r>
            <w:r w:rsidRPr="00A81B58">
              <w:rPr>
                <w:rFonts w:ascii="Times New Roman" w:hAnsi="Times New Roman" w:cs="Times New Roman"/>
                <w:lang w:val="it-IT"/>
              </w:rPr>
              <w:t>Umjerena standardna devijacija sugerira da se, unatoč općoj suglasnosti, razlikuju procjene načina i intenziteta ostvarivanja konkurentskih prednosti.</w:t>
            </w:r>
          </w:p>
        </w:tc>
      </w:tr>
      <w:tr w:rsidR="006571B5" w:rsidRPr="00A81B58" w14:paraId="717FA4A0" w14:textId="77777777" w:rsidTr="00A81B58">
        <w:trPr>
          <w:trHeight w:val="2700"/>
        </w:trPr>
        <w:tc>
          <w:tcPr>
            <w:tcW w:w="996" w:type="dxa"/>
            <w:noWrap/>
            <w:vAlign w:val="center"/>
            <w:hideMark/>
          </w:tcPr>
          <w:p w14:paraId="6E20EA9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3</w:t>
            </w:r>
          </w:p>
        </w:tc>
        <w:tc>
          <w:tcPr>
            <w:tcW w:w="2077" w:type="dxa"/>
            <w:vAlign w:val="center"/>
            <w:hideMark/>
          </w:tcPr>
          <w:p w14:paraId="7FD3D441"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Detektiranje i zadržavanje ključnih zaposlenika i menadžera poduzeća mete ako poduzeća koja su sudjelovala u akvizicijskom procesu ostaju kao samostalne pravne osobe</w:t>
            </w:r>
          </w:p>
        </w:tc>
        <w:tc>
          <w:tcPr>
            <w:tcW w:w="1463" w:type="dxa"/>
            <w:noWrap/>
            <w:vAlign w:val="center"/>
            <w:hideMark/>
          </w:tcPr>
          <w:p w14:paraId="7C82AD2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4,416666667</w:t>
            </w:r>
          </w:p>
        </w:tc>
        <w:tc>
          <w:tcPr>
            <w:tcW w:w="747" w:type="dxa"/>
            <w:noWrap/>
            <w:vAlign w:val="center"/>
            <w:hideMark/>
          </w:tcPr>
          <w:p w14:paraId="3C38E45E"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6D9DBD17"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576C1E7B"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0,759202798</w:t>
            </w:r>
          </w:p>
        </w:tc>
        <w:tc>
          <w:tcPr>
            <w:tcW w:w="2259" w:type="dxa"/>
            <w:vAlign w:val="center"/>
            <w:hideMark/>
          </w:tcPr>
          <w:p w14:paraId="69DA29B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Ovaj čimbenik ispitanici ocjenjuju kao iznimno važan tijekom integracije, osobito u situacijama kada poduzeća ostaju samostalne pravne osobe. Visoka prosječna ocjena, uz mod i medijan na najvišoj razini, ukazuje na snažan konsenzus o važnosti očuvanja ključnog ljudskog kapitala. Standardna devijacija, iako umjerena, ne narušava opću suglasnost, već sugerira manje razlike u procjeni operativnih izazova zadržavanja zaposlenika.</w:t>
            </w:r>
          </w:p>
        </w:tc>
      </w:tr>
      <w:tr w:rsidR="006571B5" w:rsidRPr="00A81B58" w14:paraId="27AD1DB5" w14:textId="77777777" w:rsidTr="00F23509">
        <w:trPr>
          <w:trHeight w:val="2100"/>
        </w:trPr>
        <w:tc>
          <w:tcPr>
            <w:tcW w:w="996" w:type="dxa"/>
            <w:noWrap/>
            <w:vAlign w:val="center"/>
            <w:hideMark/>
          </w:tcPr>
          <w:p w14:paraId="48DB891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lastRenderedPageBreak/>
              <w:t>4</w:t>
            </w:r>
          </w:p>
        </w:tc>
        <w:tc>
          <w:tcPr>
            <w:tcW w:w="2077" w:type="dxa"/>
            <w:vAlign w:val="center"/>
            <w:hideMark/>
          </w:tcPr>
          <w:p w14:paraId="2926C751"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Osiguranje resursa potrebnih za integraciju nakon procesa akvizicije</w:t>
            </w:r>
          </w:p>
        </w:tc>
        <w:tc>
          <w:tcPr>
            <w:tcW w:w="1463" w:type="dxa"/>
            <w:noWrap/>
            <w:vAlign w:val="center"/>
            <w:hideMark/>
          </w:tcPr>
          <w:p w14:paraId="4FB93C5A"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4,333333333</w:t>
            </w:r>
          </w:p>
        </w:tc>
        <w:tc>
          <w:tcPr>
            <w:tcW w:w="747" w:type="dxa"/>
            <w:noWrap/>
            <w:vAlign w:val="center"/>
            <w:hideMark/>
          </w:tcPr>
          <w:p w14:paraId="104D1EF1"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4</w:t>
            </w:r>
          </w:p>
        </w:tc>
        <w:tc>
          <w:tcPr>
            <w:tcW w:w="1010" w:type="dxa"/>
            <w:noWrap/>
            <w:vAlign w:val="center"/>
            <w:hideMark/>
          </w:tcPr>
          <w:p w14:paraId="79A8B9A5"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4</w:t>
            </w:r>
          </w:p>
        </w:tc>
        <w:tc>
          <w:tcPr>
            <w:tcW w:w="1370" w:type="dxa"/>
            <w:noWrap/>
            <w:vAlign w:val="center"/>
            <w:hideMark/>
          </w:tcPr>
          <w:p w14:paraId="58E6F4B0"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0,623609564</w:t>
            </w:r>
          </w:p>
        </w:tc>
        <w:tc>
          <w:tcPr>
            <w:tcW w:w="2259" w:type="dxa"/>
            <w:vAlign w:val="center"/>
            <w:hideMark/>
          </w:tcPr>
          <w:p w14:paraId="2F45E69F" w14:textId="77777777" w:rsidR="006571B5" w:rsidRPr="00A81B58" w:rsidRDefault="006571B5" w:rsidP="00F23509">
            <w:pPr>
              <w:jc w:val="center"/>
              <w:rPr>
                <w:rFonts w:ascii="Times New Roman" w:hAnsi="Times New Roman" w:cs="Times New Roman"/>
                <w:lang w:val="it-IT"/>
              </w:rPr>
            </w:pPr>
            <w:r w:rsidRPr="00A81B58">
              <w:rPr>
                <w:rFonts w:ascii="Times New Roman" w:hAnsi="Times New Roman" w:cs="Times New Roman"/>
                <w:lang w:val="it-IT"/>
              </w:rPr>
              <w:t>Osiguravanje adekvatnih resursa percipira se kao vrlo važan preduvjet uspješne integracije. Prosječna ocjena te jednaki mod i medijan potvrđuju stabilan i ujednačen stav ispitanika. Relativno niska standardna devijacija upućuje na visok stupanj slaganja oko potrebe za financijskim, ljudskim i organizacijskim resursima u postakvizicijskoj fazi.</w:t>
            </w:r>
          </w:p>
        </w:tc>
      </w:tr>
      <w:tr w:rsidR="006571B5" w:rsidRPr="00A81B58" w14:paraId="78A7DE4F" w14:textId="77777777" w:rsidTr="00F23509">
        <w:trPr>
          <w:trHeight w:val="2700"/>
        </w:trPr>
        <w:tc>
          <w:tcPr>
            <w:tcW w:w="996" w:type="dxa"/>
            <w:noWrap/>
            <w:vAlign w:val="center"/>
            <w:hideMark/>
          </w:tcPr>
          <w:p w14:paraId="37596838"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2077" w:type="dxa"/>
            <w:noWrap/>
            <w:vAlign w:val="center"/>
            <w:hideMark/>
          </w:tcPr>
          <w:p w14:paraId="7C000069"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Definiranje nove strategije</w:t>
            </w:r>
          </w:p>
        </w:tc>
        <w:tc>
          <w:tcPr>
            <w:tcW w:w="1463" w:type="dxa"/>
            <w:noWrap/>
            <w:vAlign w:val="center"/>
            <w:hideMark/>
          </w:tcPr>
          <w:p w14:paraId="271CB4B5"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4,166666667</w:t>
            </w:r>
          </w:p>
        </w:tc>
        <w:tc>
          <w:tcPr>
            <w:tcW w:w="747" w:type="dxa"/>
            <w:noWrap/>
            <w:vAlign w:val="center"/>
            <w:hideMark/>
          </w:tcPr>
          <w:p w14:paraId="134D4146"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4</w:t>
            </w:r>
          </w:p>
        </w:tc>
        <w:tc>
          <w:tcPr>
            <w:tcW w:w="1010" w:type="dxa"/>
            <w:noWrap/>
            <w:vAlign w:val="center"/>
            <w:hideMark/>
          </w:tcPr>
          <w:p w14:paraId="15CDD2C7"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4</w:t>
            </w:r>
          </w:p>
        </w:tc>
        <w:tc>
          <w:tcPr>
            <w:tcW w:w="1370" w:type="dxa"/>
            <w:noWrap/>
            <w:vAlign w:val="center"/>
            <w:hideMark/>
          </w:tcPr>
          <w:p w14:paraId="141BE68D"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0,687184271</w:t>
            </w:r>
          </w:p>
        </w:tc>
        <w:tc>
          <w:tcPr>
            <w:tcW w:w="2259" w:type="dxa"/>
            <w:vAlign w:val="center"/>
            <w:hideMark/>
          </w:tcPr>
          <w:p w14:paraId="0D6862ED"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Definiranje nove strategije prepoznato je kao važan čimbenik u fazi integracije nakon spajanja i preuzimanja. Prosječna ocjena ukazuje na visok stupanj važnosti, dok podudaranje moda i medijana sugerira postojanje jasnog dominantnog stava među ispitanicima. Umjerena standardna devijacija upućuje na određene razlike u percepciji, što može odražavati različite poglede na tempo i opseg strateških promjena u postakvizicijskoj fazi.</w:t>
            </w:r>
          </w:p>
        </w:tc>
      </w:tr>
      <w:tr w:rsidR="006571B5" w:rsidRPr="00A81B58" w14:paraId="4C76E23E" w14:textId="77777777" w:rsidTr="00F23509">
        <w:trPr>
          <w:trHeight w:val="2400"/>
        </w:trPr>
        <w:tc>
          <w:tcPr>
            <w:tcW w:w="996" w:type="dxa"/>
            <w:noWrap/>
            <w:vAlign w:val="center"/>
            <w:hideMark/>
          </w:tcPr>
          <w:p w14:paraId="5B087016"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5</w:t>
            </w:r>
          </w:p>
        </w:tc>
        <w:tc>
          <w:tcPr>
            <w:tcW w:w="2077" w:type="dxa"/>
            <w:vAlign w:val="center"/>
            <w:hideMark/>
          </w:tcPr>
          <w:p w14:paraId="6DC0F1B4" w14:textId="77777777" w:rsidR="006571B5" w:rsidRPr="00A81B58" w:rsidRDefault="006571B5" w:rsidP="00A81B58">
            <w:pPr>
              <w:jc w:val="center"/>
              <w:rPr>
                <w:rFonts w:ascii="Times New Roman" w:hAnsi="Times New Roman" w:cs="Times New Roman"/>
                <w:lang w:val="it-IT"/>
              </w:rPr>
            </w:pPr>
            <w:r w:rsidRPr="00A81B58">
              <w:rPr>
                <w:rFonts w:ascii="Times New Roman" w:hAnsi="Times New Roman" w:cs="Times New Roman"/>
                <w:lang w:val="it-IT"/>
              </w:rPr>
              <w:t>Brza integracija radi ostvarivanja zacrtanog plana</w:t>
            </w:r>
          </w:p>
        </w:tc>
        <w:tc>
          <w:tcPr>
            <w:tcW w:w="1463" w:type="dxa"/>
            <w:noWrap/>
            <w:vAlign w:val="center"/>
            <w:hideMark/>
          </w:tcPr>
          <w:p w14:paraId="1E056DF2" w14:textId="77777777" w:rsidR="006571B5" w:rsidRPr="00A81B58" w:rsidRDefault="006571B5" w:rsidP="00A81B58">
            <w:pPr>
              <w:jc w:val="center"/>
              <w:rPr>
                <w:rFonts w:ascii="Times New Roman" w:hAnsi="Times New Roman" w:cs="Times New Roman"/>
                <w:lang w:val="en-GB"/>
              </w:rPr>
            </w:pPr>
            <w:r w:rsidRPr="00A81B58">
              <w:rPr>
                <w:rFonts w:ascii="Times New Roman" w:hAnsi="Times New Roman" w:cs="Times New Roman"/>
                <w:lang w:val="en-GB"/>
              </w:rPr>
              <w:t>4,166666667</w:t>
            </w:r>
          </w:p>
        </w:tc>
        <w:tc>
          <w:tcPr>
            <w:tcW w:w="747" w:type="dxa"/>
            <w:noWrap/>
            <w:vAlign w:val="center"/>
            <w:hideMark/>
          </w:tcPr>
          <w:p w14:paraId="51579197"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5</w:t>
            </w:r>
          </w:p>
        </w:tc>
        <w:tc>
          <w:tcPr>
            <w:tcW w:w="1010" w:type="dxa"/>
            <w:noWrap/>
            <w:vAlign w:val="center"/>
            <w:hideMark/>
          </w:tcPr>
          <w:p w14:paraId="27791BEF"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5</w:t>
            </w:r>
          </w:p>
        </w:tc>
        <w:tc>
          <w:tcPr>
            <w:tcW w:w="1370" w:type="dxa"/>
            <w:noWrap/>
            <w:vAlign w:val="center"/>
            <w:hideMark/>
          </w:tcPr>
          <w:p w14:paraId="6C315DA3" w14:textId="77777777" w:rsidR="006571B5" w:rsidRPr="00A81B58" w:rsidRDefault="006571B5" w:rsidP="00F23509">
            <w:pPr>
              <w:jc w:val="center"/>
              <w:rPr>
                <w:rFonts w:ascii="Times New Roman" w:hAnsi="Times New Roman" w:cs="Times New Roman"/>
                <w:lang w:val="en-GB"/>
              </w:rPr>
            </w:pPr>
            <w:r w:rsidRPr="00A81B58">
              <w:rPr>
                <w:rFonts w:ascii="Times New Roman" w:hAnsi="Times New Roman" w:cs="Times New Roman"/>
                <w:lang w:val="en-GB"/>
              </w:rPr>
              <w:t>0,986013297</w:t>
            </w:r>
          </w:p>
        </w:tc>
        <w:tc>
          <w:tcPr>
            <w:tcW w:w="2259" w:type="dxa"/>
            <w:vAlign w:val="center"/>
            <w:hideMark/>
          </w:tcPr>
          <w:p w14:paraId="3CE230CC" w14:textId="77777777" w:rsidR="006571B5" w:rsidRPr="00A81B58" w:rsidRDefault="006571B5" w:rsidP="00F23509">
            <w:pPr>
              <w:jc w:val="center"/>
              <w:rPr>
                <w:rFonts w:ascii="Times New Roman" w:hAnsi="Times New Roman" w:cs="Times New Roman"/>
                <w:lang w:val="it-IT"/>
              </w:rPr>
            </w:pPr>
            <w:r w:rsidRPr="00A81B58">
              <w:rPr>
                <w:rFonts w:ascii="Times New Roman" w:hAnsi="Times New Roman" w:cs="Times New Roman"/>
                <w:lang w:val="en-GB"/>
              </w:rPr>
              <w:t xml:space="preserve">Brzina integracije ocijenjena je kao važan čimbenik, no uz nešto izraženije razlike u stavovima ispitanika. Visoka prosječna ocjena te mod i medijan na najvišoj razini ukazuju na to da većina ispitanika </w:t>
            </w:r>
            <w:r w:rsidRPr="00A81B58">
              <w:rPr>
                <w:rFonts w:ascii="Times New Roman" w:hAnsi="Times New Roman" w:cs="Times New Roman"/>
                <w:lang w:val="en-GB"/>
              </w:rPr>
              <w:lastRenderedPageBreak/>
              <w:t xml:space="preserve">zagovara brzu provedbu integracijskih aktivnosti. </w:t>
            </w:r>
            <w:r w:rsidRPr="00A81B58">
              <w:rPr>
                <w:rFonts w:ascii="Times New Roman" w:hAnsi="Times New Roman" w:cs="Times New Roman"/>
                <w:lang w:val="it-IT"/>
              </w:rPr>
              <w:t>Povišena standardna devijacija sugerira da dio ispitanika istovremeno prepoznaje potencijalne rizike prebrze integracije.</w:t>
            </w:r>
          </w:p>
        </w:tc>
      </w:tr>
      <w:tr w:rsidR="006571B5" w:rsidRPr="00E2667C" w14:paraId="6026F2D8" w14:textId="77777777" w:rsidTr="00F23509">
        <w:trPr>
          <w:trHeight w:val="2400"/>
        </w:trPr>
        <w:tc>
          <w:tcPr>
            <w:tcW w:w="996" w:type="dxa"/>
            <w:noWrap/>
            <w:vAlign w:val="center"/>
          </w:tcPr>
          <w:p w14:paraId="07D24017" w14:textId="77777777" w:rsidR="006571B5" w:rsidRPr="00A81B58" w:rsidRDefault="006571B5" w:rsidP="00A81B58">
            <w:pPr>
              <w:jc w:val="center"/>
              <w:rPr>
                <w:rFonts w:ascii="Times New Roman" w:hAnsi="Times New Roman" w:cs="Times New Roman"/>
                <w:lang w:val="it-IT"/>
              </w:rPr>
            </w:pPr>
          </w:p>
        </w:tc>
        <w:tc>
          <w:tcPr>
            <w:tcW w:w="2077" w:type="dxa"/>
            <w:vAlign w:val="center"/>
          </w:tcPr>
          <w:p w14:paraId="27F1647C" w14:textId="77777777" w:rsidR="006571B5" w:rsidRPr="00A81B58" w:rsidRDefault="006571B5" w:rsidP="00F23509">
            <w:pPr>
              <w:jc w:val="center"/>
              <w:rPr>
                <w:rFonts w:ascii="Times New Roman" w:hAnsi="Times New Roman" w:cs="Times New Roman"/>
                <w:b/>
                <w:lang w:val="en-US"/>
              </w:rPr>
            </w:pPr>
            <w:r w:rsidRPr="00A81B58">
              <w:rPr>
                <w:rFonts w:ascii="Times New Roman" w:hAnsi="Times New Roman" w:cs="Times New Roman"/>
                <w:b/>
                <w:lang w:val="en-US"/>
              </w:rPr>
              <w:t>Ostali čimbenici:</w:t>
            </w:r>
          </w:p>
          <w:p w14:paraId="72A8B060" w14:textId="77777777" w:rsidR="006571B5" w:rsidRPr="00A81B58" w:rsidRDefault="006571B5" w:rsidP="00F23509">
            <w:pPr>
              <w:numPr>
                <w:ilvl w:val="0"/>
                <w:numId w:val="108"/>
              </w:numPr>
              <w:spacing w:after="160" w:line="259" w:lineRule="auto"/>
              <w:jc w:val="center"/>
              <w:rPr>
                <w:rFonts w:ascii="Times New Roman" w:hAnsi="Times New Roman" w:cs="Times New Roman"/>
                <w:lang w:val="en-US"/>
              </w:rPr>
            </w:pPr>
            <w:r w:rsidRPr="00A81B58">
              <w:rPr>
                <w:rFonts w:ascii="Times New Roman" w:hAnsi="Times New Roman" w:cs="Times New Roman"/>
                <w:lang w:val="en-US"/>
              </w:rPr>
              <w:t>Fokus najviše menadžmenta preuzimatelja na targetu</w:t>
            </w:r>
          </w:p>
          <w:p w14:paraId="4C835014" w14:textId="73E7DE9B" w:rsidR="006571B5" w:rsidRPr="00A81B58" w:rsidRDefault="006571B5" w:rsidP="00F23509">
            <w:pPr>
              <w:numPr>
                <w:ilvl w:val="0"/>
                <w:numId w:val="108"/>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Uspostava najbolje prakse</w:t>
            </w:r>
          </w:p>
          <w:p w14:paraId="64A3FD2F" w14:textId="2153E1A3" w:rsidR="006571B5" w:rsidRPr="00A81B58" w:rsidRDefault="006571B5" w:rsidP="00F23509">
            <w:pPr>
              <w:numPr>
                <w:ilvl w:val="0"/>
                <w:numId w:val="108"/>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Iako poduzeće meta ostane zaseban pravni segment, pdouzeće preuzimatelj može kroz ugovor o upravljanju koristiti managerske sinergije društva preuzimatelja.</w:t>
            </w:r>
          </w:p>
          <w:p w14:paraId="0234DFD3" w14:textId="77777777" w:rsidR="006571B5" w:rsidRPr="00A81B58" w:rsidRDefault="006571B5" w:rsidP="00F23509">
            <w:pPr>
              <w:numPr>
                <w:ilvl w:val="0"/>
                <w:numId w:val="108"/>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Izvrsne zaposlenike svakako detektirati i zadržati. Posebnu pozornost obratiti na korporativnu kulturu kako bi se (ukoliko je postojeća zadovoljavajuća) zadržala.</w:t>
            </w:r>
          </w:p>
          <w:p w14:paraId="417B5CC5" w14:textId="77777777" w:rsidR="006571B5" w:rsidRPr="00A81B58" w:rsidRDefault="006571B5" w:rsidP="00F23509">
            <w:pPr>
              <w:numPr>
                <w:ilvl w:val="0"/>
                <w:numId w:val="108"/>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lastRenderedPageBreak/>
              <w:t>jasna komunikacija prema zaposlenima poduzeća mete</w:t>
            </w:r>
          </w:p>
          <w:p w14:paraId="34A2D779" w14:textId="77777777" w:rsidR="006571B5" w:rsidRPr="00A81B58" w:rsidRDefault="006571B5" w:rsidP="00F23509">
            <w:pPr>
              <w:numPr>
                <w:ilvl w:val="0"/>
                <w:numId w:val="108"/>
              </w:numPr>
              <w:spacing w:after="160" w:line="259" w:lineRule="auto"/>
              <w:jc w:val="center"/>
              <w:rPr>
                <w:rFonts w:ascii="Times New Roman" w:hAnsi="Times New Roman" w:cs="Times New Roman"/>
                <w:lang w:val="it-IT"/>
              </w:rPr>
            </w:pPr>
            <w:r w:rsidRPr="00A81B58">
              <w:rPr>
                <w:rFonts w:ascii="Times New Roman" w:hAnsi="Times New Roman" w:cs="Times New Roman"/>
                <w:lang w:val="it-IT"/>
              </w:rPr>
              <w:t>Ujednačavanje radnih i materijalnih uvjeta/prava sa matičnim društvom (primanja, programi nagrađivanja, ostali benefiti za djelatnike).</w:t>
            </w:r>
          </w:p>
        </w:tc>
        <w:tc>
          <w:tcPr>
            <w:tcW w:w="1463" w:type="dxa"/>
            <w:noWrap/>
            <w:vAlign w:val="center"/>
          </w:tcPr>
          <w:p w14:paraId="663108A2" w14:textId="77777777" w:rsidR="006571B5" w:rsidRPr="00A81B58" w:rsidRDefault="006571B5" w:rsidP="00F23509">
            <w:pPr>
              <w:jc w:val="center"/>
              <w:rPr>
                <w:rFonts w:ascii="Times New Roman" w:hAnsi="Times New Roman" w:cs="Times New Roman"/>
                <w:lang w:val="it-IT"/>
              </w:rPr>
            </w:pPr>
          </w:p>
        </w:tc>
        <w:tc>
          <w:tcPr>
            <w:tcW w:w="747" w:type="dxa"/>
            <w:noWrap/>
            <w:vAlign w:val="center"/>
          </w:tcPr>
          <w:p w14:paraId="02251A3A" w14:textId="77777777" w:rsidR="006571B5" w:rsidRPr="00A81B58" w:rsidRDefault="006571B5" w:rsidP="00F23509">
            <w:pPr>
              <w:jc w:val="center"/>
              <w:rPr>
                <w:rFonts w:ascii="Times New Roman" w:hAnsi="Times New Roman" w:cs="Times New Roman"/>
                <w:lang w:val="it-IT"/>
              </w:rPr>
            </w:pPr>
          </w:p>
        </w:tc>
        <w:tc>
          <w:tcPr>
            <w:tcW w:w="1010" w:type="dxa"/>
            <w:noWrap/>
            <w:vAlign w:val="center"/>
          </w:tcPr>
          <w:p w14:paraId="646BE1B5" w14:textId="77777777" w:rsidR="006571B5" w:rsidRPr="00A81B58" w:rsidRDefault="006571B5" w:rsidP="00F23509">
            <w:pPr>
              <w:jc w:val="center"/>
              <w:rPr>
                <w:rFonts w:ascii="Times New Roman" w:hAnsi="Times New Roman" w:cs="Times New Roman"/>
                <w:lang w:val="it-IT"/>
              </w:rPr>
            </w:pPr>
          </w:p>
        </w:tc>
        <w:tc>
          <w:tcPr>
            <w:tcW w:w="1370" w:type="dxa"/>
            <w:noWrap/>
            <w:vAlign w:val="center"/>
          </w:tcPr>
          <w:p w14:paraId="19BED744" w14:textId="77777777" w:rsidR="006571B5" w:rsidRPr="00A81B58" w:rsidRDefault="006571B5" w:rsidP="00F23509">
            <w:pPr>
              <w:jc w:val="center"/>
              <w:rPr>
                <w:rFonts w:ascii="Times New Roman" w:hAnsi="Times New Roman" w:cs="Times New Roman"/>
                <w:lang w:val="it-IT"/>
              </w:rPr>
            </w:pPr>
          </w:p>
        </w:tc>
        <w:tc>
          <w:tcPr>
            <w:tcW w:w="2259" w:type="dxa"/>
            <w:vAlign w:val="center"/>
          </w:tcPr>
          <w:p w14:paraId="49551582" w14:textId="77777777" w:rsidR="006571B5" w:rsidRPr="00A81B58" w:rsidRDefault="006571B5" w:rsidP="00F23509">
            <w:pPr>
              <w:jc w:val="center"/>
              <w:rPr>
                <w:rFonts w:ascii="Times New Roman" w:hAnsi="Times New Roman" w:cs="Times New Roman"/>
                <w:lang w:val="it-IT"/>
              </w:rPr>
            </w:pPr>
          </w:p>
        </w:tc>
      </w:tr>
    </w:tbl>
    <w:p w14:paraId="513F2168" w14:textId="77777777" w:rsidR="006571B5" w:rsidRPr="00E2667C" w:rsidRDefault="006571B5" w:rsidP="006571B5">
      <w:pPr>
        <w:rPr>
          <w:rFonts w:ascii="Times New Roman" w:hAnsi="Times New Roman" w:cs="Times New Roman"/>
          <w:highlight w:val="yellow"/>
        </w:rPr>
      </w:pPr>
    </w:p>
    <w:p w14:paraId="7DF183EB" w14:textId="77777777" w:rsidR="006571B5" w:rsidRPr="00E2667C" w:rsidRDefault="006571B5" w:rsidP="006571B5">
      <w:pPr>
        <w:rPr>
          <w:rFonts w:ascii="Times New Roman" w:hAnsi="Times New Roman" w:cs="Times New Roman"/>
          <w:highlight w:val="yellow"/>
        </w:rPr>
      </w:pPr>
    </w:p>
    <w:p w14:paraId="246E09EB" w14:textId="5A7BD607" w:rsidR="006463E5" w:rsidRPr="00E2667C" w:rsidRDefault="006463E5" w:rsidP="006463E5">
      <w:pPr>
        <w:rPr>
          <w:rFonts w:ascii="Times New Roman" w:hAnsi="Times New Roman" w:cs="Times New Roman"/>
        </w:rPr>
      </w:pPr>
    </w:p>
    <w:sectPr w:rsidR="006463E5" w:rsidRPr="00E2667C" w:rsidSect="00D63A8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10FA3" w14:textId="77777777" w:rsidR="006473D5" w:rsidRDefault="006473D5" w:rsidP="006E052A">
      <w:pPr>
        <w:spacing w:after="0" w:line="240" w:lineRule="auto"/>
      </w:pPr>
      <w:r>
        <w:separator/>
      </w:r>
    </w:p>
  </w:endnote>
  <w:endnote w:type="continuationSeparator" w:id="0">
    <w:p w14:paraId="79DF65F0" w14:textId="77777777" w:rsidR="006473D5" w:rsidRDefault="006473D5" w:rsidP="006E0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CCA4" w14:textId="77777777" w:rsidR="00A97076" w:rsidRDefault="00A97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FB545" w14:textId="77777777" w:rsidR="00A97076" w:rsidRDefault="00A97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BDC4A" w14:textId="3DFDD45B" w:rsidR="005319AE" w:rsidRDefault="005319AE" w:rsidP="00E73B69">
    <w:pPr>
      <w:pStyle w:val="Footer"/>
    </w:pPr>
  </w:p>
  <w:p w14:paraId="661374FC" w14:textId="77777777" w:rsidR="005319AE" w:rsidRDefault="005319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FBAB8" w14:textId="77777777" w:rsidR="005319AE" w:rsidRDefault="005319AE" w:rsidP="00E73B69">
    <w:pPr>
      <w:pStyle w:val="Footer"/>
    </w:pPr>
  </w:p>
  <w:p w14:paraId="66CAC968" w14:textId="77777777" w:rsidR="005319AE" w:rsidRDefault="005319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975337"/>
      <w:docPartObj>
        <w:docPartGallery w:val="Page Numbers (Bottom of Page)"/>
        <w:docPartUnique/>
      </w:docPartObj>
    </w:sdtPr>
    <w:sdtEndPr>
      <w:rPr>
        <w:noProof/>
      </w:rPr>
    </w:sdtEndPr>
    <w:sdtContent>
      <w:p w14:paraId="4F4AC2C1" w14:textId="1459E27C" w:rsidR="005319AE" w:rsidRDefault="005319AE">
        <w:pPr>
          <w:pStyle w:val="Footer"/>
          <w:jc w:val="center"/>
        </w:pPr>
        <w:r>
          <w:fldChar w:fldCharType="begin"/>
        </w:r>
        <w:r>
          <w:instrText xml:space="preserve"> PAGE   \* MERGEFORMAT </w:instrText>
        </w:r>
        <w:r>
          <w:fldChar w:fldCharType="separate"/>
        </w:r>
        <w:r>
          <w:rPr>
            <w:noProof/>
          </w:rPr>
          <w:t>IX</w:t>
        </w:r>
        <w:r>
          <w:rPr>
            <w:noProof/>
          </w:rPr>
          <w:fldChar w:fldCharType="end"/>
        </w:r>
      </w:p>
    </w:sdtContent>
  </w:sdt>
  <w:p w14:paraId="19C31FE1" w14:textId="77777777" w:rsidR="005319AE" w:rsidRPr="00E94C2A" w:rsidRDefault="005319AE" w:rsidP="00E94C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1254A" w14:textId="77777777" w:rsidR="005319AE" w:rsidRDefault="005319AE" w:rsidP="00E73B69">
    <w:pPr>
      <w:pStyle w:val="Footer"/>
    </w:pPr>
  </w:p>
  <w:p w14:paraId="15104208" w14:textId="77777777" w:rsidR="005319AE" w:rsidRDefault="005319A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607526"/>
      <w:docPartObj>
        <w:docPartGallery w:val="Page Numbers (Bottom of Page)"/>
        <w:docPartUnique/>
      </w:docPartObj>
    </w:sdtPr>
    <w:sdtEndPr>
      <w:rPr>
        <w:noProof/>
      </w:rPr>
    </w:sdtEndPr>
    <w:sdtContent>
      <w:p w14:paraId="6704839A" w14:textId="6327DD71" w:rsidR="005319AE" w:rsidRDefault="005319AE">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5D84CEBB" w14:textId="77777777" w:rsidR="005319AE" w:rsidRDefault="005319A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5426328"/>
      <w:docPartObj>
        <w:docPartGallery w:val="Page Numbers (Bottom of Page)"/>
        <w:docPartUnique/>
      </w:docPartObj>
    </w:sdtPr>
    <w:sdtEndPr>
      <w:rPr>
        <w:noProof/>
      </w:rPr>
    </w:sdtEndPr>
    <w:sdtContent>
      <w:p w14:paraId="224702FF" w14:textId="0EC8980A" w:rsidR="005319AE" w:rsidRDefault="005319AE" w:rsidP="008274F8">
        <w:pPr>
          <w:pStyle w:val="Footer"/>
          <w:jc w:val="center"/>
        </w:pPr>
        <w:r>
          <w:fldChar w:fldCharType="begin"/>
        </w:r>
        <w:r>
          <w:instrText xml:space="preserve"> PAGE   \* MERGEFORMAT </w:instrText>
        </w:r>
        <w:r>
          <w:fldChar w:fldCharType="separate"/>
        </w:r>
        <w:r>
          <w:rPr>
            <w:noProof/>
          </w:rPr>
          <w:t>39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CAA14" w14:textId="77777777" w:rsidR="006473D5" w:rsidRDefault="006473D5" w:rsidP="006E052A">
      <w:pPr>
        <w:spacing w:after="0" w:line="240" w:lineRule="auto"/>
      </w:pPr>
      <w:r>
        <w:separator/>
      </w:r>
    </w:p>
  </w:footnote>
  <w:footnote w:type="continuationSeparator" w:id="0">
    <w:p w14:paraId="13ADFCF7" w14:textId="77777777" w:rsidR="006473D5" w:rsidRDefault="006473D5" w:rsidP="006E052A">
      <w:pPr>
        <w:spacing w:after="0" w:line="240" w:lineRule="auto"/>
      </w:pPr>
      <w:r>
        <w:continuationSeparator/>
      </w:r>
    </w:p>
  </w:footnote>
  <w:footnote w:id="1">
    <w:p w14:paraId="46A7339A" w14:textId="77777777" w:rsidR="005319AE" w:rsidRPr="002C314D" w:rsidRDefault="005319AE" w:rsidP="006E052A">
      <w:pPr>
        <w:pStyle w:val="FootnoteText"/>
        <w:rPr>
          <w:rFonts w:ascii="Times New Roman" w:hAnsi="Times New Roman" w:cs="Times New Roman"/>
        </w:rPr>
      </w:pPr>
      <w:r w:rsidRPr="002C314D">
        <w:rPr>
          <w:rStyle w:val="FootnoteReference"/>
          <w:rFonts w:ascii="Times New Roman" w:hAnsi="Times New Roman" w:cs="Times New Roman"/>
        </w:rPr>
        <w:footnoteRef/>
      </w:r>
      <w:r w:rsidRPr="002C314D">
        <w:rPr>
          <w:rFonts w:ascii="Times New Roman" w:hAnsi="Times New Roman" w:cs="Times New Roman"/>
        </w:rPr>
        <w:t xml:space="preserve"> Svakoj marki dodijeljen je Indeks snage marke (BSI) od 100 bodova, koji se utvrđuje na temelju ukupne izvedbe/rezultata na širokom rasponu ulaznih i izlaznih metrika. Izračun obavlja poduzeće </w:t>
      </w:r>
      <w:r w:rsidRPr="00852F1F">
        <w:rPr>
          <w:rFonts w:ascii="Times New Roman" w:hAnsi="Times New Roman" w:cs="Times New Roman"/>
          <w:i/>
          <w:iCs/>
        </w:rPr>
        <w:t>Brand Finance</w:t>
      </w:r>
      <w:r w:rsidRPr="002C314D">
        <w:rPr>
          <w:rFonts w:ascii="Times New Roman" w:hAnsi="Times New Roman" w:cs="Times New Roman"/>
        </w:rPr>
        <w:t xml:space="preserve">. Više na: </w:t>
      </w:r>
      <w:hyperlink r:id="rId1" w:history="1">
        <w:r w:rsidRPr="002C314D">
          <w:rPr>
            <w:rStyle w:val="Hyperlink"/>
            <w:rFonts w:ascii="Times New Roman" w:hAnsi="Times New Roman" w:cs="Times New Roman"/>
          </w:rPr>
          <w:t>https://brandfinance.com/insights/brand-evaluation-brand-strength-index</w:t>
        </w:r>
      </w:hyperlink>
      <w:r w:rsidRPr="002C314D">
        <w:rPr>
          <w:rFonts w:ascii="Times New Roman" w:hAnsi="Times New Roman" w:cs="Times New Roman"/>
        </w:rPr>
        <w:t xml:space="preserve"> </w:t>
      </w:r>
    </w:p>
  </w:footnote>
  <w:footnote w:id="2">
    <w:p w14:paraId="17738160" w14:textId="3B41E1D4" w:rsidR="005319AE" w:rsidRPr="00F32EDA" w:rsidRDefault="005319AE" w:rsidP="006E052A">
      <w:pPr>
        <w:pStyle w:val="FootnoteText"/>
        <w:rPr>
          <w:rFonts w:ascii="Times New Roman" w:hAnsi="Times New Roman" w:cs="Times New Roman"/>
        </w:rPr>
      </w:pPr>
      <w:r w:rsidRPr="00F32EDA">
        <w:rPr>
          <w:rStyle w:val="FootnoteReference"/>
          <w:rFonts w:ascii="Times New Roman" w:hAnsi="Times New Roman" w:cs="Times New Roman"/>
        </w:rPr>
        <w:footnoteRef/>
      </w:r>
      <w:r w:rsidRPr="00F32EDA">
        <w:rPr>
          <w:rFonts w:ascii="Times New Roman" w:hAnsi="Times New Roman" w:cs="Times New Roman"/>
        </w:rPr>
        <w:t xml:space="preserve"> </w:t>
      </w:r>
      <w:r>
        <w:rPr>
          <w:rFonts w:ascii="Times New Roman" w:hAnsi="Times New Roman" w:cs="Times New Roman"/>
        </w:rPr>
        <w:t xml:space="preserve">Izračun tržišne kapitalizacije = </w:t>
      </w:r>
      <w:r w:rsidRPr="00F32EDA">
        <w:rPr>
          <w:rFonts w:ascii="Times New Roman" w:hAnsi="Times New Roman" w:cs="Times New Roman"/>
        </w:rPr>
        <w:t>broj izdanih dionica pomnožen trenut</w:t>
      </w:r>
      <w:r>
        <w:rPr>
          <w:rFonts w:ascii="Times New Roman" w:hAnsi="Times New Roman" w:cs="Times New Roman"/>
        </w:rPr>
        <w:t>ač</w:t>
      </w:r>
      <w:r w:rsidRPr="00F32EDA">
        <w:rPr>
          <w:rFonts w:ascii="Times New Roman" w:hAnsi="Times New Roman" w:cs="Times New Roman"/>
        </w:rPr>
        <w:t>nom tržišnom vrijednošću jedne dionice</w:t>
      </w:r>
    </w:p>
  </w:footnote>
  <w:footnote w:id="3">
    <w:p w14:paraId="4536FEF7" w14:textId="77777777" w:rsidR="005319AE" w:rsidRDefault="005319AE" w:rsidP="006E052A">
      <w:pPr>
        <w:pStyle w:val="FootnoteText"/>
      </w:pPr>
      <w:r>
        <w:rPr>
          <w:rStyle w:val="FootnoteReference"/>
        </w:rPr>
        <w:footnoteRef/>
      </w:r>
      <w:r>
        <w:t xml:space="preserve"> Europa, Bliski Istok, Euroazija i Afrika </w:t>
      </w:r>
    </w:p>
  </w:footnote>
  <w:footnote w:id="4">
    <w:p w14:paraId="69E02152" w14:textId="77777777" w:rsidR="005319AE" w:rsidRDefault="005319AE" w:rsidP="006E052A">
      <w:pPr>
        <w:pStyle w:val="FootnoteText"/>
      </w:pPr>
      <w:r>
        <w:rPr>
          <w:rStyle w:val="FootnoteReference"/>
        </w:rPr>
        <w:footnoteRef/>
      </w:r>
      <w:r>
        <w:t xml:space="preserve"> Isključujući Sjevernu Ameriku, Aziju i Pacifik </w:t>
      </w:r>
    </w:p>
  </w:footnote>
  <w:footnote w:id="5">
    <w:p w14:paraId="566B2D97" w14:textId="77777777" w:rsidR="005319AE" w:rsidRDefault="005319AE" w:rsidP="006E052A">
      <w:pPr>
        <w:pStyle w:val="FootnoteText"/>
      </w:pPr>
      <w:r>
        <w:rPr>
          <w:rStyle w:val="FootnoteReference"/>
        </w:rPr>
        <w:footnoteRef/>
      </w:r>
      <w:r>
        <w:t xml:space="preserve"> Europa, Afrika, Bliski Istok</w:t>
      </w:r>
    </w:p>
  </w:footnote>
  <w:footnote w:id="6">
    <w:p w14:paraId="68C0DBC9" w14:textId="77777777" w:rsidR="005319AE" w:rsidRDefault="005319AE" w:rsidP="006E052A">
      <w:pPr>
        <w:pStyle w:val="FootnoteText"/>
      </w:pPr>
      <w:r>
        <w:rPr>
          <w:rStyle w:val="FootnoteReference"/>
        </w:rPr>
        <w:footnoteRef/>
      </w:r>
      <w:r>
        <w:t xml:space="preserve"> Jugozapadna Azija</w:t>
      </w:r>
    </w:p>
  </w:footnote>
  <w:footnote w:id="7">
    <w:p w14:paraId="49BC975E" w14:textId="77777777" w:rsidR="005319AE" w:rsidRDefault="005319AE" w:rsidP="006E052A">
      <w:pPr>
        <w:pStyle w:val="FootnoteText"/>
      </w:pPr>
      <w:r>
        <w:rPr>
          <w:rStyle w:val="FootnoteReference"/>
        </w:rPr>
        <w:footnoteRef/>
      </w:r>
      <w:r>
        <w:t xml:space="preserve"> odnos cijene i zarade </w:t>
      </w:r>
    </w:p>
  </w:footnote>
  <w:footnote w:id="8">
    <w:p w14:paraId="6307D9D2" w14:textId="53924F33" w:rsidR="005319AE" w:rsidRPr="003212A1" w:rsidRDefault="005319AE" w:rsidP="006E052A">
      <w:pPr>
        <w:pStyle w:val="FootnoteText"/>
        <w:jc w:val="both"/>
        <w:rPr>
          <w:rFonts w:ascii="Times New Roman" w:hAnsi="Times New Roman" w:cs="Times New Roman"/>
        </w:rPr>
      </w:pPr>
      <w:r w:rsidRPr="003212A1">
        <w:rPr>
          <w:rStyle w:val="FootnoteReference"/>
          <w:rFonts w:ascii="Times New Roman" w:hAnsi="Times New Roman" w:cs="Times New Roman"/>
        </w:rPr>
        <w:footnoteRef/>
      </w:r>
      <w:r w:rsidRPr="003212A1">
        <w:rPr>
          <w:rFonts w:ascii="Times New Roman" w:hAnsi="Times New Roman" w:cs="Times New Roman"/>
        </w:rPr>
        <w:t xml:space="preserve"> </w:t>
      </w:r>
      <w:r w:rsidRPr="00322247">
        <w:rPr>
          <w:rFonts w:ascii="Times New Roman" w:hAnsi="Times New Roman" w:cs="Times New Roman"/>
        </w:rPr>
        <w:t xml:space="preserve">Hospitality ON (2024.), </w:t>
      </w:r>
      <w:r w:rsidRPr="00322247">
        <w:rPr>
          <w:rFonts w:ascii="Times New Roman" w:hAnsi="Times New Roman" w:cs="Times New Roman"/>
          <w:i/>
          <w:iCs/>
        </w:rPr>
        <w:t>Starwood Capital acquires 10 Radisson Blu hotels from Edwardian Group</w:t>
      </w:r>
      <w:r w:rsidRPr="00322247">
        <w:rPr>
          <w:rFonts w:ascii="Times New Roman" w:hAnsi="Times New Roman" w:cs="Times New Roman"/>
        </w:rPr>
        <w:t xml:space="preserve">, </w:t>
      </w:r>
      <w:r>
        <w:rPr>
          <w:rFonts w:ascii="Times New Roman" w:hAnsi="Times New Roman" w:cs="Times New Roman"/>
        </w:rPr>
        <w:t xml:space="preserve">dostupno na: </w:t>
      </w:r>
      <w:hyperlink r:id="rId2" w:history="1">
        <w:r w:rsidRPr="00B655AF">
          <w:rPr>
            <w:rStyle w:val="Hyperlink"/>
            <w:rFonts w:ascii="Times New Roman" w:hAnsi="Times New Roman" w:cs="Times New Roman"/>
          </w:rPr>
          <w:t>https://hospitality-on.com/en/mergers-and-acquisitions/starwood-capital-acquires-10-radisson-blu-hotels-edwardian-group</w:t>
        </w:r>
      </w:hyperlink>
      <w:r w:rsidRPr="003212A1">
        <w:rPr>
          <w:rFonts w:ascii="Times New Roman" w:hAnsi="Times New Roman" w:cs="Times New Roman"/>
        </w:rPr>
        <w:t xml:space="preserve"> </w:t>
      </w:r>
      <w:r>
        <w:rPr>
          <w:rFonts w:ascii="Times New Roman" w:hAnsi="Times New Roman" w:cs="Times New Roman"/>
        </w:rPr>
        <w:t>Pristupljeno: 30. ožujka 2024.</w:t>
      </w:r>
    </w:p>
  </w:footnote>
  <w:footnote w:id="9">
    <w:p w14:paraId="3F3C43FA" w14:textId="29D25196" w:rsidR="005319AE" w:rsidRPr="00D557AF" w:rsidRDefault="005319AE" w:rsidP="00DF1819">
      <w:pPr>
        <w:pStyle w:val="FootnoteText"/>
        <w:jc w:val="both"/>
        <w:rPr>
          <w:rFonts w:ascii="Times New Roman" w:hAnsi="Times New Roman" w:cs="Times New Roman"/>
        </w:rPr>
      </w:pPr>
      <w:r w:rsidRPr="00D557AF">
        <w:rPr>
          <w:rStyle w:val="FootnoteReference"/>
          <w:rFonts w:ascii="Times New Roman" w:hAnsi="Times New Roman" w:cs="Times New Roman"/>
        </w:rPr>
        <w:footnoteRef/>
      </w:r>
      <w:r w:rsidRPr="00D557AF">
        <w:rPr>
          <w:rFonts w:ascii="Times New Roman" w:hAnsi="Times New Roman" w:cs="Times New Roman"/>
        </w:rPr>
        <w:t xml:space="preserve"> </w:t>
      </w:r>
      <w:r w:rsidRPr="00492B2C">
        <w:rPr>
          <w:rFonts w:ascii="Times New Roman" w:hAnsi="Times New Roman" w:cs="Times New Roman"/>
        </w:rPr>
        <w:t xml:space="preserve">Hospitality On (2024). </w:t>
      </w:r>
      <w:r w:rsidRPr="00492B2C">
        <w:rPr>
          <w:rFonts w:ascii="Times New Roman" w:hAnsi="Times New Roman" w:cs="Times New Roman"/>
          <w:i/>
          <w:iCs/>
        </w:rPr>
        <w:t>Travelodge acquires 66 hotels for £210 million</w:t>
      </w:r>
      <w:r w:rsidRPr="00492B2C">
        <w:rPr>
          <w:rFonts w:ascii="Times New Roman" w:hAnsi="Times New Roman" w:cs="Times New Roman"/>
        </w:rPr>
        <w:t xml:space="preserve">. Dostupno na: </w:t>
      </w:r>
      <w:hyperlink r:id="rId3" w:tgtFrame="_blank" w:history="1">
        <w:r w:rsidRPr="00492B2C">
          <w:rPr>
            <w:rStyle w:val="Hyperlink"/>
            <w:rFonts w:ascii="Times New Roman" w:hAnsi="Times New Roman" w:cs="Times New Roman"/>
          </w:rPr>
          <w:t>https://hospitality-on.com/en/hospitality/travelodge-acquires-66-hotels-ps210-million</w:t>
        </w:r>
      </w:hyperlink>
      <w:r w:rsidRPr="00492B2C">
        <w:rPr>
          <w:rFonts w:ascii="Times New Roman" w:hAnsi="Times New Roman" w:cs="Times New Roman"/>
        </w:rPr>
        <w:t xml:space="preserve"> Pristupljeno: </w:t>
      </w:r>
      <w:r>
        <w:rPr>
          <w:rFonts w:ascii="Times New Roman" w:hAnsi="Times New Roman" w:cs="Times New Roman"/>
        </w:rPr>
        <w:t>30. ožujka</w:t>
      </w:r>
      <w:r w:rsidRPr="00492B2C">
        <w:rPr>
          <w:rFonts w:ascii="Times New Roman" w:hAnsi="Times New Roman" w:cs="Times New Roman"/>
        </w:rPr>
        <w:t xml:space="preserve"> 2024.</w:t>
      </w:r>
    </w:p>
  </w:footnote>
  <w:footnote w:id="10">
    <w:p w14:paraId="06089CE0" w14:textId="016BB10F" w:rsidR="005319AE" w:rsidRPr="00D557AF" w:rsidRDefault="005319AE" w:rsidP="00DF1819">
      <w:pPr>
        <w:pStyle w:val="FootnoteText"/>
        <w:jc w:val="both"/>
        <w:rPr>
          <w:rFonts w:ascii="Times New Roman" w:hAnsi="Times New Roman" w:cs="Times New Roman"/>
        </w:rPr>
      </w:pPr>
      <w:r w:rsidRPr="00D557AF">
        <w:rPr>
          <w:rStyle w:val="FootnoteReference"/>
          <w:rFonts w:ascii="Times New Roman" w:hAnsi="Times New Roman" w:cs="Times New Roman"/>
        </w:rPr>
        <w:footnoteRef/>
      </w:r>
      <w:r w:rsidRPr="00D557AF">
        <w:rPr>
          <w:rFonts w:ascii="Times New Roman" w:hAnsi="Times New Roman" w:cs="Times New Roman"/>
        </w:rPr>
        <w:t xml:space="preserve"> </w:t>
      </w:r>
      <w:r w:rsidRPr="00866116">
        <w:rPr>
          <w:rFonts w:ascii="Times New Roman" w:hAnsi="Times New Roman" w:cs="Times New Roman"/>
        </w:rPr>
        <w:t xml:space="preserve">CoStar (2024). </w:t>
      </w:r>
      <w:r w:rsidRPr="00866116">
        <w:rPr>
          <w:rFonts w:ascii="Times New Roman" w:hAnsi="Times New Roman" w:cs="Times New Roman"/>
          <w:i/>
          <w:iCs/>
        </w:rPr>
        <w:t>Spate of early 2024 hotel acquisitions boosts hopes of healthier European market</w:t>
      </w:r>
      <w:r w:rsidRPr="00866116">
        <w:rPr>
          <w:rFonts w:ascii="Times New Roman" w:hAnsi="Times New Roman" w:cs="Times New Roman"/>
        </w:rPr>
        <w:t xml:space="preserve">. Dostupno na: </w:t>
      </w:r>
      <w:hyperlink r:id="rId4" w:tgtFrame="_blank" w:history="1">
        <w:r w:rsidRPr="00866116">
          <w:rPr>
            <w:rStyle w:val="Hyperlink"/>
            <w:rFonts w:ascii="Times New Roman" w:hAnsi="Times New Roman" w:cs="Times New Roman"/>
          </w:rPr>
          <w:t>https://www.costar.com/article/16720500/spate-of-early-2024-hotel-acquisitions-boosts-hopes-of-healthier-european-market</w:t>
        </w:r>
      </w:hyperlink>
      <w:r w:rsidRPr="00866116">
        <w:rPr>
          <w:rFonts w:ascii="Times New Roman" w:hAnsi="Times New Roman" w:cs="Times New Roman"/>
        </w:rPr>
        <w:t xml:space="preserve"> Pristupljeno: </w:t>
      </w:r>
      <w:r>
        <w:rPr>
          <w:rFonts w:ascii="Times New Roman" w:hAnsi="Times New Roman" w:cs="Times New Roman"/>
        </w:rPr>
        <w:t>20. rujna</w:t>
      </w:r>
      <w:r w:rsidRPr="00866116">
        <w:rPr>
          <w:rFonts w:ascii="Times New Roman" w:hAnsi="Times New Roman" w:cs="Times New Roman"/>
        </w:rPr>
        <w:t xml:space="preserve"> 202</w:t>
      </w:r>
      <w:r>
        <w:rPr>
          <w:rFonts w:ascii="Times New Roman" w:hAnsi="Times New Roman" w:cs="Times New Roman"/>
        </w:rPr>
        <w:t>3</w:t>
      </w:r>
      <w:r w:rsidRPr="00866116">
        <w:rPr>
          <w:rFonts w:ascii="Times New Roman" w:hAnsi="Times New Roman" w:cs="Times New Roman"/>
        </w:rPr>
        <w:t>.</w:t>
      </w:r>
    </w:p>
  </w:footnote>
  <w:footnote w:id="11">
    <w:p w14:paraId="1376E2B1" w14:textId="2881F325" w:rsidR="005319AE" w:rsidRPr="00D557AF" w:rsidRDefault="005319AE" w:rsidP="00DF1819">
      <w:pPr>
        <w:pStyle w:val="FootnoteText"/>
        <w:jc w:val="both"/>
        <w:rPr>
          <w:rFonts w:ascii="Times New Roman" w:hAnsi="Times New Roman" w:cs="Times New Roman"/>
        </w:rPr>
      </w:pPr>
      <w:r w:rsidRPr="00D557AF">
        <w:rPr>
          <w:rStyle w:val="FootnoteReference"/>
          <w:rFonts w:ascii="Times New Roman" w:hAnsi="Times New Roman" w:cs="Times New Roman"/>
        </w:rPr>
        <w:footnoteRef/>
      </w:r>
      <w:r w:rsidRPr="00866116">
        <w:rPr>
          <w:rFonts w:ascii="Times New Roman" w:hAnsi="Times New Roman" w:cs="Times New Roman"/>
        </w:rPr>
        <w:t xml:space="preserve">Hotel Dive (2024). </w:t>
      </w:r>
      <w:r w:rsidRPr="00866116">
        <w:rPr>
          <w:rFonts w:ascii="Times New Roman" w:hAnsi="Times New Roman" w:cs="Times New Roman"/>
          <w:i/>
          <w:iCs/>
        </w:rPr>
        <w:t>Hilton Grand Vacations completes Bluegreen acquisition</w:t>
      </w:r>
      <w:r w:rsidRPr="00866116">
        <w:rPr>
          <w:rFonts w:ascii="Times New Roman" w:hAnsi="Times New Roman" w:cs="Times New Roman"/>
        </w:rPr>
        <w:t xml:space="preserve">. Dostupno na: </w:t>
      </w:r>
      <w:hyperlink r:id="rId5" w:tgtFrame="_blank" w:history="1">
        <w:r w:rsidRPr="00866116">
          <w:rPr>
            <w:rStyle w:val="Hyperlink"/>
            <w:rFonts w:ascii="Times New Roman" w:hAnsi="Times New Roman" w:cs="Times New Roman"/>
          </w:rPr>
          <w:t>https://www.hoteldive.com/news/hilton-grand-vacations-completes-bluegreen-acquisition/704774/</w:t>
        </w:r>
      </w:hyperlink>
      <w:r w:rsidRPr="00866116">
        <w:rPr>
          <w:rFonts w:ascii="Times New Roman" w:hAnsi="Times New Roman" w:cs="Times New Roman"/>
        </w:rPr>
        <w:t xml:space="preserve"> Pristupljeno: 15. rujna 2024.</w:t>
      </w:r>
    </w:p>
  </w:footnote>
  <w:footnote w:id="12">
    <w:p w14:paraId="52E3654F" w14:textId="63998E6B" w:rsidR="005319AE" w:rsidRPr="00D557AF" w:rsidRDefault="005319AE" w:rsidP="00DF1819">
      <w:pPr>
        <w:pStyle w:val="FootnoteText"/>
        <w:jc w:val="both"/>
        <w:rPr>
          <w:rFonts w:ascii="Times New Roman" w:hAnsi="Times New Roman" w:cs="Times New Roman"/>
        </w:rPr>
      </w:pPr>
      <w:r w:rsidRPr="00D557AF">
        <w:rPr>
          <w:rStyle w:val="FootnoteReference"/>
          <w:rFonts w:ascii="Times New Roman" w:hAnsi="Times New Roman" w:cs="Times New Roman"/>
        </w:rPr>
        <w:footnoteRef/>
      </w:r>
      <w:r w:rsidRPr="00D557AF">
        <w:rPr>
          <w:rFonts w:ascii="Times New Roman" w:hAnsi="Times New Roman" w:cs="Times New Roman"/>
        </w:rPr>
        <w:t xml:space="preserve"> </w:t>
      </w:r>
      <w:r w:rsidRPr="00DF1819">
        <w:rPr>
          <w:rFonts w:ascii="Times New Roman" w:hAnsi="Times New Roman" w:cs="Times New Roman"/>
        </w:rPr>
        <w:t xml:space="preserve">Hyatt Newsroom (2024). </w:t>
      </w:r>
      <w:r w:rsidRPr="00DF1819">
        <w:rPr>
          <w:rFonts w:ascii="Times New Roman" w:hAnsi="Times New Roman" w:cs="Times New Roman"/>
          <w:i/>
          <w:iCs/>
        </w:rPr>
        <w:t>Hyatt completes acquisition of Mr &amp; Mrs Smith</w:t>
      </w:r>
      <w:r w:rsidRPr="00DF1819">
        <w:rPr>
          <w:rFonts w:ascii="Times New Roman" w:hAnsi="Times New Roman" w:cs="Times New Roman"/>
        </w:rPr>
        <w:t xml:space="preserve">. Dostupno na: </w:t>
      </w:r>
      <w:hyperlink r:id="rId6" w:tgtFrame="_blank" w:history="1">
        <w:r w:rsidRPr="00DF1819">
          <w:rPr>
            <w:rStyle w:val="Hyperlink"/>
            <w:rFonts w:ascii="Times New Roman" w:hAnsi="Times New Roman" w:cs="Times New Roman"/>
          </w:rPr>
          <w:t>https://newsroom.hyatt.com/news-releases?item=124341</w:t>
        </w:r>
      </w:hyperlink>
      <w:r w:rsidRPr="00DF1819">
        <w:rPr>
          <w:rFonts w:ascii="Times New Roman" w:hAnsi="Times New Roman" w:cs="Times New Roman"/>
        </w:rPr>
        <w:t xml:space="preserve"> Pristupljeno: </w:t>
      </w:r>
      <w:r>
        <w:rPr>
          <w:rFonts w:ascii="Times New Roman" w:hAnsi="Times New Roman" w:cs="Times New Roman"/>
        </w:rPr>
        <w:t>22. kolovoza</w:t>
      </w:r>
      <w:r w:rsidRPr="00DF1819">
        <w:rPr>
          <w:rFonts w:ascii="Times New Roman" w:hAnsi="Times New Roman" w:cs="Times New Roman"/>
        </w:rPr>
        <w:t xml:space="preserve"> 2024.</w:t>
      </w:r>
    </w:p>
  </w:footnote>
  <w:footnote w:id="13">
    <w:p w14:paraId="78B26CB3" w14:textId="10F5D669" w:rsidR="005319AE" w:rsidRPr="00D557AF" w:rsidRDefault="005319AE" w:rsidP="006E052A">
      <w:pPr>
        <w:pStyle w:val="FootnoteText"/>
        <w:rPr>
          <w:rFonts w:ascii="Times New Roman" w:hAnsi="Times New Roman" w:cs="Times New Roman"/>
        </w:rPr>
      </w:pPr>
      <w:r w:rsidRPr="00D557AF">
        <w:rPr>
          <w:rStyle w:val="FootnoteReference"/>
          <w:rFonts w:ascii="Times New Roman" w:hAnsi="Times New Roman" w:cs="Times New Roman"/>
        </w:rPr>
        <w:footnoteRef/>
      </w:r>
      <w:r w:rsidRPr="00D557AF">
        <w:rPr>
          <w:rFonts w:ascii="Times New Roman" w:hAnsi="Times New Roman" w:cs="Times New Roman"/>
        </w:rPr>
        <w:t xml:space="preserve"> </w:t>
      </w:r>
      <w:r w:rsidRPr="00867846">
        <w:rPr>
          <w:rFonts w:ascii="Times New Roman" w:hAnsi="Times New Roman" w:cs="Times New Roman"/>
        </w:rPr>
        <w:t xml:space="preserve">Hotel Management Network (2023). </w:t>
      </w:r>
      <w:r w:rsidRPr="00867846">
        <w:rPr>
          <w:rFonts w:ascii="Times New Roman" w:hAnsi="Times New Roman" w:cs="Times New Roman"/>
          <w:i/>
          <w:iCs/>
        </w:rPr>
        <w:t>The biggest deals in the hotel industry in 2023</w:t>
      </w:r>
      <w:r w:rsidRPr="00867846">
        <w:rPr>
          <w:rFonts w:ascii="Times New Roman" w:hAnsi="Times New Roman" w:cs="Times New Roman"/>
        </w:rPr>
        <w:t xml:space="preserve">. Dostupno na: </w:t>
      </w:r>
      <w:hyperlink r:id="rId7" w:tgtFrame="_blank" w:history="1">
        <w:r w:rsidRPr="00867846">
          <w:rPr>
            <w:rStyle w:val="Hyperlink"/>
            <w:rFonts w:ascii="Times New Roman" w:hAnsi="Times New Roman" w:cs="Times New Roman"/>
          </w:rPr>
          <w:t>https://www.hotelmanagement-network.com/news/biggest-deals-hotel-industry-2023/</w:t>
        </w:r>
      </w:hyperlink>
      <w:r w:rsidRPr="00867846">
        <w:rPr>
          <w:rFonts w:ascii="Times New Roman" w:hAnsi="Times New Roman" w:cs="Times New Roman"/>
        </w:rPr>
        <w:t xml:space="preserve"> Pristupljeno: 15. </w:t>
      </w:r>
      <w:r>
        <w:rPr>
          <w:rFonts w:ascii="Times New Roman" w:hAnsi="Times New Roman" w:cs="Times New Roman"/>
        </w:rPr>
        <w:t>listopad</w:t>
      </w:r>
      <w:r w:rsidRPr="00867846">
        <w:rPr>
          <w:rFonts w:ascii="Times New Roman" w:hAnsi="Times New Roman" w:cs="Times New Roman"/>
        </w:rPr>
        <w:t xml:space="preserve"> 2024.</w:t>
      </w:r>
    </w:p>
  </w:footnote>
  <w:footnote w:id="14">
    <w:p w14:paraId="70010988" w14:textId="611D96B9" w:rsidR="005319AE" w:rsidRPr="00867846" w:rsidRDefault="005319AE" w:rsidP="006E052A">
      <w:pPr>
        <w:pStyle w:val="FootnoteText"/>
        <w:rPr>
          <w:rFonts w:ascii="Times New Roman" w:hAnsi="Times New Roman" w:cs="Times New Roman"/>
        </w:rPr>
      </w:pPr>
      <w:r w:rsidRPr="00867846">
        <w:rPr>
          <w:rStyle w:val="FootnoteReference"/>
          <w:rFonts w:ascii="Times New Roman" w:hAnsi="Times New Roman" w:cs="Times New Roman"/>
        </w:rPr>
        <w:footnoteRef/>
      </w:r>
      <w:r w:rsidRPr="00867846">
        <w:rPr>
          <w:rFonts w:ascii="Times New Roman" w:hAnsi="Times New Roman" w:cs="Times New Roman"/>
        </w:rPr>
        <w:t xml:space="preserve"> The Real Deal (2023). </w:t>
      </w:r>
      <w:r w:rsidRPr="00867846">
        <w:rPr>
          <w:rFonts w:ascii="Times New Roman" w:hAnsi="Times New Roman" w:cs="Times New Roman"/>
          <w:i/>
          <w:iCs/>
        </w:rPr>
        <w:t>QIA buys Park Lane Hotel from Witkoff</w:t>
      </w:r>
      <w:r w:rsidRPr="00867846">
        <w:rPr>
          <w:rFonts w:ascii="Times New Roman" w:hAnsi="Times New Roman" w:cs="Times New Roman"/>
        </w:rPr>
        <w:t xml:space="preserve">. Dostupno na: </w:t>
      </w:r>
      <w:hyperlink r:id="rId8" w:tgtFrame="_blank" w:history="1">
        <w:r w:rsidRPr="00867846">
          <w:rPr>
            <w:rStyle w:val="Hyperlink"/>
            <w:rFonts w:ascii="Times New Roman" w:hAnsi="Times New Roman" w:cs="Times New Roman"/>
          </w:rPr>
          <w:t>https://therealdeal.com/new-york/2023/08/28/qia-buys-park-lane-hotel-from-witkoff/</w:t>
        </w:r>
      </w:hyperlink>
      <w:r w:rsidRPr="00867846">
        <w:rPr>
          <w:rFonts w:ascii="Times New Roman" w:hAnsi="Times New Roman" w:cs="Times New Roman"/>
        </w:rPr>
        <w:t xml:space="preserve"> Pristupljeno: 1</w:t>
      </w:r>
      <w:r>
        <w:rPr>
          <w:rFonts w:ascii="Times New Roman" w:hAnsi="Times New Roman" w:cs="Times New Roman"/>
        </w:rPr>
        <w:t>0</w:t>
      </w:r>
      <w:r w:rsidRPr="00867846">
        <w:rPr>
          <w:rFonts w:ascii="Times New Roman" w:hAnsi="Times New Roman" w:cs="Times New Roman"/>
        </w:rPr>
        <w:t>. rujna 2024.</w:t>
      </w:r>
    </w:p>
  </w:footnote>
  <w:footnote w:id="15">
    <w:p w14:paraId="72D7A602" w14:textId="57CC2BC0" w:rsidR="005319AE" w:rsidRPr="00135909" w:rsidRDefault="005319AE" w:rsidP="006E052A">
      <w:pPr>
        <w:pStyle w:val="FootnoteText"/>
        <w:rPr>
          <w:rFonts w:ascii="Times New Roman" w:hAnsi="Times New Roman" w:cs="Times New Roman"/>
        </w:rPr>
      </w:pPr>
      <w:r w:rsidRPr="00135909">
        <w:rPr>
          <w:rStyle w:val="FootnoteReference"/>
          <w:rFonts w:ascii="Times New Roman" w:hAnsi="Times New Roman" w:cs="Times New Roman"/>
        </w:rPr>
        <w:footnoteRef/>
      </w:r>
      <w:r w:rsidRPr="001A52E2">
        <w:rPr>
          <w:rFonts w:ascii="Times New Roman" w:hAnsi="Times New Roman" w:cs="Times New Roman"/>
        </w:rPr>
        <w:t xml:space="preserve">Hotel Management Network (2023). </w:t>
      </w:r>
      <w:r w:rsidRPr="001A52E2">
        <w:rPr>
          <w:rFonts w:ascii="Times New Roman" w:hAnsi="Times New Roman" w:cs="Times New Roman"/>
          <w:i/>
          <w:iCs/>
        </w:rPr>
        <w:t>The biggest deals in the hotel industry in 2023</w:t>
      </w:r>
      <w:r w:rsidRPr="001A52E2">
        <w:rPr>
          <w:rFonts w:ascii="Times New Roman" w:hAnsi="Times New Roman" w:cs="Times New Roman"/>
        </w:rPr>
        <w:t xml:space="preserve">. Dostupno na: </w:t>
      </w:r>
      <w:hyperlink r:id="rId9" w:tgtFrame="_blank" w:history="1">
        <w:r w:rsidRPr="001A52E2">
          <w:rPr>
            <w:rStyle w:val="Hyperlink"/>
            <w:rFonts w:ascii="Times New Roman" w:hAnsi="Times New Roman" w:cs="Times New Roman"/>
          </w:rPr>
          <w:t>https://www.hotelmanagement-network.com/news/biggest-deals-hotel-industry-2023/?cf-view</w:t>
        </w:r>
      </w:hyperlink>
      <w:r w:rsidRPr="001A52E2">
        <w:rPr>
          <w:rFonts w:ascii="Times New Roman" w:hAnsi="Times New Roman" w:cs="Times New Roman"/>
        </w:rPr>
        <w:t xml:space="preserve"> Pristupljeno: 15. </w:t>
      </w:r>
      <w:r>
        <w:rPr>
          <w:rFonts w:ascii="Times New Roman" w:hAnsi="Times New Roman" w:cs="Times New Roman"/>
        </w:rPr>
        <w:t xml:space="preserve">litopad </w:t>
      </w:r>
      <w:r w:rsidRPr="001A52E2">
        <w:rPr>
          <w:rFonts w:ascii="Times New Roman" w:hAnsi="Times New Roman" w:cs="Times New Roman"/>
        </w:rPr>
        <w:t>2024.</w:t>
      </w:r>
      <w:r w:rsidRPr="00135909">
        <w:rPr>
          <w:rFonts w:ascii="Times New Roman" w:hAnsi="Times New Roman" w:cs="Times New Roman"/>
        </w:rPr>
        <w:t xml:space="preserve"> </w:t>
      </w:r>
    </w:p>
  </w:footnote>
  <w:footnote w:id="16">
    <w:p w14:paraId="56088174" w14:textId="53CC78CB" w:rsidR="005319AE" w:rsidRPr="00695962" w:rsidRDefault="005319AE" w:rsidP="006E052A">
      <w:pPr>
        <w:pStyle w:val="FootnoteText"/>
        <w:rPr>
          <w:rFonts w:ascii="Times New Roman" w:hAnsi="Times New Roman" w:cs="Times New Roman"/>
        </w:rPr>
      </w:pPr>
      <w:r w:rsidRPr="00695962">
        <w:rPr>
          <w:rStyle w:val="FootnoteReference"/>
          <w:rFonts w:ascii="Times New Roman" w:hAnsi="Times New Roman" w:cs="Times New Roman"/>
        </w:rPr>
        <w:footnoteRef/>
      </w:r>
      <w:r w:rsidRPr="00695962">
        <w:rPr>
          <w:rFonts w:ascii="Times New Roman" w:hAnsi="Times New Roman" w:cs="Times New Roman"/>
        </w:rPr>
        <w:t xml:space="preserve"> </w:t>
      </w:r>
      <w:r w:rsidRPr="005371A4">
        <w:rPr>
          <w:rFonts w:ascii="Times New Roman" w:hAnsi="Times New Roman" w:cs="Times New Roman"/>
        </w:rPr>
        <w:t xml:space="preserve">Hotel Management Network (2022). </w:t>
      </w:r>
      <w:r w:rsidRPr="005371A4">
        <w:rPr>
          <w:rFonts w:ascii="Times New Roman" w:hAnsi="Times New Roman" w:cs="Times New Roman"/>
          <w:i/>
          <w:iCs/>
        </w:rPr>
        <w:t>Tourism &amp; Leisure Industry M&amp;A deals total $569.3m globally in February 2022</w:t>
      </w:r>
      <w:r w:rsidRPr="005371A4">
        <w:rPr>
          <w:rFonts w:ascii="Times New Roman" w:hAnsi="Times New Roman" w:cs="Times New Roman"/>
        </w:rPr>
        <w:t xml:space="preserve">. Dostupno na: </w:t>
      </w:r>
      <w:hyperlink r:id="rId10" w:tgtFrame="_blank" w:history="1">
        <w:r w:rsidRPr="005371A4">
          <w:rPr>
            <w:rStyle w:val="Hyperlink"/>
            <w:rFonts w:ascii="Times New Roman" w:hAnsi="Times New Roman" w:cs="Times New Roman"/>
          </w:rPr>
          <w:t>https://www.hotelmanagement-network.com/deals-analysis/tourism-leisure-industry-ma-deals-total-569-3m-globally-in-february-2022/?cf-view</w:t>
        </w:r>
      </w:hyperlink>
      <w:r w:rsidRPr="005371A4">
        <w:rPr>
          <w:rFonts w:ascii="Times New Roman" w:hAnsi="Times New Roman" w:cs="Times New Roman"/>
        </w:rPr>
        <w:t xml:space="preserve"> Pristupljeno: </w:t>
      </w:r>
      <w:r>
        <w:rPr>
          <w:rFonts w:ascii="Times New Roman" w:hAnsi="Times New Roman" w:cs="Times New Roman"/>
        </w:rPr>
        <w:t>10. ožujka</w:t>
      </w:r>
      <w:r w:rsidRPr="005371A4">
        <w:rPr>
          <w:rFonts w:ascii="Times New Roman" w:hAnsi="Times New Roman" w:cs="Times New Roman"/>
        </w:rPr>
        <w:t xml:space="preserve"> 2024.</w:t>
      </w:r>
    </w:p>
  </w:footnote>
  <w:footnote w:id="17">
    <w:p w14:paraId="1F5B1A2E" w14:textId="32825B7F" w:rsidR="005319AE" w:rsidRPr="005D472F" w:rsidRDefault="005319AE" w:rsidP="006E052A">
      <w:pPr>
        <w:pStyle w:val="FootnoteText"/>
        <w:rPr>
          <w:rFonts w:ascii="Times New Roman" w:hAnsi="Times New Roman" w:cs="Times New Roman"/>
        </w:rPr>
      </w:pPr>
      <w:r w:rsidRPr="005D472F">
        <w:rPr>
          <w:rStyle w:val="FootnoteReference"/>
          <w:rFonts w:ascii="Times New Roman" w:hAnsi="Times New Roman" w:cs="Times New Roman"/>
        </w:rPr>
        <w:footnoteRef/>
      </w:r>
      <w:r w:rsidRPr="005D472F">
        <w:rPr>
          <w:rFonts w:ascii="Times New Roman" w:hAnsi="Times New Roman" w:cs="Times New Roman"/>
        </w:rPr>
        <w:t xml:space="preserve"> SBC Americas (2023). </w:t>
      </w:r>
      <w:r w:rsidRPr="005D472F">
        <w:rPr>
          <w:rFonts w:ascii="Times New Roman" w:hAnsi="Times New Roman" w:cs="Times New Roman"/>
          <w:i/>
          <w:iCs/>
        </w:rPr>
        <w:t>Century Casinos completes acquisition of Nugget Casino Resort</w:t>
      </w:r>
      <w:r w:rsidRPr="005D472F">
        <w:rPr>
          <w:rFonts w:ascii="Times New Roman" w:hAnsi="Times New Roman" w:cs="Times New Roman"/>
        </w:rPr>
        <w:t xml:space="preserve">. Dostupno na: </w:t>
      </w:r>
      <w:hyperlink r:id="rId11" w:tgtFrame="_blank" w:history="1">
        <w:r w:rsidRPr="005D472F">
          <w:rPr>
            <w:rStyle w:val="Hyperlink"/>
            <w:rFonts w:ascii="Times New Roman" w:hAnsi="Times New Roman" w:cs="Times New Roman"/>
          </w:rPr>
          <w:t>https://sbcamericas.com/2023/04/05/century-casinos-nugget-casino-resort/</w:t>
        </w:r>
      </w:hyperlink>
      <w:r w:rsidRPr="005D472F">
        <w:rPr>
          <w:rFonts w:ascii="Times New Roman" w:hAnsi="Times New Roman" w:cs="Times New Roman"/>
        </w:rPr>
        <w:t xml:space="preserve"> Pristupljeno: </w:t>
      </w:r>
      <w:r>
        <w:rPr>
          <w:rFonts w:ascii="Times New Roman" w:hAnsi="Times New Roman" w:cs="Times New Roman"/>
        </w:rPr>
        <w:t>09</w:t>
      </w:r>
      <w:r w:rsidRPr="005D472F">
        <w:rPr>
          <w:rFonts w:ascii="Times New Roman" w:hAnsi="Times New Roman" w:cs="Times New Roman"/>
        </w:rPr>
        <w:t>. rujna 2024.</w:t>
      </w:r>
    </w:p>
  </w:footnote>
  <w:footnote w:id="18">
    <w:p w14:paraId="050824CA" w14:textId="6642E527" w:rsidR="005319AE" w:rsidRPr="00695962" w:rsidRDefault="005319AE" w:rsidP="006E052A">
      <w:pPr>
        <w:pStyle w:val="FootnoteText"/>
        <w:rPr>
          <w:rFonts w:ascii="Times New Roman" w:hAnsi="Times New Roman" w:cs="Times New Roman"/>
        </w:rPr>
      </w:pPr>
      <w:r w:rsidRPr="00695962">
        <w:rPr>
          <w:rStyle w:val="FootnoteReference"/>
          <w:rFonts w:ascii="Times New Roman" w:hAnsi="Times New Roman" w:cs="Times New Roman"/>
        </w:rPr>
        <w:footnoteRef/>
      </w:r>
      <w:r w:rsidRPr="00695962">
        <w:rPr>
          <w:rFonts w:ascii="Times New Roman" w:hAnsi="Times New Roman" w:cs="Times New Roman"/>
        </w:rPr>
        <w:t xml:space="preserve"> </w:t>
      </w:r>
      <w:r w:rsidRPr="005D472F">
        <w:rPr>
          <w:rFonts w:ascii="Times New Roman" w:hAnsi="Times New Roman" w:cs="Times New Roman"/>
        </w:rPr>
        <w:t xml:space="preserve">Hotel Management Network (2022). </w:t>
      </w:r>
      <w:r w:rsidRPr="005D472F">
        <w:rPr>
          <w:rFonts w:ascii="Times New Roman" w:hAnsi="Times New Roman" w:cs="Times New Roman"/>
          <w:i/>
          <w:iCs/>
        </w:rPr>
        <w:t>Tourism &amp; Leisure Industry M&amp;A deals total $569.3m globally in February 2022</w:t>
      </w:r>
      <w:r w:rsidRPr="005D472F">
        <w:rPr>
          <w:rFonts w:ascii="Times New Roman" w:hAnsi="Times New Roman" w:cs="Times New Roman"/>
        </w:rPr>
        <w:t xml:space="preserve">. Dostupno na: </w:t>
      </w:r>
      <w:hyperlink r:id="rId12" w:tgtFrame="_blank" w:history="1">
        <w:r w:rsidRPr="005D472F">
          <w:rPr>
            <w:rStyle w:val="Hyperlink"/>
            <w:rFonts w:ascii="Times New Roman" w:hAnsi="Times New Roman" w:cs="Times New Roman"/>
          </w:rPr>
          <w:t>https://www.hotelmanagement-network.com/deals-analysis/tourism-leisure-industry-ma-deals-total-569-3m-globally-in-february-2022/?cf-view</w:t>
        </w:r>
      </w:hyperlink>
      <w:r w:rsidRPr="005D472F">
        <w:rPr>
          <w:rFonts w:ascii="Times New Roman" w:hAnsi="Times New Roman" w:cs="Times New Roman"/>
        </w:rPr>
        <w:t xml:space="preserve"> Pristupljeno: 1</w:t>
      </w:r>
      <w:r>
        <w:rPr>
          <w:rFonts w:ascii="Times New Roman" w:hAnsi="Times New Roman" w:cs="Times New Roman"/>
        </w:rPr>
        <w:t>0. ožujka</w:t>
      </w:r>
      <w:r w:rsidRPr="005D472F">
        <w:rPr>
          <w:rFonts w:ascii="Times New Roman" w:hAnsi="Times New Roman" w:cs="Times New Roman"/>
        </w:rPr>
        <w:t xml:space="preserve"> 2024.</w:t>
      </w:r>
    </w:p>
  </w:footnote>
  <w:footnote w:id="19">
    <w:p w14:paraId="24781733" w14:textId="44173175" w:rsidR="005319AE" w:rsidRDefault="005319AE" w:rsidP="006E052A">
      <w:pPr>
        <w:pStyle w:val="FootnoteText"/>
      </w:pPr>
      <w:r w:rsidRPr="00695962">
        <w:rPr>
          <w:rStyle w:val="FootnoteReference"/>
          <w:rFonts w:ascii="Times New Roman" w:hAnsi="Times New Roman" w:cs="Times New Roman"/>
        </w:rPr>
        <w:footnoteRef/>
      </w:r>
      <w:r w:rsidRPr="00695962">
        <w:rPr>
          <w:rFonts w:ascii="Times New Roman" w:hAnsi="Times New Roman" w:cs="Times New Roman"/>
        </w:rPr>
        <w:t xml:space="preserve"> </w:t>
      </w:r>
      <w:r w:rsidRPr="005D472F">
        <w:rPr>
          <w:rFonts w:ascii="Times New Roman" w:hAnsi="Times New Roman" w:cs="Times New Roman"/>
        </w:rPr>
        <w:t xml:space="preserve">Radisson Hotel Group (2022). </w:t>
      </w:r>
      <w:r w:rsidRPr="005D472F">
        <w:rPr>
          <w:rFonts w:ascii="Times New Roman" w:hAnsi="Times New Roman" w:cs="Times New Roman"/>
          <w:i/>
          <w:iCs/>
        </w:rPr>
        <w:t>Choice Hotels acquires Radisson Hotel Group Americas</w:t>
      </w:r>
      <w:r w:rsidRPr="005D472F">
        <w:rPr>
          <w:rFonts w:ascii="Times New Roman" w:hAnsi="Times New Roman" w:cs="Times New Roman"/>
        </w:rPr>
        <w:t xml:space="preserve">. Dostupno na: </w:t>
      </w:r>
      <w:hyperlink r:id="rId13" w:tgtFrame="_blank" w:history="1">
        <w:r w:rsidRPr="005D472F">
          <w:rPr>
            <w:rStyle w:val="Hyperlink"/>
            <w:rFonts w:ascii="Times New Roman" w:hAnsi="Times New Roman" w:cs="Times New Roman"/>
          </w:rPr>
          <w:t>https://www.radissonhotels.com/en-us/corporate/media/press-releases/choice-hotels-acquires-radisson-hotel-group-americas</w:t>
        </w:r>
      </w:hyperlink>
      <w:r w:rsidRPr="005D472F">
        <w:rPr>
          <w:rFonts w:ascii="Times New Roman" w:hAnsi="Times New Roman" w:cs="Times New Roman"/>
        </w:rPr>
        <w:t xml:space="preserve"> Pristupljeno: 15. </w:t>
      </w:r>
      <w:r>
        <w:rPr>
          <w:rFonts w:ascii="Times New Roman" w:hAnsi="Times New Roman" w:cs="Times New Roman"/>
        </w:rPr>
        <w:t>kolovoza</w:t>
      </w:r>
      <w:r w:rsidRPr="005D472F">
        <w:rPr>
          <w:rFonts w:ascii="Times New Roman" w:hAnsi="Times New Roman" w:cs="Times New Roman"/>
        </w:rPr>
        <w:t xml:space="preserve"> 2024.</w:t>
      </w:r>
    </w:p>
  </w:footnote>
  <w:footnote w:id="20">
    <w:p w14:paraId="2E1ED3C0" w14:textId="14DAE1FE" w:rsidR="005319AE" w:rsidRPr="00BB421E" w:rsidRDefault="005319AE" w:rsidP="006E052A">
      <w:pPr>
        <w:pStyle w:val="FootnoteText"/>
        <w:rPr>
          <w:rFonts w:ascii="Times New Roman" w:hAnsi="Times New Roman" w:cs="Times New Roman"/>
        </w:rPr>
      </w:pPr>
      <w:r w:rsidRPr="00BB421E">
        <w:rPr>
          <w:rStyle w:val="FootnoteReference"/>
          <w:rFonts w:ascii="Times New Roman" w:hAnsi="Times New Roman" w:cs="Times New Roman"/>
        </w:rPr>
        <w:footnoteRef/>
      </w:r>
      <w:r w:rsidRPr="00EA47C4">
        <w:rPr>
          <w:rFonts w:ascii="Times New Roman" w:hAnsi="Times New Roman" w:cs="Times New Roman"/>
        </w:rPr>
        <w:t xml:space="preserve">Wyndham Hotels &amp; Resorts (2022). </w:t>
      </w:r>
      <w:r w:rsidRPr="00EA47C4">
        <w:rPr>
          <w:rFonts w:ascii="Times New Roman" w:hAnsi="Times New Roman" w:cs="Times New Roman"/>
          <w:i/>
          <w:iCs/>
        </w:rPr>
        <w:t>Wyndham Hotels &amp; Resorts acquires European hotel brand Vienna House</w:t>
      </w:r>
      <w:r w:rsidRPr="00EA47C4">
        <w:rPr>
          <w:rFonts w:ascii="Times New Roman" w:hAnsi="Times New Roman" w:cs="Times New Roman"/>
        </w:rPr>
        <w:t>. Dostupno na:</w:t>
      </w:r>
      <w:r w:rsidRPr="00BB421E">
        <w:rPr>
          <w:rFonts w:ascii="Times New Roman" w:hAnsi="Times New Roman" w:cs="Times New Roman"/>
        </w:rPr>
        <w:t xml:space="preserve"> </w:t>
      </w:r>
      <w:hyperlink r:id="rId14" w:history="1">
        <w:r w:rsidRPr="00BB421E">
          <w:rPr>
            <w:rStyle w:val="Hyperlink"/>
            <w:rFonts w:ascii="Times New Roman" w:hAnsi="Times New Roman" w:cs="Times New Roman"/>
          </w:rPr>
          <w:t>https://corporate.wyndhamhotels.com/news-releases/wyndham-hotels-resorts-acquires-european-hotel-brand-vienna-house/</w:t>
        </w:r>
      </w:hyperlink>
      <w:r w:rsidRPr="00BB421E">
        <w:rPr>
          <w:rFonts w:ascii="Times New Roman" w:hAnsi="Times New Roman" w:cs="Times New Roman"/>
        </w:rPr>
        <w:t xml:space="preserve"> </w:t>
      </w:r>
      <w:r>
        <w:rPr>
          <w:rFonts w:ascii="Times New Roman" w:hAnsi="Times New Roman" w:cs="Times New Roman"/>
        </w:rPr>
        <w:t>Pristupljeno: 10. travnja 2024.</w:t>
      </w:r>
    </w:p>
  </w:footnote>
  <w:footnote w:id="21">
    <w:p w14:paraId="3251DB78" w14:textId="5C30E708" w:rsidR="005319AE" w:rsidRDefault="005319AE" w:rsidP="006E052A">
      <w:pPr>
        <w:pStyle w:val="FootnoteText"/>
        <w:jc w:val="both"/>
        <w:rPr>
          <w:rFonts w:ascii="Times New Roman" w:hAnsi="Times New Roman" w:cs="Times New Roman"/>
        </w:rPr>
      </w:pPr>
      <w:r w:rsidRPr="00641BE8">
        <w:rPr>
          <w:rStyle w:val="FootnoteReference"/>
          <w:rFonts w:ascii="Times New Roman" w:hAnsi="Times New Roman" w:cs="Times New Roman"/>
        </w:rPr>
        <w:footnoteRef/>
      </w:r>
      <w:r w:rsidRPr="00641BE8">
        <w:rPr>
          <w:rFonts w:ascii="Times New Roman" w:hAnsi="Times New Roman" w:cs="Times New Roman"/>
        </w:rPr>
        <w:t xml:space="preserve"> </w:t>
      </w:r>
      <w:r w:rsidRPr="009E3481">
        <w:rPr>
          <w:rFonts w:ascii="Times New Roman" w:hAnsi="Times New Roman" w:cs="Times New Roman"/>
        </w:rPr>
        <w:t xml:space="preserve">GlobeNewswire (2021). </w:t>
      </w:r>
      <w:r w:rsidRPr="009E3481">
        <w:rPr>
          <w:rFonts w:ascii="Times New Roman" w:hAnsi="Times New Roman" w:cs="Times New Roman"/>
          <w:i/>
          <w:iCs/>
        </w:rPr>
        <w:t>Blackstone and Starwood Capital Group Complete Acquisition of Extended Stay America</w:t>
      </w:r>
      <w:r w:rsidRPr="009E3481">
        <w:rPr>
          <w:rFonts w:ascii="Times New Roman" w:hAnsi="Times New Roman" w:cs="Times New Roman"/>
        </w:rPr>
        <w:t xml:space="preserve">. Dostupno na: </w:t>
      </w:r>
      <w:hyperlink r:id="rId15" w:tgtFrame="_blank" w:history="1">
        <w:r w:rsidRPr="009E3481">
          <w:rPr>
            <w:rStyle w:val="Hyperlink"/>
            <w:rFonts w:ascii="Times New Roman" w:hAnsi="Times New Roman" w:cs="Times New Roman"/>
          </w:rPr>
          <w:t>https://www.globenewswire.com/news-release/2021/06/16/2248347/0/en/Blackstone-and-Starwood-Capital-Group-Complete-Acquisition-of-Extended-Stay-America.html</w:t>
        </w:r>
      </w:hyperlink>
      <w:r w:rsidRPr="009E3481">
        <w:rPr>
          <w:rFonts w:ascii="Times New Roman" w:hAnsi="Times New Roman" w:cs="Times New Roman"/>
        </w:rPr>
        <w:t xml:space="preserve"> Pristupljeno: 15. rujna 202</w:t>
      </w:r>
      <w:r>
        <w:rPr>
          <w:rFonts w:ascii="Times New Roman" w:hAnsi="Times New Roman" w:cs="Times New Roman"/>
        </w:rPr>
        <w:t>4</w:t>
      </w:r>
      <w:r w:rsidRPr="009E3481">
        <w:rPr>
          <w:rFonts w:ascii="Times New Roman" w:hAnsi="Times New Roman" w:cs="Times New Roman"/>
        </w:rPr>
        <w:t xml:space="preserve">. </w:t>
      </w:r>
    </w:p>
    <w:p w14:paraId="6FAE2684" w14:textId="7A7D41CA" w:rsidR="005319AE" w:rsidRPr="00641BE8" w:rsidRDefault="005319AE" w:rsidP="006E052A">
      <w:pPr>
        <w:pStyle w:val="FootnoteText"/>
        <w:jc w:val="both"/>
        <w:rPr>
          <w:rFonts w:ascii="Times New Roman" w:hAnsi="Times New Roman" w:cs="Times New Roman"/>
        </w:rPr>
      </w:pPr>
      <w:r w:rsidRPr="009E3481">
        <w:rPr>
          <w:rFonts w:ascii="Times New Roman" w:hAnsi="Times New Roman" w:cs="Times New Roman"/>
          <w:i/>
          <w:iCs/>
        </w:rPr>
        <w:t>Blackstone and Starwood Capital Group Complete Acquisition of Extended Stay America</w:t>
      </w:r>
      <w:r w:rsidRPr="009E3481">
        <w:rPr>
          <w:rFonts w:ascii="Times New Roman" w:hAnsi="Times New Roman" w:cs="Times New Roman"/>
        </w:rPr>
        <w:t xml:space="preserve">. Dostupno na: </w:t>
      </w:r>
      <w:hyperlink r:id="rId16" w:tgtFrame="_blank" w:history="1">
        <w:r w:rsidRPr="009E3481">
          <w:rPr>
            <w:rStyle w:val="Hyperlink"/>
            <w:rFonts w:ascii="Times New Roman" w:hAnsi="Times New Roman" w:cs="Times New Roman"/>
          </w:rPr>
          <w:t>https://www.globenewswire.com/news-release/2021/06/16/2248347/0/en/Blackstone-and-Starwood-Capital-Group-Complete-Acquisition-of-Extended-Stay-America.html</w:t>
        </w:r>
      </w:hyperlink>
      <w:r w:rsidRPr="009E3481">
        <w:rPr>
          <w:rFonts w:ascii="Times New Roman" w:hAnsi="Times New Roman" w:cs="Times New Roman"/>
        </w:rPr>
        <w:t xml:space="preserve"> Pristupljeno: 15. rujna 2024.</w:t>
      </w:r>
    </w:p>
  </w:footnote>
  <w:footnote w:id="22">
    <w:p w14:paraId="070897E2" w14:textId="0B8D9F78" w:rsidR="005319AE" w:rsidRPr="00641BE8" w:rsidRDefault="005319AE" w:rsidP="006E052A">
      <w:pPr>
        <w:pStyle w:val="FootnoteText"/>
        <w:jc w:val="both"/>
        <w:rPr>
          <w:rFonts w:ascii="Times New Roman" w:hAnsi="Times New Roman" w:cs="Times New Roman"/>
        </w:rPr>
      </w:pPr>
      <w:r w:rsidRPr="00641BE8">
        <w:rPr>
          <w:rStyle w:val="FootnoteReference"/>
          <w:rFonts w:ascii="Times New Roman" w:hAnsi="Times New Roman" w:cs="Times New Roman"/>
        </w:rPr>
        <w:footnoteRef/>
      </w:r>
      <w:r w:rsidRPr="00641BE8">
        <w:rPr>
          <w:rFonts w:ascii="Times New Roman" w:hAnsi="Times New Roman" w:cs="Times New Roman"/>
        </w:rPr>
        <w:t xml:space="preserve"> </w:t>
      </w:r>
      <w:r w:rsidRPr="00077320">
        <w:rPr>
          <w:rFonts w:ascii="Times New Roman" w:hAnsi="Times New Roman" w:cs="Times New Roman"/>
        </w:rPr>
        <w:t xml:space="preserve">Business Wire (2021). </w:t>
      </w:r>
      <w:r w:rsidRPr="00077320">
        <w:rPr>
          <w:rFonts w:ascii="Times New Roman" w:hAnsi="Times New Roman" w:cs="Times New Roman"/>
          <w:i/>
          <w:iCs/>
        </w:rPr>
        <w:t>Hilton Grand Vacations Completes Acquisition of Diamond Resorts</w:t>
      </w:r>
      <w:r w:rsidRPr="00077320">
        <w:rPr>
          <w:rFonts w:ascii="Times New Roman" w:hAnsi="Times New Roman" w:cs="Times New Roman"/>
        </w:rPr>
        <w:t xml:space="preserve">. Dostupno na: </w:t>
      </w:r>
      <w:hyperlink r:id="rId17" w:tgtFrame="_blank" w:history="1">
        <w:r w:rsidRPr="00077320">
          <w:rPr>
            <w:rStyle w:val="Hyperlink"/>
            <w:rFonts w:ascii="Times New Roman" w:hAnsi="Times New Roman" w:cs="Times New Roman"/>
          </w:rPr>
          <w:t>https://www.businesswire.com/news/home/20210802005413/en/Hilton-Grand-Vacations-Completes-Acquisition-of-Diamond-Resorts</w:t>
        </w:r>
      </w:hyperlink>
      <w:r w:rsidRPr="00077320">
        <w:rPr>
          <w:rFonts w:ascii="Times New Roman" w:hAnsi="Times New Roman" w:cs="Times New Roman"/>
        </w:rPr>
        <w:t xml:space="preserve"> Pristupljeno: </w:t>
      </w:r>
      <w:r>
        <w:rPr>
          <w:rFonts w:ascii="Times New Roman" w:hAnsi="Times New Roman" w:cs="Times New Roman"/>
        </w:rPr>
        <w:t>23. studenog</w:t>
      </w:r>
      <w:r w:rsidRPr="00077320">
        <w:rPr>
          <w:rFonts w:ascii="Times New Roman" w:hAnsi="Times New Roman" w:cs="Times New Roman"/>
        </w:rPr>
        <w:t xml:space="preserve"> 2024.</w:t>
      </w:r>
    </w:p>
  </w:footnote>
  <w:footnote w:id="23">
    <w:p w14:paraId="6FB76B60" w14:textId="26BA7B83" w:rsidR="005319AE" w:rsidRDefault="005319AE" w:rsidP="006E052A">
      <w:pPr>
        <w:pStyle w:val="FootnoteText"/>
        <w:jc w:val="both"/>
      </w:pPr>
      <w:r w:rsidRPr="00641BE8">
        <w:rPr>
          <w:rStyle w:val="FootnoteReference"/>
          <w:rFonts w:ascii="Times New Roman" w:hAnsi="Times New Roman" w:cs="Times New Roman"/>
        </w:rPr>
        <w:footnoteRef/>
      </w:r>
      <w:r w:rsidRPr="00641BE8">
        <w:rPr>
          <w:rFonts w:ascii="Times New Roman" w:hAnsi="Times New Roman" w:cs="Times New Roman"/>
        </w:rPr>
        <w:t xml:space="preserve"> </w:t>
      </w:r>
      <w:r w:rsidRPr="00077320">
        <w:rPr>
          <w:rFonts w:ascii="Times New Roman" w:hAnsi="Times New Roman" w:cs="Times New Roman"/>
        </w:rPr>
        <w:t xml:space="preserve">Apple Leisure Group (2021). </w:t>
      </w:r>
      <w:r w:rsidRPr="00077320">
        <w:rPr>
          <w:rFonts w:ascii="Times New Roman" w:hAnsi="Times New Roman" w:cs="Times New Roman"/>
          <w:i/>
          <w:iCs/>
        </w:rPr>
        <w:t>Hyatt completes acquisition of Apple Leisure Group</w:t>
      </w:r>
      <w:r w:rsidRPr="00077320">
        <w:rPr>
          <w:rFonts w:ascii="Times New Roman" w:hAnsi="Times New Roman" w:cs="Times New Roman"/>
        </w:rPr>
        <w:t xml:space="preserve">. Dostupno na: </w:t>
      </w:r>
      <w:hyperlink r:id="rId18" w:tgtFrame="_blank" w:history="1">
        <w:r w:rsidRPr="00077320">
          <w:rPr>
            <w:rStyle w:val="Hyperlink"/>
            <w:rFonts w:ascii="Times New Roman" w:hAnsi="Times New Roman" w:cs="Times New Roman"/>
          </w:rPr>
          <w:t>https://www.appleleisuregroup.com/news-articles/hyatt-completes-acquisition-of-apple-leisure-group/</w:t>
        </w:r>
      </w:hyperlink>
      <w:r w:rsidRPr="00077320">
        <w:rPr>
          <w:rFonts w:ascii="Times New Roman" w:hAnsi="Times New Roman" w:cs="Times New Roman"/>
        </w:rPr>
        <w:t xml:space="preserve"> Pristupljeno: 1</w:t>
      </w:r>
      <w:r>
        <w:rPr>
          <w:rFonts w:ascii="Times New Roman" w:hAnsi="Times New Roman" w:cs="Times New Roman"/>
        </w:rPr>
        <w:t>8</w:t>
      </w:r>
      <w:r w:rsidRPr="00077320">
        <w:rPr>
          <w:rFonts w:ascii="Times New Roman" w:hAnsi="Times New Roman" w:cs="Times New Roman"/>
        </w:rPr>
        <w:t>. rujna 2024.</w:t>
      </w:r>
    </w:p>
  </w:footnote>
  <w:footnote w:id="24">
    <w:p w14:paraId="6A9F3D81" w14:textId="414FFA43" w:rsidR="005319AE" w:rsidRPr="00262C95" w:rsidRDefault="005319AE" w:rsidP="006E052A">
      <w:pPr>
        <w:pStyle w:val="FootnoteText"/>
        <w:rPr>
          <w:rFonts w:ascii="Times New Roman" w:hAnsi="Times New Roman" w:cs="Times New Roman"/>
        </w:rPr>
      </w:pPr>
      <w:r>
        <w:rPr>
          <w:rStyle w:val="FootnoteReference"/>
        </w:rPr>
        <w:footnoteRef/>
      </w:r>
      <w:r>
        <w:t xml:space="preserve"> </w:t>
      </w:r>
      <w:r w:rsidRPr="00262C95">
        <w:rPr>
          <w:rFonts w:ascii="Times New Roman" w:hAnsi="Times New Roman" w:cs="Times New Roman"/>
        </w:rPr>
        <w:t xml:space="preserve">Apollo Global Management (2022). </w:t>
      </w:r>
      <w:r w:rsidRPr="00262C95">
        <w:rPr>
          <w:rFonts w:ascii="Times New Roman" w:hAnsi="Times New Roman" w:cs="Times New Roman"/>
          <w:i/>
          <w:iCs/>
        </w:rPr>
        <w:t>Apollo Funds Complete the Acquisition of The Venetian Resort Las Vegas and Venetian Expo Operating Companies</w:t>
      </w:r>
      <w:r w:rsidRPr="00262C95">
        <w:rPr>
          <w:rFonts w:ascii="Times New Roman" w:hAnsi="Times New Roman" w:cs="Times New Roman"/>
        </w:rPr>
        <w:t xml:space="preserve">. Dostupno na: </w:t>
      </w:r>
      <w:hyperlink r:id="rId19" w:tgtFrame="_blank" w:history="1">
        <w:r w:rsidRPr="00262C95">
          <w:rPr>
            <w:rStyle w:val="Hyperlink"/>
            <w:rFonts w:ascii="Times New Roman" w:hAnsi="Times New Roman" w:cs="Times New Roman"/>
          </w:rPr>
          <w:t>https://www.apollo.com/insights-news/pressreleases/2022/02/apollo-funds-complete-the-acquisition-of-the-venetian-resort-las-vegas-and-venetian-expo-operating-companies-211644121</w:t>
        </w:r>
      </w:hyperlink>
      <w:r w:rsidRPr="00262C95">
        <w:rPr>
          <w:rFonts w:ascii="Times New Roman" w:hAnsi="Times New Roman" w:cs="Times New Roman"/>
        </w:rPr>
        <w:t xml:space="preserve"> Pristupljeno: 1</w:t>
      </w:r>
      <w:r>
        <w:rPr>
          <w:rFonts w:ascii="Times New Roman" w:hAnsi="Times New Roman" w:cs="Times New Roman"/>
        </w:rPr>
        <w:t>3</w:t>
      </w:r>
      <w:r w:rsidRPr="00262C95">
        <w:rPr>
          <w:rFonts w:ascii="Times New Roman" w:hAnsi="Times New Roman" w:cs="Times New Roman"/>
        </w:rPr>
        <w:t xml:space="preserve">. </w:t>
      </w:r>
      <w:r>
        <w:rPr>
          <w:rFonts w:ascii="Times New Roman" w:hAnsi="Times New Roman" w:cs="Times New Roman"/>
        </w:rPr>
        <w:t>srpnja</w:t>
      </w:r>
      <w:r w:rsidRPr="00262C95">
        <w:rPr>
          <w:rFonts w:ascii="Times New Roman" w:hAnsi="Times New Roman" w:cs="Times New Roman"/>
        </w:rPr>
        <w:t xml:space="preserve"> 2024.</w:t>
      </w:r>
    </w:p>
  </w:footnote>
  <w:footnote w:id="25">
    <w:p w14:paraId="7A0772F9" w14:textId="131EA59D" w:rsidR="005319AE" w:rsidRDefault="005319AE" w:rsidP="006E052A">
      <w:pPr>
        <w:pStyle w:val="FootnoteText"/>
      </w:pPr>
      <w:r w:rsidRPr="00262C95">
        <w:rPr>
          <w:rStyle w:val="FootnoteReference"/>
          <w:rFonts w:ascii="Times New Roman" w:hAnsi="Times New Roman" w:cs="Times New Roman"/>
        </w:rPr>
        <w:footnoteRef/>
      </w:r>
      <w:r w:rsidRPr="00262C95">
        <w:rPr>
          <w:rFonts w:ascii="Times New Roman" w:hAnsi="Times New Roman" w:cs="Times New Roman"/>
        </w:rPr>
        <w:t xml:space="preserve"> Sonder Holdings (2022). </w:t>
      </w:r>
      <w:r w:rsidRPr="00262C95">
        <w:rPr>
          <w:rFonts w:ascii="Times New Roman" w:hAnsi="Times New Roman" w:cs="Times New Roman"/>
          <w:i/>
          <w:iCs/>
        </w:rPr>
        <w:t>Sonder Holdings Inc. and Gores Metropoulos II Announce Closing of Business Combination</w:t>
      </w:r>
      <w:r w:rsidRPr="00262C95">
        <w:rPr>
          <w:rFonts w:ascii="Times New Roman" w:hAnsi="Times New Roman" w:cs="Times New Roman"/>
        </w:rPr>
        <w:t xml:space="preserve">. Dostupno na: </w:t>
      </w:r>
      <w:hyperlink r:id="rId20" w:tgtFrame="_blank" w:history="1">
        <w:r w:rsidRPr="00262C95">
          <w:rPr>
            <w:rStyle w:val="Hyperlink"/>
            <w:rFonts w:ascii="Times New Roman" w:hAnsi="Times New Roman" w:cs="Times New Roman"/>
          </w:rPr>
          <w:t>https://investors.sonder.com/news-releases/news-release-details/sonder-holdings-inc-and-gores-metropoulos-ii-announce-closing</w:t>
        </w:r>
      </w:hyperlink>
      <w:r w:rsidRPr="00262C95">
        <w:rPr>
          <w:rFonts w:ascii="Times New Roman" w:hAnsi="Times New Roman" w:cs="Times New Roman"/>
        </w:rPr>
        <w:t xml:space="preserve"> Pristupljeno: 15. </w:t>
      </w:r>
      <w:r>
        <w:rPr>
          <w:rFonts w:ascii="Times New Roman" w:hAnsi="Times New Roman" w:cs="Times New Roman"/>
        </w:rPr>
        <w:t>studenog</w:t>
      </w:r>
      <w:r w:rsidRPr="00262C95">
        <w:rPr>
          <w:rFonts w:ascii="Times New Roman" w:hAnsi="Times New Roman" w:cs="Times New Roman"/>
        </w:rPr>
        <w:t xml:space="preserve"> 2024.</w:t>
      </w:r>
    </w:p>
  </w:footnote>
  <w:footnote w:id="26">
    <w:p w14:paraId="1D13BFC9" w14:textId="414EEB91" w:rsidR="005319AE" w:rsidRPr="00B52266" w:rsidRDefault="005319AE" w:rsidP="00B81020">
      <w:pPr>
        <w:pStyle w:val="FootnoteText"/>
        <w:jc w:val="both"/>
        <w:rPr>
          <w:rFonts w:ascii="Times New Roman" w:hAnsi="Times New Roman" w:cs="Times New Roman"/>
        </w:rPr>
      </w:pPr>
      <w:r w:rsidRPr="00B52266">
        <w:rPr>
          <w:rStyle w:val="FootnoteReference"/>
          <w:rFonts w:ascii="Times New Roman" w:hAnsi="Times New Roman" w:cs="Times New Roman"/>
        </w:rPr>
        <w:footnoteRef/>
      </w:r>
      <w:r w:rsidRPr="00B52266">
        <w:rPr>
          <w:rFonts w:ascii="Times New Roman" w:hAnsi="Times New Roman" w:cs="Times New Roman"/>
        </w:rPr>
        <w:t xml:space="preserve"> „Kuponska privatizacija, kao jedan od modela privatizacije poduzeća iz portfelja Hrvatskoga</w:t>
      </w:r>
      <w:r>
        <w:rPr>
          <w:rFonts w:ascii="Times New Roman" w:hAnsi="Times New Roman" w:cs="Times New Roman"/>
        </w:rPr>
        <w:t xml:space="preserve">  </w:t>
      </w:r>
      <w:r w:rsidRPr="00B52266">
        <w:rPr>
          <w:rFonts w:ascii="Times New Roman" w:hAnsi="Times New Roman" w:cs="Times New Roman"/>
        </w:rPr>
        <w:t>fonda za privatizaciju, predstavlja postupak prijenosa, odnosno dodjele dionica bez naplate</w:t>
      </w:r>
      <w:r>
        <w:rPr>
          <w:rFonts w:ascii="Times New Roman" w:hAnsi="Times New Roman" w:cs="Times New Roman"/>
        </w:rPr>
        <w:t xml:space="preserve"> </w:t>
      </w:r>
      <w:r w:rsidRPr="00B52266">
        <w:rPr>
          <w:rFonts w:ascii="Times New Roman" w:hAnsi="Times New Roman" w:cs="Times New Roman"/>
        </w:rPr>
        <w:t>stradalnicima Domovinskoga rata, čime su obuhvaćeni ratni vojni invalidi, obitelji poginulih, zatočenih</w:t>
      </w:r>
      <w:r>
        <w:rPr>
          <w:rFonts w:ascii="Times New Roman" w:hAnsi="Times New Roman" w:cs="Times New Roman"/>
        </w:rPr>
        <w:t xml:space="preserve"> </w:t>
      </w:r>
      <w:r w:rsidRPr="00B52266">
        <w:rPr>
          <w:rFonts w:ascii="Times New Roman" w:hAnsi="Times New Roman" w:cs="Times New Roman"/>
        </w:rPr>
        <w:t>ili nestalih hrvatskih branitelja i civila, hrvatski branitelji, civilni invalidi rata, mirnodopski vojni</w:t>
      </w:r>
      <w:r>
        <w:rPr>
          <w:rFonts w:ascii="Times New Roman" w:hAnsi="Times New Roman" w:cs="Times New Roman"/>
        </w:rPr>
        <w:t xml:space="preserve"> </w:t>
      </w:r>
      <w:r w:rsidRPr="00B52266">
        <w:rPr>
          <w:rFonts w:ascii="Times New Roman" w:hAnsi="Times New Roman" w:cs="Times New Roman"/>
        </w:rPr>
        <w:t>invalidi, prognanici i izbjeglice - povratnici, bivši politički zatvorenici te nezaposleni koji su nekada</w:t>
      </w:r>
      <w:r>
        <w:rPr>
          <w:rFonts w:ascii="Times New Roman" w:hAnsi="Times New Roman" w:cs="Times New Roman"/>
        </w:rPr>
        <w:t xml:space="preserve"> </w:t>
      </w:r>
      <w:r w:rsidRPr="00B52266">
        <w:rPr>
          <w:rFonts w:ascii="Times New Roman" w:hAnsi="Times New Roman" w:cs="Times New Roman"/>
        </w:rPr>
        <w:t>radili u poduzećima čija su sjedišta na prije ratom okupiranom području“ (Republika Hrvatska, Državni ured za reviziju</w:t>
      </w:r>
      <w:r>
        <w:rPr>
          <w:rFonts w:ascii="Times New Roman" w:hAnsi="Times New Roman" w:cs="Times New Roman"/>
        </w:rPr>
        <w:t xml:space="preserve"> </w:t>
      </w:r>
      <w:r w:rsidRPr="00B52266">
        <w:rPr>
          <w:rFonts w:ascii="Times New Roman" w:hAnsi="Times New Roman" w:cs="Times New Roman"/>
        </w:rPr>
        <w:t>2002</w:t>
      </w:r>
      <w:r>
        <w:rPr>
          <w:rFonts w:ascii="Times New Roman" w:hAnsi="Times New Roman" w:cs="Times New Roman"/>
        </w:rPr>
        <w:t>: 2)</w:t>
      </w:r>
    </w:p>
  </w:footnote>
  <w:footnote w:id="27">
    <w:p w14:paraId="19B15100" w14:textId="77777777" w:rsidR="005319AE" w:rsidRPr="00E02412" w:rsidRDefault="005319AE" w:rsidP="00B81020">
      <w:pPr>
        <w:pStyle w:val="FootnoteText"/>
        <w:jc w:val="both"/>
        <w:rPr>
          <w:rFonts w:ascii="Times New Roman" w:hAnsi="Times New Roman" w:cs="Times New Roman"/>
        </w:rPr>
      </w:pPr>
      <w:r w:rsidRPr="00E02412">
        <w:rPr>
          <w:rStyle w:val="FootnoteReference"/>
          <w:rFonts w:ascii="Times New Roman" w:hAnsi="Times New Roman" w:cs="Times New Roman"/>
        </w:rPr>
        <w:footnoteRef/>
      </w:r>
      <w:r w:rsidRPr="00E02412">
        <w:rPr>
          <w:rFonts w:ascii="Times New Roman" w:hAnsi="Times New Roman" w:cs="Times New Roman"/>
        </w:rPr>
        <w:t xml:space="preserve"> izvršitelj privatizacije</w:t>
      </w:r>
    </w:p>
  </w:footnote>
  <w:footnote w:id="28">
    <w:p w14:paraId="427D2259" w14:textId="77777777" w:rsidR="005319AE" w:rsidRPr="001538F5" w:rsidRDefault="005319AE" w:rsidP="006E052A">
      <w:pPr>
        <w:pStyle w:val="FootnoteText"/>
        <w:jc w:val="both"/>
        <w:rPr>
          <w:rFonts w:ascii="Times New Roman" w:hAnsi="Times New Roman" w:cs="Times New Roman"/>
        </w:rPr>
      </w:pPr>
      <w:r w:rsidRPr="00B52266">
        <w:rPr>
          <w:rStyle w:val="FootnoteReference"/>
          <w:rFonts w:ascii="Times New Roman" w:hAnsi="Times New Roman" w:cs="Times New Roman"/>
        </w:rPr>
        <w:footnoteRef/>
      </w:r>
      <w:r w:rsidRPr="00B52266">
        <w:rPr>
          <w:rFonts w:ascii="Times New Roman" w:hAnsi="Times New Roman" w:cs="Times New Roman"/>
        </w:rPr>
        <w:t xml:space="preserve"> </w:t>
      </w:r>
      <w:r w:rsidRPr="00B52266">
        <w:rPr>
          <w:rFonts w:ascii="Times New Roman" w:hAnsi="Times New Roman" w:cs="Times New Roman"/>
          <w:bCs/>
        </w:rPr>
        <w:t>ZRC Lipik gdje ukupni državni portfelj iznosi 90,28 posto dok je raspoloživi državni portfelj vrijedan 2.881.800 kuna; Bizovačke toplice, 99,44 posto, 130.177.500 kuna; HTP Korčula, 52,27 posto, 64.599.300 kuna; Hoteli Podgora, 60,55 posto, 75.437.450 kuna; Hoteli Živogošće, 76,14 posto, 84.247.890 kuna; Hotel Medena, 54,35 posto, 63.394.800 kuna; Hoteli Plat, 92,49 posto, 54.732.000 kuna; Vranjica Belvedere, 68,94 posto, 16.632.610 kuna; HTP Orebić, 68,71 posto, 22.383.600 kuna; Dalma, 91,87 posto, 387.132.110 kuna; Hoteli Maestral, 78,26</w:t>
      </w:r>
      <w:r w:rsidRPr="001538F5">
        <w:rPr>
          <w:rFonts w:ascii="Times New Roman" w:hAnsi="Times New Roman" w:cs="Times New Roman"/>
          <w:bCs/>
        </w:rPr>
        <w:t xml:space="preserve"> posto, 70.397.400 kuna; Hoteli Makarska, 70,54 posto, 92.661.000 kuna; Imperial Rab, 52,35 posto, 127.351.200 kuna; Modra Špilja, 44,57 posto, 7.877.100 kuna.</w:t>
      </w:r>
    </w:p>
  </w:footnote>
  <w:footnote w:id="29">
    <w:p w14:paraId="559B96C2" w14:textId="2679BE6B" w:rsidR="005319AE" w:rsidRPr="009110FF" w:rsidRDefault="005319AE" w:rsidP="006E052A">
      <w:pPr>
        <w:pStyle w:val="FootnoteText"/>
      </w:pPr>
      <w:r>
        <w:rPr>
          <w:rStyle w:val="FootnoteReference"/>
        </w:rPr>
        <w:footnoteRef/>
      </w:r>
      <w:r>
        <w:t xml:space="preserve"> </w:t>
      </w:r>
      <w:r w:rsidRPr="00970943">
        <w:rPr>
          <w:rFonts w:ascii="Times New Roman" w:hAnsi="Times New Roman" w:cs="Times New Roman"/>
        </w:rPr>
        <w:t xml:space="preserve">Plava laguna d.d., </w:t>
      </w:r>
      <w:r w:rsidRPr="00970943">
        <w:rPr>
          <w:rFonts w:ascii="Times New Roman" w:hAnsi="Times New Roman" w:cs="Times New Roman"/>
          <w:i/>
          <w:iCs/>
        </w:rPr>
        <w:t>O nama</w:t>
      </w:r>
      <w:r w:rsidRPr="00970943">
        <w:rPr>
          <w:rFonts w:ascii="Times New Roman" w:hAnsi="Times New Roman" w:cs="Times New Roman"/>
        </w:rPr>
        <w:t>, dostpuno na:</w:t>
      </w:r>
      <w:r w:rsidRPr="00970943">
        <w:t xml:space="preserve"> </w:t>
      </w:r>
      <w:hyperlink r:id="rId21" w:history="1">
        <w:r w:rsidRPr="006B48F1">
          <w:rPr>
            <w:rStyle w:val="Hyperlink"/>
          </w:rPr>
          <w:t>https://biz.plavalaguna.hr/hr/o-nama</w:t>
        </w:r>
      </w:hyperlink>
      <w:r>
        <w:t xml:space="preserve"> Pristupljeno: 1. travanj 2024.</w:t>
      </w:r>
    </w:p>
  </w:footnote>
  <w:footnote w:id="30">
    <w:p w14:paraId="78E243B5" w14:textId="77777777" w:rsidR="005319AE" w:rsidRPr="009110FF" w:rsidRDefault="005319AE" w:rsidP="006D6373">
      <w:pPr>
        <w:pStyle w:val="FootnoteText"/>
      </w:pPr>
      <w:r>
        <w:rPr>
          <w:rStyle w:val="FootnoteReference"/>
        </w:rPr>
        <w:footnoteRef/>
      </w:r>
      <w:r>
        <w:t xml:space="preserve"> </w:t>
      </w:r>
      <w:r w:rsidRPr="00970943">
        <w:rPr>
          <w:rFonts w:ascii="Times New Roman" w:hAnsi="Times New Roman" w:cs="Times New Roman"/>
        </w:rPr>
        <w:t xml:space="preserve">Plava laguna d.d., </w:t>
      </w:r>
      <w:r w:rsidRPr="00970943">
        <w:rPr>
          <w:rFonts w:ascii="Times New Roman" w:hAnsi="Times New Roman" w:cs="Times New Roman"/>
          <w:i/>
          <w:iCs/>
        </w:rPr>
        <w:t>O nama</w:t>
      </w:r>
      <w:r w:rsidRPr="00970943">
        <w:rPr>
          <w:rFonts w:ascii="Times New Roman" w:hAnsi="Times New Roman" w:cs="Times New Roman"/>
        </w:rPr>
        <w:t>, dostpuno na:</w:t>
      </w:r>
      <w:r w:rsidRPr="00970943">
        <w:t xml:space="preserve"> </w:t>
      </w:r>
      <w:hyperlink r:id="rId22" w:history="1">
        <w:r w:rsidRPr="006B48F1">
          <w:rPr>
            <w:rStyle w:val="Hyperlink"/>
          </w:rPr>
          <w:t>https://biz.plavalaguna.hr/hr/o-nama</w:t>
        </w:r>
      </w:hyperlink>
      <w:r>
        <w:t xml:space="preserve"> Pristupljeno: 1. travanj 2024.</w:t>
      </w:r>
    </w:p>
    <w:p w14:paraId="4CF375EE" w14:textId="1B4C7C6E" w:rsidR="005319AE" w:rsidRPr="009110FF" w:rsidRDefault="005319AE" w:rsidP="006E052A">
      <w:pPr>
        <w:pStyle w:val="FootnoteText"/>
      </w:pPr>
    </w:p>
  </w:footnote>
  <w:footnote w:id="31">
    <w:p w14:paraId="3300030E" w14:textId="77777777"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hyperlink r:id="rId23" w:history="1">
        <w:r w:rsidRPr="002C4F97">
          <w:rPr>
            <w:rStyle w:val="Hyperlink"/>
            <w:rFonts w:ascii="Times New Roman" w:hAnsi="Times New Roman" w:cs="Times New Roman"/>
          </w:rPr>
          <w:t>https://valamar-riviera.com/hr/investitori/financijske-objave/obavijest-o-sklapanju-ugovora-o-kupnji-dionica-drustva-imperial-dd-rab/</w:t>
        </w:r>
      </w:hyperlink>
      <w:r w:rsidRPr="002C4F97">
        <w:rPr>
          <w:rFonts w:ascii="Times New Roman" w:hAnsi="Times New Roman" w:cs="Times New Roman"/>
        </w:rPr>
        <w:t xml:space="preserve"> </w:t>
      </w:r>
    </w:p>
  </w:footnote>
  <w:footnote w:id="32">
    <w:p w14:paraId="2281F087" w14:textId="77777777"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https://biz.plavalaguna.hr/hr/o-nama</w:t>
      </w:r>
    </w:p>
  </w:footnote>
  <w:footnote w:id="33">
    <w:p w14:paraId="6DF5269C" w14:textId="789ED967"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B12445">
        <w:rPr>
          <w:rFonts w:ascii="Times New Roman" w:hAnsi="Times New Roman" w:cs="Times New Roman"/>
        </w:rPr>
        <w:t xml:space="preserve">Adris grupa (2018). </w:t>
      </w:r>
      <w:r w:rsidRPr="00B12445">
        <w:rPr>
          <w:rFonts w:ascii="Times New Roman" w:hAnsi="Times New Roman" w:cs="Times New Roman"/>
          <w:i/>
          <w:iCs/>
        </w:rPr>
        <w:t>Adris grupa i HUP Zagreb potpisali ugovor o strateškom partnerstvu</w:t>
      </w:r>
      <w:r w:rsidRPr="00B12445">
        <w:rPr>
          <w:rFonts w:ascii="Times New Roman" w:hAnsi="Times New Roman" w:cs="Times New Roman"/>
        </w:rPr>
        <w:t xml:space="preserve">. Dostupno na: </w:t>
      </w:r>
      <w:hyperlink r:id="rId24" w:tgtFrame="_blank" w:history="1">
        <w:r w:rsidRPr="00B12445">
          <w:rPr>
            <w:rStyle w:val="Hyperlink"/>
            <w:rFonts w:ascii="Times New Roman" w:hAnsi="Times New Roman" w:cs="Times New Roman"/>
          </w:rPr>
          <w:t>https://www.adris.hr/odnosi-s-javnoscu/vijesti/adris-grupa-i-hup-zagreb-potpisali-ugovor-o-strateskom-partnerstvu/</w:t>
        </w:r>
      </w:hyperlink>
      <w:r w:rsidRPr="00B12445">
        <w:rPr>
          <w:rFonts w:ascii="Times New Roman" w:hAnsi="Times New Roman" w:cs="Times New Roman"/>
        </w:rPr>
        <w:t xml:space="preserve"> Pristupljeno: </w:t>
      </w:r>
      <w:r>
        <w:rPr>
          <w:rFonts w:ascii="Times New Roman" w:hAnsi="Times New Roman" w:cs="Times New Roman"/>
        </w:rPr>
        <w:t>16. svibnja</w:t>
      </w:r>
      <w:r w:rsidRPr="00B12445">
        <w:rPr>
          <w:rFonts w:ascii="Times New Roman" w:hAnsi="Times New Roman" w:cs="Times New Roman"/>
        </w:rPr>
        <w:t xml:space="preserve"> 2024.</w:t>
      </w:r>
    </w:p>
  </w:footnote>
  <w:footnote w:id="34">
    <w:p w14:paraId="70D71805" w14:textId="771027BF"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5069E8">
        <w:rPr>
          <w:rFonts w:ascii="Times New Roman" w:hAnsi="Times New Roman" w:cs="Times New Roman"/>
        </w:rPr>
        <w:t xml:space="preserve">Valamar Riviera (2018). </w:t>
      </w:r>
      <w:r w:rsidRPr="005069E8">
        <w:rPr>
          <w:rFonts w:ascii="Times New Roman" w:hAnsi="Times New Roman" w:cs="Times New Roman"/>
          <w:i/>
          <w:iCs/>
        </w:rPr>
        <w:t>Obavijest o sklapanju ugovora o kupnji dionica društva Hoteli Makarska d.d.</w:t>
      </w:r>
      <w:r w:rsidRPr="005069E8">
        <w:rPr>
          <w:rFonts w:ascii="Times New Roman" w:hAnsi="Times New Roman" w:cs="Times New Roman"/>
        </w:rPr>
        <w:t xml:space="preserve"> Dostupno na: </w:t>
      </w:r>
      <w:hyperlink r:id="rId25" w:tgtFrame="_blank" w:history="1">
        <w:r w:rsidRPr="005069E8">
          <w:rPr>
            <w:rStyle w:val="Hyperlink"/>
            <w:rFonts w:ascii="Times New Roman" w:hAnsi="Times New Roman" w:cs="Times New Roman"/>
          </w:rPr>
          <w:t>https://valamar-riviera.com/hr/investitori/financijske-objave/obavijest-o-sklapanju-ugovora-o-kupnji-dionica-drus-tva-hoteli-makarska-dd/</w:t>
        </w:r>
      </w:hyperlink>
      <w:r w:rsidRPr="005069E8">
        <w:rPr>
          <w:rFonts w:ascii="Times New Roman" w:hAnsi="Times New Roman" w:cs="Times New Roman"/>
        </w:rPr>
        <w:t xml:space="preserve"> Pristupljeno: </w:t>
      </w:r>
      <w:r>
        <w:rPr>
          <w:rFonts w:ascii="Times New Roman" w:hAnsi="Times New Roman" w:cs="Times New Roman"/>
        </w:rPr>
        <w:t>2</w:t>
      </w:r>
      <w:r w:rsidRPr="005069E8">
        <w:rPr>
          <w:rFonts w:ascii="Times New Roman" w:hAnsi="Times New Roman" w:cs="Times New Roman"/>
        </w:rPr>
        <w:t xml:space="preserve">5. </w:t>
      </w:r>
      <w:r>
        <w:rPr>
          <w:rFonts w:ascii="Times New Roman" w:hAnsi="Times New Roman" w:cs="Times New Roman"/>
        </w:rPr>
        <w:t>travnja</w:t>
      </w:r>
      <w:r w:rsidRPr="005069E8">
        <w:rPr>
          <w:rFonts w:ascii="Times New Roman" w:hAnsi="Times New Roman" w:cs="Times New Roman"/>
        </w:rPr>
        <w:t xml:space="preserve"> 2024.</w:t>
      </w:r>
    </w:p>
  </w:footnote>
  <w:footnote w:id="35">
    <w:p w14:paraId="06C160A5" w14:textId="2327C4AA"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B06B2C">
        <w:rPr>
          <w:rFonts w:ascii="Times New Roman" w:hAnsi="Times New Roman" w:cs="Times New Roman"/>
        </w:rPr>
        <w:t xml:space="preserve">AZ fond (2018). </w:t>
      </w:r>
      <w:r w:rsidRPr="00B06B2C">
        <w:rPr>
          <w:rFonts w:ascii="Times New Roman" w:hAnsi="Times New Roman" w:cs="Times New Roman"/>
          <w:i/>
          <w:iCs/>
        </w:rPr>
        <w:t>Valamar Riviera potpisala ugovor o prodaji i prijenosu dionica Hotela Makarska</w:t>
      </w:r>
      <w:r w:rsidRPr="00B06B2C">
        <w:rPr>
          <w:rFonts w:ascii="Times New Roman" w:hAnsi="Times New Roman" w:cs="Times New Roman"/>
        </w:rPr>
        <w:t xml:space="preserve">. Dostupno na: </w:t>
      </w:r>
      <w:hyperlink r:id="rId26" w:tgtFrame="_blank" w:history="1">
        <w:r w:rsidRPr="00B06B2C">
          <w:rPr>
            <w:rStyle w:val="Hyperlink"/>
            <w:rFonts w:ascii="Times New Roman" w:hAnsi="Times New Roman" w:cs="Times New Roman"/>
          </w:rPr>
          <w:t>https://www.azfond.hr/valamar-riviera-potpisala-ugovor-o-prodaji-i-prijenosu-dionica-hotela-makarska/</w:t>
        </w:r>
      </w:hyperlink>
      <w:r w:rsidRPr="00B06B2C">
        <w:rPr>
          <w:rFonts w:ascii="Times New Roman" w:hAnsi="Times New Roman" w:cs="Times New Roman"/>
        </w:rPr>
        <w:t xml:space="preserve"> Pristupljeno: 1</w:t>
      </w:r>
      <w:r>
        <w:rPr>
          <w:rFonts w:ascii="Times New Roman" w:hAnsi="Times New Roman" w:cs="Times New Roman"/>
        </w:rPr>
        <w:t>8</w:t>
      </w:r>
      <w:r w:rsidRPr="00B06B2C">
        <w:rPr>
          <w:rFonts w:ascii="Times New Roman" w:hAnsi="Times New Roman" w:cs="Times New Roman"/>
        </w:rPr>
        <w:t>. rujna 2024.</w:t>
      </w:r>
    </w:p>
  </w:footnote>
  <w:footnote w:id="36">
    <w:p w14:paraId="43A551EA" w14:textId="0A8AA6C7" w:rsidR="005319AE" w:rsidRPr="00880991" w:rsidRDefault="005319AE" w:rsidP="006E052A">
      <w:pPr>
        <w:pStyle w:val="FootnoteText"/>
        <w:jc w:val="both"/>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5A084D">
        <w:rPr>
          <w:rFonts w:ascii="Times New Roman" w:hAnsi="Times New Roman" w:cs="Times New Roman"/>
        </w:rPr>
        <w:t xml:space="preserve">Imperial Riviera (2024). </w:t>
      </w:r>
      <w:r w:rsidRPr="005A084D">
        <w:rPr>
          <w:rFonts w:ascii="Times New Roman" w:hAnsi="Times New Roman" w:cs="Times New Roman"/>
          <w:i/>
          <w:iCs/>
        </w:rPr>
        <w:t>Povijest - Hoteli Makarska d.d.</w:t>
      </w:r>
      <w:r w:rsidRPr="005A084D">
        <w:rPr>
          <w:rFonts w:ascii="Times New Roman" w:hAnsi="Times New Roman" w:cs="Times New Roman"/>
        </w:rPr>
        <w:t xml:space="preserve"> Dostupno na: </w:t>
      </w:r>
      <w:hyperlink r:id="rId27" w:tgtFrame="_blank" w:history="1">
        <w:r w:rsidRPr="005A084D">
          <w:rPr>
            <w:rStyle w:val="Hyperlink"/>
            <w:rFonts w:ascii="Times New Roman" w:hAnsi="Times New Roman" w:cs="Times New Roman"/>
          </w:rPr>
          <w:t>http://www.imperial-riviera.hr/hr/o-nama/povijest-hoteli-makarska-d-d/</w:t>
        </w:r>
      </w:hyperlink>
      <w:r w:rsidRPr="005A084D">
        <w:rPr>
          <w:rFonts w:ascii="Times New Roman" w:hAnsi="Times New Roman" w:cs="Times New Roman"/>
        </w:rPr>
        <w:t xml:space="preserve"> Pristupljeno: 15. rujna 2024.</w:t>
      </w:r>
    </w:p>
  </w:footnote>
  <w:footnote w:id="37">
    <w:p w14:paraId="38444BC9" w14:textId="41682039"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130DB0">
        <w:rPr>
          <w:rFonts w:ascii="Times New Roman" w:hAnsi="Times New Roman" w:cs="Times New Roman"/>
        </w:rPr>
        <w:t xml:space="preserve">Poslovni dnevnik (2018). </w:t>
      </w:r>
      <w:r w:rsidRPr="00130DB0">
        <w:rPr>
          <w:rFonts w:ascii="Times New Roman" w:hAnsi="Times New Roman" w:cs="Times New Roman"/>
          <w:i/>
          <w:iCs/>
        </w:rPr>
        <w:t>Adris grupa preuzela još 152.745 dionica HUP-a Zagreb</w:t>
      </w:r>
      <w:r w:rsidRPr="00130DB0">
        <w:rPr>
          <w:rFonts w:ascii="Times New Roman" w:hAnsi="Times New Roman" w:cs="Times New Roman"/>
        </w:rPr>
        <w:t xml:space="preserve">. Dostupno na: </w:t>
      </w:r>
      <w:hyperlink r:id="rId28" w:tgtFrame="_blank" w:history="1">
        <w:r w:rsidRPr="00130DB0">
          <w:rPr>
            <w:rStyle w:val="Hyperlink"/>
            <w:rFonts w:ascii="Times New Roman" w:hAnsi="Times New Roman" w:cs="Times New Roman"/>
          </w:rPr>
          <w:t>https://www.poslovni.hr/domace/adris-grupa-preuzela-jos-152745-dionica-hup-a-zagreb-342228</w:t>
        </w:r>
      </w:hyperlink>
      <w:r w:rsidRPr="00130DB0">
        <w:rPr>
          <w:rFonts w:ascii="Times New Roman" w:hAnsi="Times New Roman" w:cs="Times New Roman"/>
        </w:rPr>
        <w:t xml:space="preserve"> Pristupljeno: 15. rujna 2024.</w:t>
      </w:r>
    </w:p>
  </w:footnote>
  <w:footnote w:id="38">
    <w:p w14:paraId="2F1C2654" w14:textId="2A6B24A4" w:rsidR="005319AE" w:rsidRPr="002C4F97" w:rsidRDefault="005319AE" w:rsidP="006E052A">
      <w:pPr>
        <w:pStyle w:val="FootnoteText"/>
        <w:jc w:val="both"/>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596892">
        <w:rPr>
          <w:rFonts w:ascii="Times New Roman" w:hAnsi="Times New Roman" w:cs="Times New Roman"/>
        </w:rPr>
        <w:t xml:space="preserve">Imperial Riviera (2024). </w:t>
      </w:r>
      <w:r w:rsidRPr="00596892">
        <w:rPr>
          <w:rFonts w:ascii="Times New Roman" w:hAnsi="Times New Roman" w:cs="Times New Roman"/>
          <w:i/>
          <w:iCs/>
        </w:rPr>
        <w:t>Povijest - Hoteli Makarska d.d.</w:t>
      </w:r>
      <w:r w:rsidRPr="00596892">
        <w:rPr>
          <w:rFonts w:ascii="Times New Roman" w:hAnsi="Times New Roman" w:cs="Times New Roman"/>
        </w:rPr>
        <w:t xml:space="preserve"> Dostupno na: </w:t>
      </w:r>
      <w:hyperlink r:id="rId29" w:tgtFrame="_blank" w:history="1">
        <w:r w:rsidRPr="00596892">
          <w:rPr>
            <w:rStyle w:val="Hyperlink"/>
            <w:rFonts w:ascii="Times New Roman" w:hAnsi="Times New Roman" w:cs="Times New Roman"/>
          </w:rPr>
          <w:t>http://www.imperial-riviera.hr/hr/o-nama/povijest-hoteli-makarska-d-d/</w:t>
        </w:r>
      </w:hyperlink>
      <w:r w:rsidRPr="00596892">
        <w:rPr>
          <w:rFonts w:ascii="Times New Roman" w:hAnsi="Times New Roman" w:cs="Times New Roman"/>
        </w:rPr>
        <w:t xml:space="preserve"> Pristupljeno: 15. rujna 2024.</w:t>
      </w:r>
    </w:p>
  </w:footnote>
  <w:footnote w:id="39">
    <w:p w14:paraId="65F722DB" w14:textId="1D8C0D61" w:rsidR="005319AE" w:rsidRPr="00F93B54" w:rsidRDefault="005319AE" w:rsidP="006E052A">
      <w:pPr>
        <w:pStyle w:val="FootnoteText"/>
        <w:jc w:val="both"/>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B77DC4">
        <w:rPr>
          <w:rFonts w:ascii="Times New Roman" w:hAnsi="Times New Roman" w:cs="Times New Roman"/>
        </w:rPr>
        <w:t xml:space="preserve">Poslovni dnevnik (2020). </w:t>
      </w:r>
      <w:r w:rsidRPr="00B77DC4">
        <w:rPr>
          <w:rFonts w:ascii="Times New Roman" w:hAnsi="Times New Roman" w:cs="Times New Roman"/>
          <w:i/>
          <w:iCs/>
        </w:rPr>
        <w:t>Laguna Novigrad preuzima Dalmacija hotele, HTP Korčulu i HTP Orebić</w:t>
      </w:r>
      <w:r w:rsidRPr="00B77DC4">
        <w:rPr>
          <w:rFonts w:ascii="Times New Roman" w:hAnsi="Times New Roman" w:cs="Times New Roman"/>
        </w:rPr>
        <w:t xml:space="preserve">. Dostupno na: </w:t>
      </w:r>
      <w:hyperlink r:id="rId30" w:tgtFrame="_blank" w:history="1">
        <w:r w:rsidRPr="00B77DC4">
          <w:rPr>
            <w:rStyle w:val="Hyperlink"/>
            <w:rFonts w:ascii="Times New Roman" w:hAnsi="Times New Roman" w:cs="Times New Roman"/>
          </w:rPr>
          <w:t>https://www.poslovni.hr/kompanije/laguna-novigrad-preuzima-dalmacija-hotele-htp-korculu-i-htp-orebic-4257954</w:t>
        </w:r>
      </w:hyperlink>
      <w:r w:rsidRPr="00B77DC4">
        <w:rPr>
          <w:rFonts w:ascii="Times New Roman" w:hAnsi="Times New Roman" w:cs="Times New Roman"/>
        </w:rPr>
        <w:t xml:space="preserve"> Pristupljeno: </w:t>
      </w:r>
      <w:r>
        <w:rPr>
          <w:rFonts w:ascii="Times New Roman" w:hAnsi="Times New Roman" w:cs="Times New Roman"/>
        </w:rPr>
        <w:t>2</w:t>
      </w:r>
      <w:r w:rsidRPr="00B77DC4">
        <w:rPr>
          <w:rFonts w:ascii="Times New Roman" w:hAnsi="Times New Roman" w:cs="Times New Roman"/>
        </w:rPr>
        <w:t>5. rujna 2024.</w:t>
      </w:r>
    </w:p>
  </w:footnote>
  <w:footnote w:id="40">
    <w:p w14:paraId="55010A31" w14:textId="66820828" w:rsidR="005319AE" w:rsidRPr="002C4F97" w:rsidRDefault="005319AE" w:rsidP="006E052A">
      <w:pPr>
        <w:pStyle w:val="FootnoteText"/>
        <w:rPr>
          <w:rFonts w:ascii="Times New Roman" w:hAnsi="Times New Roman" w:cs="Times New Roman"/>
        </w:rPr>
      </w:pPr>
      <w:r w:rsidRPr="002C4F97">
        <w:rPr>
          <w:rStyle w:val="FootnoteReference"/>
          <w:rFonts w:ascii="Times New Roman" w:hAnsi="Times New Roman" w:cs="Times New Roman"/>
        </w:rPr>
        <w:footnoteRef/>
      </w:r>
      <w:r w:rsidRPr="002C4F97">
        <w:rPr>
          <w:rFonts w:ascii="Times New Roman" w:hAnsi="Times New Roman" w:cs="Times New Roman"/>
        </w:rPr>
        <w:t xml:space="preserve"> </w:t>
      </w:r>
      <w:r w:rsidRPr="00C31E80">
        <w:rPr>
          <w:rFonts w:ascii="Times New Roman" w:hAnsi="Times New Roman" w:cs="Times New Roman"/>
        </w:rPr>
        <w:t xml:space="preserve">Plava Laguna (2024). </w:t>
      </w:r>
      <w:r w:rsidRPr="00C31E80">
        <w:rPr>
          <w:rFonts w:ascii="Times New Roman" w:hAnsi="Times New Roman" w:cs="Times New Roman"/>
          <w:i/>
          <w:iCs/>
        </w:rPr>
        <w:t>O nama</w:t>
      </w:r>
      <w:r w:rsidRPr="00C31E80">
        <w:rPr>
          <w:rFonts w:ascii="Times New Roman" w:hAnsi="Times New Roman" w:cs="Times New Roman"/>
        </w:rPr>
        <w:t xml:space="preserve">. Dostupno na: </w:t>
      </w:r>
      <w:hyperlink r:id="rId31" w:tgtFrame="_blank" w:history="1">
        <w:r w:rsidRPr="00C31E80">
          <w:rPr>
            <w:rStyle w:val="Hyperlink"/>
            <w:rFonts w:ascii="Times New Roman" w:hAnsi="Times New Roman" w:cs="Times New Roman"/>
          </w:rPr>
          <w:t>https://biz.plavalaguna.hr/hr/o-nama</w:t>
        </w:r>
      </w:hyperlink>
      <w:r w:rsidRPr="00C31E80">
        <w:rPr>
          <w:rFonts w:ascii="Times New Roman" w:hAnsi="Times New Roman" w:cs="Times New Roman"/>
        </w:rPr>
        <w:t xml:space="preserve"> Pristupljeno: </w:t>
      </w:r>
      <w:r>
        <w:rPr>
          <w:rFonts w:ascii="Times New Roman" w:hAnsi="Times New Roman" w:cs="Times New Roman"/>
        </w:rPr>
        <w:t>2</w:t>
      </w:r>
      <w:r w:rsidRPr="00C31E80">
        <w:rPr>
          <w:rFonts w:ascii="Times New Roman" w:hAnsi="Times New Roman" w:cs="Times New Roman"/>
        </w:rPr>
        <w:t>5. rujna 2024.</w:t>
      </w:r>
    </w:p>
  </w:footnote>
  <w:footnote w:id="41">
    <w:p w14:paraId="23F0E374" w14:textId="77777777" w:rsidR="005319AE" w:rsidRDefault="005319AE" w:rsidP="006E052A">
      <w:pPr>
        <w:pStyle w:val="FootnoteText"/>
      </w:pPr>
      <w:r>
        <w:rPr>
          <w:rStyle w:val="FootnoteReference"/>
        </w:rPr>
        <w:footnoteRef/>
      </w:r>
      <w:r>
        <w:t xml:space="preserve"> </w:t>
      </w:r>
      <w:r w:rsidRPr="000B7B24">
        <w:t>dodatni iznos koji je kupac spreman platiti kako bi u konačnici mogao kontrolirati sve poslovne odluke koje se donose i koja je ukalkulirana u cijenu preuzimanja, a računa se na način da se od dogovorene cijene preuzimanja oduzme tržišna kapitalizacija društva</w:t>
      </w:r>
    </w:p>
  </w:footnote>
  <w:footnote w:id="42">
    <w:p w14:paraId="6B5290F6" w14:textId="77777777" w:rsidR="005319AE" w:rsidRDefault="005319AE" w:rsidP="006E052A">
      <w:pPr>
        <w:pStyle w:val="FootnoteText"/>
      </w:pPr>
      <w:r>
        <w:rPr>
          <w:rStyle w:val="FootnoteReference"/>
        </w:rPr>
        <w:footnoteRef/>
      </w:r>
      <w:r>
        <w:t xml:space="preserve"> Do akulturacije dolazi </w:t>
      </w:r>
      <w:r w:rsidRPr="00464CB8">
        <w:t xml:space="preserve"> kada kontakt između dviju autonomnih kultura zahtijeva promjene u jednoj ili obje grupe (Berry, 1980).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76AA" w14:textId="77777777" w:rsidR="00A97076" w:rsidRDefault="00A97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C172D" w14:textId="77777777" w:rsidR="00A97076" w:rsidRDefault="00A970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E0A0" w14:textId="77777777" w:rsidR="00A97076" w:rsidRDefault="00A970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C805" w14:textId="77777777" w:rsidR="005319AE" w:rsidRDefault="005319AE">
    <w:pPr>
      <w:pStyle w:val="Header"/>
    </w:pPr>
    <w:r>
      <w:rPr>
        <w:noProof/>
        <w:lang w:eastAsia="hr-HR"/>
        <w14:ligatures w14:val="none"/>
      </w:rPr>
      <mc:AlternateContent>
        <mc:Choice Requires="wps">
          <w:drawing>
            <wp:anchor distT="0" distB="0" distL="0" distR="0" simplePos="0" relativeHeight="251660288" behindDoc="0" locked="0" layoutInCell="1" allowOverlap="1" wp14:anchorId="561E366B" wp14:editId="601A93BE">
              <wp:simplePos x="635" y="635"/>
              <wp:positionH relativeFrom="page">
                <wp:align>left</wp:align>
              </wp:positionH>
              <wp:positionV relativeFrom="page">
                <wp:align>top</wp:align>
              </wp:positionV>
              <wp:extent cx="2016125" cy="357505"/>
              <wp:effectExtent l="0" t="0" r="3175" b="4445"/>
              <wp:wrapNone/>
              <wp:docPr id="1096266097" name="Text Box 2" descr="Classification: Valamar_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16125" cy="357505"/>
                      </a:xfrm>
                      <a:prstGeom prst="rect">
                        <a:avLst/>
                      </a:prstGeom>
                      <a:noFill/>
                      <a:ln>
                        <a:noFill/>
                      </a:ln>
                    </wps:spPr>
                    <wps:txbx>
                      <w:txbxContent>
                        <w:p w14:paraId="60BEA528" w14:textId="77777777" w:rsidR="005319AE" w:rsidRPr="00720668" w:rsidRDefault="005319AE" w:rsidP="003C2F5B">
                          <w:pPr>
                            <w:spacing w:after="0"/>
                            <w:rPr>
                              <w:rFonts w:ascii="Aptos" w:eastAsia="Aptos" w:hAnsi="Aptos" w:cs="Aptos"/>
                              <w:noProof/>
                              <w:color w:val="000000"/>
                              <w:sz w:val="20"/>
                              <w:szCs w:val="20"/>
                            </w:rPr>
                          </w:pPr>
                          <w:r w:rsidRPr="00720668">
                            <w:rPr>
                              <w:rFonts w:ascii="Aptos" w:eastAsia="Aptos" w:hAnsi="Aptos" w:cs="Aptos"/>
                              <w:noProof/>
                              <w:color w:val="000000"/>
                              <w:sz w:val="20"/>
                              <w:szCs w:val="20"/>
                            </w:rPr>
                            <w:t>Classification: Valamar_Internal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1E366B" id="_x0000_t202" coordsize="21600,21600" o:spt="202" path="m,l,21600r21600,l21600,xe">
              <v:stroke joinstyle="miter"/>
              <v:path gradientshapeok="t" o:connecttype="rect"/>
            </v:shapetype>
            <v:shape id="Text Box 2" o:spid="_x0000_s1026" type="#_x0000_t202" alt="Classification: Valamar_Internal" style="position:absolute;margin-left:0;margin-top:0;width:158.7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" filled="f" stroked="f">
              <v:textbox style="mso-fit-shape-to-text:t" inset="20pt,15pt,0,0">
                <w:txbxContent>
                  <w:p w14:paraId="60BEA528" w14:textId="77777777" w:rsidR="005319AE" w:rsidRPr="00720668" w:rsidRDefault="005319AE" w:rsidP="003C2F5B">
                    <w:pPr>
                      <w:spacing w:after="0"/>
                      <w:rPr>
                        <w:rFonts w:ascii="Aptos" w:eastAsia="Aptos" w:hAnsi="Aptos" w:cs="Aptos"/>
                        <w:noProof/>
                        <w:color w:val="000000"/>
                        <w:sz w:val="20"/>
                        <w:szCs w:val="20"/>
                      </w:rPr>
                    </w:pPr>
                    <w:r w:rsidRPr="00720668">
                      <w:rPr>
                        <w:rFonts w:ascii="Aptos" w:eastAsia="Aptos" w:hAnsi="Aptos" w:cs="Aptos"/>
                        <w:noProof/>
                        <w:color w:val="000000"/>
                        <w:sz w:val="20"/>
                        <w:szCs w:val="20"/>
                      </w:rPr>
                      <w:t>Classification: Valamar_Internal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EA56" w14:textId="1D8498AF" w:rsidR="005319AE" w:rsidRDefault="005319A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4899" w14:textId="77777777" w:rsidR="005319AE" w:rsidRDefault="005319AE">
    <w:pPr>
      <w:pStyle w:val="Header"/>
    </w:pPr>
    <w:r>
      <w:rPr>
        <w:noProof/>
        <w:lang w:eastAsia="hr-HR"/>
        <w14:ligatures w14:val="none"/>
      </w:rPr>
      <mc:AlternateContent>
        <mc:Choice Requires="wps">
          <w:drawing>
            <wp:anchor distT="0" distB="0" distL="0" distR="0" simplePos="0" relativeHeight="251659264" behindDoc="0" locked="0" layoutInCell="1" allowOverlap="1" wp14:anchorId="4EF982BB" wp14:editId="55192CE1">
              <wp:simplePos x="635" y="635"/>
              <wp:positionH relativeFrom="page">
                <wp:align>left</wp:align>
              </wp:positionH>
              <wp:positionV relativeFrom="page">
                <wp:align>top</wp:align>
              </wp:positionV>
              <wp:extent cx="2016125" cy="357505"/>
              <wp:effectExtent l="0" t="0" r="3175" b="4445"/>
              <wp:wrapNone/>
              <wp:docPr id="1621517594" name="Text Box 1" descr="Classification: Valamar_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16125" cy="357505"/>
                      </a:xfrm>
                      <a:prstGeom prst="rect">
                        <a:avLst/>
                      </a:prstGeom>
                      <a:noFill/>
                      <a:ln>
                        <a:noFill/>
                      </a:ln>
                    </wps:spPr>
                    <wps:txbx>
                      <w:txbxContent>
                        <w:p w14:paraId="504EA357" w14:textId="77777777" w:rsidR="005319AE" w:rsidRPr="00720668" w:rsidRDefault="005319AE" w:rsidP="003C2F5B">
                          <w:pPr>
                            <w:spacing w:after="0"/>
                            <w:rPr>
                              <w:rFonts w:ascii="Aptos" w:eastAsia="Aptos" w:hAnsi="Aptos" w:cs="Aptos"/>
                              <w:noProof/>
                              <w:color w:val="000000"/>
                              <w:sz w:val="20"/>
                              <w:szCs w:val="20"/>
                            </w:rPr>
                          </w:pPr>
                          <w:r w:rsidRPr="00720668">
                            <w:rPr>
                              <w:rFonts w:ascii="Aptos" w:eastAsia="Aptos" w:hAnsi="Aptos" w:cs="Aptos"/>
                              <w:noProof/>
                              <w:color w:val="000000"/>
                              <w:sz w:val="20"/>
                              <w:szCs w:val="20"/>
                            </w:rPr>
                            <w:t>Classification: Valamar_Internal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EF982BB" id="_x0000_t202" coordsize="21600,21600" o:spt="202" path="m,l,21600r21600,l21600,xe">
              <v:stroke joinstyle="miter"/>
              <v:path gradientshapeok="t" o:connecttype="rect"/>
            </v:shapetype>
            <v:shape id="Text Box 1" o:spid="_x0000_s1027" type="#_x0000_t202" alt="Classification: Valamar_Internal" style="position:absolute;margin-left:0;margin-top:0;width:158.7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" filled="f" stroked="f">
              <v:textbox style="mso-fit-shape-to-text:t" inset="20pt,15pt,0,0">
                <w:txbxContent>
                  <w:p w14:paraId="504EA357" w14:textId="77777777" w:rsidR="005319AE" w:rsidRPr="00720668" w:rsidRDefault="005319AE" w:rsidP="003C2F5B">
                    <w:pPr>
                      <w:spacing w:after="0"/>
                      <w:rPr>
                        <w:rFonts w:ascii="Aptos" w:eastAsia="Aptos" w:hAnsi="Aptos" w:cs="Aptos"/>
                        <w:noProof/>
                        <w:color w:val="000000"/>
                        <w:sz w:val="20"/>
                        <w:szCs w:val="20"/>
                      </w:rPr>
                    </w:pPr>
                    <w:r w:rsidRPr="00720668">
                      <w:rPr>
                        <w:rFonts w:ascii="Aptos" w:eastAsia="Aptos" w:hAnsi="Aptos" w:cs="Aptos"/>
                        <w:noProof/>
                        <w:color w:val="000000"/>
                        <w:sz w:val="20"/>
                        <w:szCs w:val="20"/>
                      </w:rPr>
                      <w:t>Classification: Valamar_Internal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F17"/>
    <w:multiLevelType w:val="multilevel"/>
    <w:tmpl w:val="B87CF050"/>
    <w:lvl w:ilvl="0">
      <w:start w:val="1"/>
      <w:numFmt w:val="bullet"/>
      <w:lvlText w:val=""/>
      <w:lvlJc w:val="left"/>
      <w:pPr>
        <w:tabs>
          <w:tab w:val="num" w:pos="927"/>
        </w:tabs>
        <w:ind w:left="927" w:hanging="360"/>
      </w:pPr>
      <w:rPr>
        <w:rFonts w:ascii="Symbol" w:hAnsi="Symbol" w:hint="default"/>
      </w:r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1" w15:restartNumberingAfterBreak="0">
    <w:nsid w:val="00B37B90"/>
    <w:multiLevelType w:val="hybridMultilevel"/>
    <w:tmpl w:val="2C1EC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F5730E"/>
    <w:multiLevelType w:val="hybridMultilevel"/>
    <w:tmpl w:val="7C729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0C5A8C"/>
    <w:multiLevelType w:val="multilevel"/>
    <w:tmpl w:val="DBF49D7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293A79"/>
    <w:multiLevelType w:val="hybridMultilevel"/>
    <w:tmpl w:val="D57CB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8B61F7"/>
    <w:multiLevelType w:val="hybridMultilevel"/>
    <w:tmpl w:val="D60296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2AA6CE7"/>
    <w:multiLevelType w:val="hybridMultilevel"/>
    <w:tmpl w:val="34E81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9C0584"/>
    <w:multiLevelType w:val="hybridMultilevel"/>
    <w:tmpl w:val="B342880A"/>
    <w:lvl w:ilvl="0" w:tplc="04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4DF0E53"/>
    <w:multiLevelType w:val="hybridMultilevel"/>
    <w:tmpl w:val="4F1C50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C76433"/>
    <w:multiLevelType w:val="hybridMultilevel"/>
    <w:tmpl w:val="6E10CD24"/>
    <w:lvl w:ilvl="0" w:tplc="04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7992583"/>
    <w:multiLevelType w:val="hybridMultilevel"/>
    <w:tmpl w:val="8116B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A74028"/>
    <w:multiLevelType w:val="hybridMultilevel"/>
    <w:tmpl w:val="1992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8501B17"/>
    <w:multiLevelType w:val="hybridMultilevel"/>
    <w:tmpl w:val="0728C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8BE0204"/>
    <w:multiLevelType w:val="hybridMultilevel"/>
    <w:tmpl w:val="E7D46B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9F07AAE"/>
    <w:multiLevelType w:val="hybridMultilevel"/>
    <w:tmpl w:val="4F10AAB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A4D5336"/>
    <w:multiLevelType w:val="multilevel"/>
    <w:tmpl w:val="C086600C"/>
    <w:lvl w:ilvl="0">
      <w:start w:val="1"/>
      <w:numFmt w:val="decimal"/>
      <w:lvlText w:val="%1."/>
      <w:lvlJc w:val="left"/>
      <w:pPr>
        <w:ind w:left="776" w:hanging="360"/>
      </w:pPr>
    </w:lvl>
    <w:lvl w:ilvl="1">
      <w:start w:val="1"/>
      <w:numFmt w:val="decimal"/>
      <w:isLgl/>
      <w:lvlText w:val="%1.%2."/>
      <w:lvlJc w:val="left"/>
      <w:pPr>
        <w:ind w:left="776" w:hanging="360"/>
      </w:pPr>
      <w:rPr>
        <w:rFonts w:hint="default"/>
      </w:rPr>
    </w:lvl>
    <w:lvl w:ilvl="2">
      <w:start w:val="1"/>
      <w:numFmt w:val="decimal"/>
      <w:isLgl/>
      <w:lvlText w:val="%1.%2.%3."/>
      <w:lvlJc w:val="left"/>
      <w:pPr>
        <w:ind w:left="1136" w:hanging="720"/>
      </w:pPr>
      <w:rPr>
        <w:rFonts w:hint="default"/>
      </w:rPr>
    </w:lvl>
    <w:lvl w:ilvl="3">
      <w:start w:val="1"/>
      <w:numFmt w:val="decimal"/>
      <w:isLgl/>
      <w:lvlText w:val="%1.%2.%3.%4."/>
      <w:lvlJc w:val="left"/>
      <w:pPr>
        <w:ind w:left="1136" w:hanging="720"/>
      </w:pPr>
      <w:rPr>
        <w:rFonts w:hint="default"/>
      </w:rPr>
    </w:lvl>
    <w:lvl w:ilvl="4">
      <w:start w:val="1"/>
      <w:numFmt w:val="decimal"/>
      <w:isLgl/>
      <w:lvlText w:val="%1.%2.%3.%4.%5."/>
      <w:lvlJc w:val="left"/>
      <w:pPr>
        <w:ind w:left="1496" w:hanging="1080"/>
      </w:pPr>
      <w:rPr>
        <w:rFonts w:hint="default"/>
      </w:rPr>
    </w:lvl>
    <w:lvl w:ilvl="5">
      <w:start w:val="1"/>
      <w:numFmt w:val="decimal"/>
      <w:isLgl/>
      <w:lvlText w:val="%1.%2.%3.%4.%5.%6."/>
      <w:lvlJc w:val="left"/>
      <w:pPr>
        <w:ind w:left="1496" w:hanging="1080"/>
      </w:pPr>
      <w:rPr>
        <w:rFonts w:hint="default"/>
      </w:rPr>
    </w:lvl>
    <w:lvl w:ilvl="6">
      <w:start w:val="1"/>
      <w:numFmt w:val="decimal"/>
      <w:isLgl/>
      <w:lvlText w:val="%1.%2.%3.%4.%5.%6.%7."/>
      <w:lvlJc w:val="left"/>
      <w:pPr>
        <w:ind w:left="1856" w:hanging="1440"/>
      </w:pPr>
      <w:rPr>
        <w:rFonts w:hint="default"/>
      </w:rPr>
    </w:lvl>
    <w:lvl w:ilvl="7">
      <w:start w:val="1"/>
      <w:numFmt w:val="decimal"/>
      <w:isLgl/>
      <w:lvlText w:val="%1.%2.%3.%4.%5.%6.%7.%8."/>
      <w:lvlJc w:val="left"/>
      <w:pPr>
        <w:ind w:left="1856" w:hanging="1440"/>
      </w:pPr>
      <w:rPr>
        <w:rFonts w:hint="default"/>
      </w:rPr>
    </w:lvl>
    <w:lvl w:ilvl="8">
      <w:start w:val="1"/>
      <w:numFmt w:val="decimal"/>
      <w:isLgl/>
      <w:lvlText w:val="%1.%2.%3.%4.%5.%6.%7.%8.%9."/>
      <w:lvlJc w:val="left"/>
      <w:pPr>
        <w:ind w:left="2216" w:hanging="1800"/>
      </w:pPr>
      <w:rPr>
        <w:rFonts w:hint="default"/>
      </w:rPr>
    </w:lvl>
  </w:abstractNum>
  <w:abstractNum w:abstractNumId="16" w15:restartNumberingAfterBreak="0">
    <w:nsid w:val="0B8D3EED"/>
    <w:multiLevelType w:val="hybridMultilevel"/>
    <w:tmpl w:val="7F52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7E1573"/>
    <w:multiLevelType w:val="hybridMultilevel"/>
    <w:tmpl w:val="2CF04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7524FA"/>
    <w:multiLevelType w:val="hybridMultilevel"/>
    <w:tmpl w:val="6B4E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E63326"/>
    <w:multiLevelType w:val="hybridMultilevel"/>
    <w:tmpl w:val="DFD0E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7E733A"/>
    <w:multiLevelType w:val="hybridMultilevel"/>
    <w:tmpl w:val="16DA15D0"/>
    <w:lvl w:ilvl="0" w:tplc="199E4362">
      <w:start w:val="1"/>
      <w:numFmt w:val="decimal"/>
      <w:lvlText w:val="%1."/>
      <w:lvlJc w:val="left"/>
      <w:pPr>
        <w:ind w:left="360" w:hanging="360"/>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1A2E17C2"/>
    <w:multiLevelType w:val="hybridMultilevel"/>
    <w:tmpl w:val="E514E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B48548A"/>
    <w:multiLevelType w:val="hybridMultilevel"/>
    <w:tmpl w:val="C7BC088C"/>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BE037D"/>
    <w:multiLevelType w:val="hybridMultilevel"/>
    <w:tmpl w:val="1F8A6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1F775298"/>
    <w:multiLevelType w:val="hybridMultilevel"/>
    <w:tmpl w:val="A3E28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FA530F3"/>
    <w:multiLevelType w:val="multilevel"/>
    <w:tmpl w:val="4EF22D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CA3D6E"/>
    <w:multiLevelType w:val="hybridMultilevel"/>
    <w:tmpl w:val="B53EB7E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673872"/>
    <w:multiLevelType w:val="hybridMultilevel"/>
    <w:tmpl w:val="51EE7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346119"/>
    <w:multiLevelType w:val="hybridMultilevel"/>
    <w:tmpl w:val="7F2C1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4003F9A"/>
    <w:multiLevelType w:val="hybridMultilevel"/>
    <w:tmpl w:val="940041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5D157E"/>
    <w:multiLevelType w:val="hybridMultilevel"/>
    <w:tmpl w:val="82D22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9424C6"/>
    <w:multiLevelType w:val="hybridMultilevel"/>
    <w:tmpl w:val="E850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8643130"/>
    <w:multiLevelType w:val="hybridMultilevel"/>
    <w:tmpl w:val="A9D03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986222"/>
    <w:multiLevelType w:val="hybridMultilevel"/>
    <w:tmpl w:val="FA5401E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A0965CC"/>
    <w:multiLevelType w:val="hybridMultilevel"/>
    <w:tmpl w:val="36C6B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BAF09A4"/>
    <w:multiLevelType w:val="hybridMultilevel"/>
    <w:tmpl w:val="F022C6CA"/>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C51507C"/>
    <w:multiLevelType w:val="hybridMultilevel"/>
    <w:tmpl w:val="C7EC2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D2636C7"/>
    <w:multiLevelType w:val="hybridMultilevel"/>
    <w:tmpl w:val="6D3C21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0283306"/>
    <w:multiLevelType w:val="hybridMultilevel"/>
    <w:tmpl w:val="40706A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0A32488"/>
    <w:multiLevelType w:val="hybridMultilevel"/>
    <w:tmpl w:val="4D3A2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54A0424"/>
    <w:multiLevelType w:val="hybridMultilevel"/>
    <w:tmpl w:val="12164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5C87351"/>
    <w:multiLevelType w:val="hybridMultilevel"/>
    <w:tmpl w:val="83D647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65942E5"/>
    <w:multiLevelType w:val="hybridMultilevel"/>
    <w:tmpl w:val="F71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6D12148"/>
    <w:multiLevelType w:val="hybridMultilevel"/>
    <w:tmpl w:val="E892E392"/>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5C0EB8"/>
    <w:multiLevelType w:val="multilevel"/>
    <w:tmpl w:val="C9DC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F87FEC"/>
    <w:multiLevelType w:val="hybridMultilevel"/>
    <w:tmpl w:val="D3E207FA"/>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3B294EF6"/>
    <w:multiLevelType w:val="hybridMultilevel"/>
    <w:tmpl w:val="6220DDE6"/>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E9B7542"/>
    <w:multiLevelType w:val="hybridMultilevel"/>
    <w:tmpl w:val="7096B5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EED396C"/>
    <w:multiLevelType w:val="hybridMultilevel"/>
    <w:tmpl w:val="5F38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04970B8"/>
    <w:multiLevelType w:val="multilevel"/>
    <w:tmpl w:val="BE38009A"/>
    <w:lvl w:ilvl="0">
      <w:start w:val="1"/>
      <w:numFmt w:val="decimal"/>
      <w:lvlText w:val="%1."/>
      <w:lvlJc w:val="left"/>
      <w:pPr>
        <w:ind w:left="720" w:hanging="360"/>
      </w:pPr>
    </w:lvl>
    <w:lvl w:ilvl="1">
      <w:start w:val="4"/>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40BD5CAF"/>
    <w:multiLevelType w:val="hybridMultilevel"/>
    <w:tmpl w:val="FC8AD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2E05AD9"/>
    <w:multiLevelType w:val="hybridMultilevel"/>
    <w:tmpl w:val="24FA0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33464AB"/>
    <w:multiLevelType w:val="hybridMultilevel"/>
    <w:tmpl w:val="8856CC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3B3682D"/>
    <w:multiLevelType w:val="hybridMultilevel"/>
    <w:tmpl w:val="ABA2D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4A82555"/>
    <w:multiLevelType w:val="hybridMultilevel"/>
    <w:tmpl w:val="DBF00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76A73F7"/>
    <w:multiLevelType w:val="hybridMultilevel"/>
    <w:tmpl w:val="55E22E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47B11E33"/>
    <w:multiLevelType w:val="hybridMultilevel"/>
    <w:tmpl w:val="6AF00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81230F4"/>
    <w:multiLevelType w:val="hybridMultilevel"/>
    <w:tmpl w:val="84B820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93A6CBB"/>
    <w:multiLevelType w:val="hybridMultilevel"/>
    <w:tmpl w:val="2E4C9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A2B2118"/>
    <w:multiLevelType w:val="hybridMultilevel"/>
    <w:tmpl w:val="B530A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ABA0669"/>
    <w:multiLevelType w:val="hybridMultilevel"/>
    <w:tmpl w:val="BBE287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4B402DF1"/>
    <w:multiLevelType w:val="hybridMultilevel"/>
    <w:tmpl w:val="4EC8D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BD206F0"/>
    <w:multiLevelType w:val="hybridMultilevel"/>
    <w:tmpl w:val="A5EC0100"/>
    <w:lvl w:ilvl="0" w:tplc="04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3" w15:restartNumberingAfterBreak="0">
    <w:nsid w:val="4BFF3C0C"/>
    <w:multiLevelType w:val="hybridMultilevel"/>
    <w:tmpl w:val="C24C6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4CCE4CF1"/>
    <w:multiLevelType w:val="hybridMultilevel"/>
    <w:tmpl w:val="0AF0115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D893D0B"/>
    <w:multiLevelType w:val="hybridMultilevel"/>
    <w:tmpl w:val="07940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DC133E7"/>
    <w:multiLevelType w:val="hybridMultilevel"/>
    <w:tmpl w:val="A0847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DED4260"/>
    <w:multiLevelType w:val="multilevel"/>
    <w:tmpl w:val="4EF22D2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EC659F1"/>
    <w:multiLevelType w:val="hybridMultilevel"/>
    <w:tmpl w:val="5C349E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51E47099"/>
    <w:multiLevelType w:val="hybridMultilevel"/>
    <w:tmpl w:val="C17AF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25C6381"/>
    <w:multiLevelType w:val="hybridMultilevel"/>
    <w:tmpl w:val="41085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41D2F31"/>
    <w:multiLevelType w:val="hybridMultilevel"/>
    <w:tmpl w:val="3FAE5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5211741"/>
    <w:multiLevelType w:val="hybridMultilevel"/>
    <w:tmpl w:val="ABEAA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7355460"/>
    <w:multiLevelType w:val="hybridMultilevel"/>
    <w:tmpl w:val="77A2D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758062C"/>
    <w:multiLevelType w:val="hybridMultilevel"/>
    <w:tmpl w:val="F11C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77D1227"/>
    <w:multiLevelType w:val="hybridMultilevel"/>
    <w:tmpl w:val="224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84B0FDE"/>
    <w:multiLevelType w:val="multilevel"/>
    <w:tmpl w:val="B770C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9E87350"/>
    <w:multiLevelType w:val="hybridMultilevel"/>
    <w:tmpl w:val="1DBC3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AD15E77"/>
    <w:multiLevelType w:val="hybridMultilevel"/>
    <w:tmpl w:val="A5E0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B92499F"/>
    <w:multiLevelType w:val="hybridMultilevel"/>
    <w:tmpl w:val="5C78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E0B0E2D"/>
    <w:multiLevelType w:val="hybridMultilevel"/>
    <w:tmpl w:val="966A0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25A71F0"/>
    <w:multiLevelType w:val="hybridMultilevel"/>
    <w:tmpl w:val="BB320EC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31D2C1B"/>
    <w:multiLevelType w:val="hybridMultilevel"/>
    <w:tmpl w:val="AB5A24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636F5792"/>
    <w:multiLevelType w:val="multilevel"/>
    <w:tmpl w:val="B87CF0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3B73631"/>
    <w:multiLevelType w:val="hybridMultilevel"/>
    <w:tmpl w:val="43EE6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4432838"/>
    <w:multiLevelType w:val="hybridMultilevel"/>
    <w:tmpl w:val="3DFC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48A497B"/>
    <w:multiLevelType w:val="hybridMultilevel"/>
    <w:tmpl w:val="89D434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66052328"/>
    <w:multiLevelType w:val="hybridMultilevel"/>
    <w:tmpl w:val="E6D2A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7B975CF"/>
    <w:multiLevelType w:val="hybridMultilevel"/>
    <w:tmpl w:val="56FC6450"/>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8182DB3"/>
    <w:multiLevelType w:val="hybridMultilevel"/>
    <w:tmpl w:val="77BAAD16"/>
    <w:lvl w:ilvl="0" w:tplc="04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1E1B1D"/>
    <w:multiLevelType w:val="hybridMultilevel"/>
    <w:tmpl w:val="BF327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BF0E5E"/>
    <w:multiLevelType w:val="multilevel"/>
    <w:tmpl w:val="9C840EB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AFF0495"/>
    <w:multiLevelType w:val="multilevel"/>
    <w:tmpl w:val="D28CD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D0236F3"/>
    <w:multiLevelType w:val="hybridMultilevel"/>
    <w:tmpl w:val="89C01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117471D"/>
    <w:multiLevelType w:val="hybridMultilevel"/>
    <w:tmpl w:val="D8F0FE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71ED54D1"/>
    <w:multiLevelType w:val="hybridMultilevel"/>
    <w:tmpl w:val="5476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2DB7DA9"/>
    <w:multiLevelType w:val="hybridMultilevel"/>
    <w:tmpl w:val="096A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4D60BD7"/>
    <w:multiLevelType w:val="hybridMultilevel"/>
    <w:tmpl w:val="DC987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6461C10"/>
    <w:multiLevelType w:val="hybridMultilevel"/>
    <w:tmpl w:val="96CC84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7F708B5"/>
    <w:multiLevelType w:val="hybridMultilevel"/>
    <w:tmpl w:val="6D1EAB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79D23100"/>
    <w:multiLevelType w:val="hybridMultilevel"/>
    <w:tmpl w:val="FDB6FAF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ADE5AF4"/>
    <w:multiLevelType w:val="hybridMultilevel"/>
    <w:tmpl w:val="367A2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C4232AD"/>
    <w:multiLevelType w:val="hybridMultilevel"/>
    <w:tmpl w:val="94B8C5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7C575CC1"/>
    <w:multiLevelType w:val="hybridMultilevel"/>
    <w:tmpl w:val="42564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CE831F5"/>
    <w:multiLevelType w:val="hybridMultilevel"/>
    <w:tmpl w:val="6C822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E2E0FF0"/>
    <w:multiLevelType w:val="multilevel"/>
    <w:tmpl w:val="49EE8C5C"/>
    <w:lvl w:ilvl="0">
      <w:start w:val="1"/>
      <w:numFmt w:val="decimal"/>
      <w:lvlText w:val="%1."/>
      <w:lvlJc w:val="left"/>
      <w:pPr>
        <w:ind w:left="720" w:hanging="360"/>
      </w:pPr>
    </w:lvl>
    <w:lvl w:ilvl="1">
      <w:start w:val="3"/>
      <w:numFmt w:val="decimal"/>
      <w:isLgl/>
      <w:lvlText w:val="%1.%2."/>
      <w:lvlJc w:val="left"/>
      <w:pPr>
        <w:ind w:left="1116" w:hanging="756"/>
      </w:pPr>
      <w:rPr>
        <w:rFonts w:hint="default"/>
      </w:rPr>
    </w:lvl>
    <w:lvl w:ilvl="2">
      <w:start w:val="2"/>
      <w:numFmt w:val="decimal"/>
      <w:isLgl/>
      <w:lvlText w:val="%1.%2.%3."/>
      <w:lvlJc w:val="left"/>
      <w:pPr>
        <w:ind w:left="1116" w:hanging="756"/>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6" w15:restartNumberingAfterBreak="0">
    <w:nsid w:val="7E9B4601"/>
    <w:multiLevelType w:val="hybridMultilevel"/>
    <w:tmpl w:val="AF40D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F610F6D"/>
    <w:multiLevelType w:val="hybridMultilevel"/>
    <w:tmpl w:val="0E809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4785391">
    <w:abstractNumId w:val="47"/>
  </w:num>
  <w:num w:numId="2" w16cid:durableId="1672638234">
    <w:abstractNumId w:val="41"/>
  </w:num>
  <w:num w:numId="3" w16cid:durableId="1209681875">
    <w:abstractNumId w:val="105"/>
  </w:num>
  <w:num w:numId="4" w16cid:durableId="880557962">
    <w:abstractNumId w:val="14"/>
  </w:num>
  <w:num w:numId="5" w16cid:durableId="67850427">
    <w:abstractNumId w:val="15"/>
  </w:num>
  <w:num w:numId="6" w16cid:durableId="1475371395">
    <w:abstractNumId w:val="6"/>
  </w:num>
  <w:num w:numId="7" w16cid:durableId="696198850">
    <w:abstractNumId w:val="86"/>
  </w:num>
  <w:num w:numId="8" w16cid:durableId="991055685">
    <w:abstractNumId w:val="72"/>
  </w:num>
  <w:num w:numId="9" w16cid:durableId="1027369008">
    <w:abstractNumId w:val="63"/>
  </w:num>
  <w:num w:numId="10" w16cid:durableId="320238824">
    <w:abstractNumId w:val="12"/>
  </w:num>
  <w:num w:numId="11" w16cid:durableId="1763455855">
    <w:abstractNumId w:val="36"/>
  </w:num>
  <w:num w:numId="12" w16cid:durableId="224416802">
    <w:abstractNumId w:val="16"/>
  </w:num>
  <w:num w:numId="13" w16cid:durableId="1826973334">
    <w:abstractNumId w:val="21"/>
  </w:num>
  <w:num w:numId="14" w16cid:durableId="1426195547">
    <w:abstractNumId w:val="34"/>
  </w:num>
  <w:num w:numId="15" w16cid:durableId="1440174335">
    <w:abstractNumId w:val="4"/>
  </w:num>
  <w:num w:numId="16" w16cid:durableId="955600097">
    <w:abstractNumId w:val="32"/>
  </w:num>
  <w:num w:numId="17" w16cid:durableId="584994676">
    <w:abstractNumId w:val="33"/>
  </w:num>
  <w:num w:numId="18" w16cid:durableId="1896313505">
    <w:abstractNumId w:val="50"/>
  </w:num>
  <w:num w:numId="19" w16cid:durableId="2095468974">
    <w:abstractNumId w:val="67"/>
  </w:num>
  <w:num w:numId="20" w16cid:durableId="861938994">
    <w:abstractNumId w:val="25"/>
  </w:num>
  <w:num w:numId="21" w16cid:durableId="693463668">
    <w:abstractNumId w:val="106"/>
  </w:num>
  <w:num w:numId="22" w16cid:durableId="1895696007">
    <w:abstractNumId w:val="84"/>
  </w:num>
  <w:num w:numId="23" w16cid:durableId="1677994094">
    <w:abstractNumId w:val="95"/>
  </w:num>
  <w:num w:numId="24" w16cid:durableId="1519343533">
    <w:abstractNumId w:val="22"/>
  </w:num>
  <w:num w:numId="25" w16cid:durableId="273564509">
    <w:abstractNumId w:val="87"/>
  </w:num>
  <w:num w:numId="26" w16cid:durableId="364988150">
    <w:abstractNumId w:val="17"/>
  </w:num>
  <w:num w:numId="27" w16cid:durableId="1320227162">
    <w:abstractNumId w:val="10"/>
  </w:num>
  <w:num w:numId="28" w16cid:durableId="375471074">
    <w:abstractNumId w:val="83"/>
  </w:num>
  <w:num w:numId="29" w16cid:durableId="1279414018">
    <w:abstractNumId w:val="78"/>
  </w:num>
  <w:num w:numId="30" w16cid:durableId="115568757">
    <w:abstractNumId w:val="71"/>
  </w:num>
  <w:num w:numId="31" w16cid:durableId="281231504">
    <w:abstractNumId w:val="79"/>
  </w:num>
  <w:num w:numId="32" w16cid:durableId="1728454998">
    <w:abstractNumId w:val="69"/>
  </w:num>
  <w:num w:numId="33" w16cid:durableId="1523469767">
    <w:abstractNumId w:val="80"/>
  </w:num>
  <w:num w:numId="34" w16cid:durableId="826164123">
    <w:abstractNumId w:val="51"/>
  </w:num>
  <w:num w:numId="35" w16cid:durableId="1011370943">
    <w:abstractNumId w:val="103"/>
  </w:num>
  <w:num w:numId="36" w16cid:durableId="1774520127">
    <w:abstractNumId w:val="56"/>
  </w:num>
  <w:num w:numId="37" w16cid:durableId="293028408">
    <w:abstractNumId w:val="70"/>
  </w:num>
  <w:num w:numId="38" w16cid:durableId="42406284">
    <w:abstractNumId w:val="11"/>
  </w:num>
  <w:num w:numId="39" w16cid:durableId="203837294">
    <w:abstractNumId w:val="77"/>
  </w:num>
  <w:num w:numId="40" w16cid:durableId="2011717568">
    <w:abstractNumId w:val="58"/>
  </w:num>
  <w:num w:numId="41" w16cid:durableId="1826118234">
    <w:abstractNumId w:val="28"/>
  </w:num>
  <w:num w:numId="42" w16cid:durableId="201524439">
    <w:abstractNumId w:val="85"/>
  </w:num>
  <w:num w:numId="43" w16cid:durableId="2118941689">
    <w:abstractNumId w:val="104"/>
  </w:num>
  <w:num w:numId="44" w16cid:durableId="872812815">
    <w:abstractNumId w:val="73"/>
  </w:num>
  <w:num w:numId="45" w16cid:durableId="986084288">
    <w:abstractNumId w:val="27"/>
  </w:num>
  <w:num w:numId="46" w16cid:durableId="1667973342">
    <w:abstractNumId w:val="39"/>
  </w:num>
  <w:num w:numId="47" w16cid:durableId="378626662">
    <w:abstractNumId w:val="2"/>
  </w:num>
  <w:num w:numId="48" w16cid:durableId="634262845">
    <w:abstractNumId w:val="97"/>
  </w:num>
  <w:num w:numId="49" w16cid:durableId="840706100">
    <w:abstractNumId w:val="74"/>
  </w:num>
  <w:num w:numId="50" w16cid:durableId="1272858011">
    <w:abstractNumId w:val="48"/>
  </w:num>
  <w:num w:numId="51" w16cid:durableId="2078474483">
    <w:abstractNumId w:val="88"/>
  </w:num>
  <w:num w:numId="52" w16cid:durableId="2102791865">
    <w:abstractNumId w:val="43"/>
  </w:num>
  <w:num w:numId="53" w16cid:durableId="1128353273">
    <w:abstractNumId w:val="101"/>
  </w:num>
  <w:num w:numId="54" w16cid:durableId="819729036">
    <w:abstractNumId w:val="35"/>
  </w:num>
  <w:num w:numId="55" w16cid:durableId="2042508275">
    <w:abstractNumId w:val="46"/>
  </w:num>
  <w:num w:numId="56" w16cid:durableId="191000065">
    <w:abstractNumId w:val="42"/>
  </w:num>
  <w:num w:numId="57" w16cid:durableId="1626038259">
    <w:abstractNumId w:val="61"/>
  </w:num>
  <w:num w:numId="58" w16cid:durableId="1759133863">
    <w:abstractNumId w:val="89"/>
  </w:num>
  <w:num w:numId="59" w16cid:durableId="1745028523">
    <w:abstractNumId w:val="37"/>
  </w:num>
  <w:num w:numId="60" w16cid:durableId="784735513">
    <w:abstractNumId w:val="19"/>
  </w:num>
  <w:num w:numId="61" w16cid:durableId="1659074556">
    <w:abstractNumId w:val="54"/>
  </w:num>
  <w:num w:numId="62" w16cid:durableId="1043869788">
    <w:abstractNumId w:val="53"/>
  </w:num>
  <w:num w:numId="63" w16cid:durableId="527984254">
    <w:abstractNumId w:val="96"/>
  </w:num>
  <w:num w:numId="64" w16cid:durableId="534346767">
    <w:abstractNumId w:val="20"/>
  </w:num>
  <w:num w:numId="65" w16cid:durableId="2145465600">
    <w:abstractNumId w:val="68"/>
  </w:num>
  <w:num w:numId="66" w16cid:durableId="1031805852">
    <w:abstractNumId w:val="13"/>
  </w:num>
  <w:num w:numId="67" w16cid:durableId="690763272">
    <w:abstractNumId w:val="107"/>
  </w:num>
  <w:num w:numId="68" w16cid:durableId="1979333265">
    <w:abstractNumId w:val="62"/>
  </w:num>
  <w:num w:numId="69" w16cid:durableId="1354380985">
    <w:abstractNumId w:val="7"/>
  </w:num>
  <w:num w:numId="70" w16cid:durableId="1648365153">
    <w:abstractNumId w:val="82"/>
  </w:num>
  <w:num w:numId="71" w16cid:durableId="849100745">
    <w:abstractNumId w:val="3"/>
  </w:num>
  <w:num w:numId="72" w16cid:durableId="1743598688">
    <w:abstractNumId w:val="0"/>
  </w:num>
  <w:num w:numId="73" w16cid:durableId="1411342585">
    <w:abstractNumId w:val="24"/>
  </w:num>
  <w:num w:numId="74" w16cid:durableId="2100103280">
    <w:abstractNumId w:val="57"/>
  </w:num>
  <w:num w:numId="75" w16cid:durableId="884878103">
    <w:abstractNumId w:val="100"/>
  </w:num>
  <w:num w:numId="76" w16cid:durableId="2016035864">
    <w:abstractNumId w:val="9"/>
  </w:num>
  <w:num w:numId="77" w16cid:durableId="379209807">
    <w:abstractNumId w:val="99"/>
  </w:num>
  <w:num w:numId="78" w16cid:durableId="761560790">
    <w:abstractNumId w:val="98"/>
  </w:num>
  <w:num w:numId="79" w16cid:durableId="669409594">
    <w:abstractNumId w:val="29"/>
  </w:num>
  <w:num w:numId="80" w16cid:durableId="100222790">
    <w:abstractNumId w:val="64"/>
  </w:num>
  <w:num w:numId="81" w16cid:durableId="938947469">
    <w:abstractNumId w:val="38"/>
  </w:num>
  <w:num w:numId="82" w16cid:durableId="332610148">
    <w:abstractNumId w:val="26"/>
  </w:num>
  <w:num w:numId="83" w16cid:durableId="1964382293">
    <w:abstractNumId w:val="52"/>
  </w:num>
  <w:num w:numId="84" w16cid:durableId="439838002">
    <w:abstractNumId w:val="81"/>
  </w:num>
  <w:num w:numId="85" w16cid:durableId="484705755">
    <w:abstractNumId w:val="5"/>
  </w:num>
  <w:num w:numId="86" w16cid:durableId="1633553792">
    <w:abstractNumId w:val="60"/>
  </w:num>
  <w:num w:numId="87" w16cid:durableId="1985968105">
    <w:abstractNumId w:val="75"/>
  </w:num>
  <w:num w:numId="88" w16cid:durableId="2071075334">
    <w:abstractNumId w:val="30"/>
  </w:num>
  <w:num w:numId="89" w16cid:durableId="1685472231">
    <w:abstractNumId w:val="45"/>
  </w:num>
  <w:num w:numId="90" w16cid:durableId="1021587369">
    <w:abstractNumId w:val="8"/>
  </w:num>
  <w:num w:numId="91" w16cid:durableId="1306274882">
    <w:abstractNumId w:val="94"/>
  </w:num>
  <w:num w:numId="92" w16cid:durableId="1794907373">
    <w:abstractNumId w:val="44"/>
  </w:num>
  <w:num w:numId="93" w16cid:durableId="132870594">
    <w:abstractNumId w:val="59"/>
  </w:num>
  <w:num w:numId="94" w16cid:durableId="1348870635">
    <w:abstractNumId w:val="66"/>
  </w:num>
  <w:num w:numId="95" w16cid:durableId="607472299">
    <w:abstractNumId w:val="65"/>
  </w:num>
  <w:num w:numId="96" w16cid:durableId="1871330843">
    <w:abstractNumId w:val="93"/>
  </w:num>
  <w:num w:numId="97" w16cid:durableId="1816868756">
    <w:abstractNumId w:val="31"/>
  </w:num>
  <w:num w:numId="98" w16cid:durableId="172191931">
    <w:abstractNumId w:val="90"/>
  </w:num>
  <w:num w:numId="99" w16cid:durableId="876158066">
    <w:abstractNumId w:val="18"/>
  </w:num>
  <w:num w:numId="100" w16cid:durableId="2112512268">
    <w:abstractNumId w:val="1"/>
  </w:num>
  <w:num w:numId="101" w16cid:durableId="855121022">
    <w:abstractNumId w:val="76"/>
  </w:num>
  <w:num w:numId="102" w16cid:durableId="1860922648">
    <w:abstractNumId w:val="91"/>
  </w:num>
  <w:num w:numId="103" w16cid:durableId="812718682">
    <w:abstractNumId w:val="49"/>
  </w:num>
  <w:num w:numId="104" w16cid:durableId="1311981609">
    <w:abstractNumId w:val="92"/>
  </w:num>
  <w:num w:numId="105" w16cid:durableId="1773549556">
    <w:abstractNumId w:val="102"/>
  </w:num>
  <w:num w:numId="106" w16cid:durableId="1634359315">
    <w:abstractNumId w:val="55"/>
  </w:num>
  <w:num w:numId="107" w16cid:durableId="1833718231">
    <w:abstractNumId w:val="23"/>
  </w:num>
  <w:num w:numId="108" w16cid:durableId="1113012550">
    <w:abstractNumId w:val="4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hideSpellingErrors/>
  <w:hideGrammatical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2A"/>
    <w:rsid w:val="0000228A"/>
    <w:rsid w:val="000026A2"/>
    <w:rsid w:val="00004345"/>
    <w:rsid w:val="0001020E"/>
    <w:rsid w:val="00012A5B"/>
    <w:rsid w:val="000134B5"/>
    <w:rsid w:val="00014695"/>
    <w:rsid w:val="00015DCD"/>
    <w:rsid w:val="00015ED8"/>
    <w:rsid w:val="00015F9F"/>
    <w:rsid w:val="00016A22"/>
    <w:rsid w:val="00021B5F"/>
    <w:rsid w:val="000237E2"/>
    <w:rsid w:val="00023CD9"/>
    <w:rsid w:val="0002440B"/>
    <w:rsid w:val="00024768"/>
    <w:rsid w:val="00025A4A"/>
    <w:rsid w:val="000266F7"/>
    <w:rsid w:val="00027F22"/>
    <w:rsid w:val="0003062D"/>
    <w:rsid w:val="000321C5"/>
    <w:rsid w:val="00033EB5"/>
    <w:rsid w:val="00040F13"/>
    <w:rsid w:val="00043707"/>
    <w:rsid w:val="00044BF6"/>
    <w:rsid w:val="00046C1C"/>
    <w:rsid w:val="0005076D"/>
    <w:rsid w:val="0005291C"/>
    <w:rsid w:val="00053BCE"/>
    <w:rsid w:val="00054C6C"/>
    <w:rsid w:val="00055144"/>
    <w:rsid w:val="00055636"/>
    <w:rsid w:val="000603EF"/>
    <w:rsid w:val="00061A32"/>
    <w:rsid w:val="000621F2"/>
    <w:rsid w:val="000628BF"/>
    <w:rsid w:val="00063570"/>
    <w:rsid w:val="000653CD"/>
    <w:rsid w:val="00065ED1"/>
    <w:rsid w:val="0007037B"/>
    <w:rsid w:val="000761CF"/>
    <w:rsid w:val="00077320"/>
    <w:rsid w:val="000803FF"/>
    <w:rsid w:val="00081CD6"/>
    <w:rsid w:val="00085352"/>
    <w:rsid w:val="00090FC4"/>
    <w:rsid w:val="00093ABC"/>
    <w:rsid w:val="00093EBE"/>
    <w:rsid w:val="00094E5E"/>
    <w:rsid w:val="000A254F"/>
    <w:rsid w:val="000A36C8"/>
    <w:rsid w:val="000A3E38"/>
    <w:rsid w:val="000A408E"/>
    <w:rsid w:val="000A60F4"/>
    <w:rsid w:val="000A6103"/>
    <w:rsid w:val="000A7098"/>
    <w:rsid w:val="000A72F1"/>
    <w:rsid w:val="000B1362"/>
    <w:rsid w:val="000B1B64"/>
    <w:rsid w:val="000B2FDE"/>
    <w:rsid w:val="000B3FD4"/>
    <w:rsid w:val="000B4E07"/>
    <w:rsid w:val="000C0AC8"/>
    <w:rsid w:val="000C1517"/>
    <w:rsid w:val="000C39BE"/>
    <w:rsid w:val="000C441D"/>
    <w:rsid w:val="000C6459"/>
    <w:rsid w:val="000C6C54"/>
    <w:rsid w:val="000C7C4B"/>
    <w:rsid w:val="000D0E0F"/>
    <w:rsid w:val="000D3FFB"/>
    <w:rsid w:val="000D53A7"/>
    <w:rsid w:val="000D5453"/>
    <w:rsid w:val="000D6CDE"/>
    <w:rsid w:val="000E216C"/>
    <w:rsid w:val="000E2910"/>
    <w:rsid w:val="000E3AE1"/>
    <w:rsid w:val="000E4A37"/>
    <w:rsid w:val="000E4A4D"/>
    <w:rsid w:val="000E4F78"/>
    <w:rsid w:val="000E514A"/>
    <w:rsid w:val="000E5336"/>
    <w:rsid w:val="000E67F0"/>
    <w:rsid w:val="000F062F"/>
    <w:rsid w:val="000F2AA7"/>
    <w:rsid w:val="000F462D"/>
    <w:rsid w:val="000F5F4D"/>
    <w:rsid w:val="000F6004"/>
    <w:rsid w:val="001006D0"/>
    <w:rsid w:val="001045F6"/>
    <w:rsid w:val="00104728"/>
    <w:rsid w:val="001047B2"/>
    <w:rsid w:val="00106DC9"/>
    <w:rsid w:val="00106E7A"/>
    <w:rsid w:val="00106FE7"/>
    <w:rsid w:val="001070F7"/>
    <w:rsid w:val="001075EE"/>
    <w:rsid w:val="00111B12"/>
    <w:rsid w:val="00112796"/>
    <w:rsid w:val="001127DE"/>
    <w:rsid w:val="00113E93"/>
    <w:rsid w:val="001147B1"/>
    <w:rsid w:val="00114842"/>
    <w:rsid w:val="00115786"/>
    <w:rsid w:val="00116C86"/>
    <w:rsid w:val="00117185"/>
    <w:rsid w:val="001204FD"/>
    <w:rsid w:val="00120B4F"/>
    <w:rsid w:val="001229D8"/>
    <w:rsid w:val="00127A4E"/>
    <w:rsid w:val="0013012C"/>
    <w:rsid w:val="0013039E"/>
    <w:rsid w:val="00130DB0"/>
    <w:rsid w:val="001346AE"/>
    <w:rsid w:val="00134C3A"/>
    <w:rsid w:val="0014108F"/>
    <w:rsid w:val="00141A1B"/>
    <w:rsid w:val="00143E9F"/>
    <w:rsid w:val="001457CF"/>
    <w:rsid w:val="00150C76"/>
    <w:rsid w:val="00152A37"/>
    <w:rsid w:val="00152B12"/>
    <w:rsid w:val="00152DA8"/>
    <w:rsid w:val="00153144"/>
    <w:rsid w:val="00153579"/>
    <w:rsid w:val="001546F8"/>
    <w:rsid w:val="00155389"/>
    <w:rsid w:val="001568A2"/>
    <w:rsid w:val="00160364"/>
    <w:rsid w:val="00162429"/>
    <w:rsid w:val="001624F4"/>
    <w:rsid w:val="00162E35"/>
    <w:rsid w:val="0016360E"/>
    <w:rsid w:val="001657A1"/>
    <w:rsid w:val="0016669E"/>
    <w:rsid w:val="00166AB1"/>
    <w:rsid w:val="0017159A"/>
    <w:rsid w:val="00172D38"/>
    <w:rsid w:val="00175B88"/>
    <w:rsid w:val="00183A57"/>
    <w:rsid w:val="00183EA1"/>
    <w:rsid w:val="0018523B"/>
    <w:rsid w:val="00187661"/>
    <w:rsid w:val="00190674"/>
    <w:rsid w:val="00191E8E"/>
    <w:rsid w:val="00192252"/>
    <w:rsid w:val="0019441D"/>
    <w:rsid w:val="001947F4"/>
    <w:rsid w:val="001A161E"/>
    <w:rsid w:val="001A1E28"/>
    <w:rsid w:val="001A3AAC"/>
    <w:rsid w:val="001A4455"/>
    <w:rsid w:val="001A4B64"/>
    <w:rsid w:val="001A52E2"/>
    <w:rsid w:val="001A7B0F"/>
    <w:rsid w:val="001B0473"/>
    <w:rsid w:val="001B337F"/>
    <w:rsid w:val="001B48DB"/>
    <w:rsid w:val="001B5B52"/>
    <w:rsid w:val="001C22FC"/>
    <w:rsid w:val="001C4B12"/>
    <w:rsid w:val="001C5154"/>
    <w:rsid w:val="001C5C5B"/>
    <w:rsid w:val="001D14A7"/>
    <w:rsid w:val="001D25E6"/>
    <w:rsid w:val="001E0DF0"/>
    <w:rsid w:val="001E15EF"/>
    <w:rsid w:val="001E2516"/>
    <w:rsid w:val="001E3845"/>
    <w:rsid w:val="001E3AA8"/>
    <w:rsid w:val="001E6921"/>
    <w:rsid w:val="001E6E98"/>
    <w:rsid w:val="001F0511"/>
    <w:rsid w:val="001F0CCB"/>
    <w:rsid w:val="001F0FB6"/>
    <w:rsid w:val="001F5934"/>
    <w:rsid w:val="001F72BD"/>
    <w:rsid w:val="002013F4"/>
    <w:rsid w:val="0020278E"/>
    <w:rsid w:val="0020537F"/>
    <w:rsid w:val="002069CD"/>
    <w:rsid w:val="00206B1E"/>
    <w:rsid w:val="002073AA"/>
    <w:rsid w:val="00207554"/>
    <w:rsid w:val="0020775B"/>
    <w:rsid w:val="002146C7"/>
    <w:rsid w:val="002155AF"/>
    <w:rsid w:val="00215A72"/>
    <w:rsid w:val="002175DB"/>
    <w:rsid w:val="00221244"/>
    <w:rsid w:val="0022220D"/>
    <w:rsid w:val="00223D5B"/>
    <w:rsid w:val="002246A8"/>
    <w:rsid w:val="002251B5"/>
    <w:rsid w:val="00226F99"/>
    <w:rsid w:val="00230104"/>
    <w:rsid w:val="002306B0"/>
    <w:rsid w:val="00232984"/>
    <w:rsid w:val="002341DB"/>
    <w:rsid w:val="0023672C"/>
    <w:rsid w:val="002373DB"/>
    <w:rsid w:val="00240E7A"/>
    <w:rsid w:val="002440FB"/>
    <w:rsid w:val="0024637C"/>
    <w:rsid w:val="0024651B"/>
    <w:rsid w:val="002476CA"/>
    <w:rsid w:val="002517C4"/>
    <w:rsid w:val="00253D60"/>
    <w:rsid w:val="00256A73"/>
    <w:rsid w:val="002628C0"/>
    <w:rsid w:val="00262C95"/>
    <w:rsid w:val="0026305B"/>
    <w:rsid w:val="002631A1"/>
    <w:rsid w:val="002638BB"/>
    <w:rsid w:val="00264C5B"/>
    <w:rsid w:val="00265834"/>
    <w:rsid w:val="0026628C"/>
    <w:rsid w:val="0026712D"/>
    <w:rsid w:val="00267609"/>
    <w:rsid w:val="00267FDD"/>
    <w:rsid w:val="0027369E"/>
    <w:rsid w:val="0027403F"/>
    <w:rsid w:val="0027481C"/>
    <w:rsid w:val="00275AFD"/>
    <w:rsid w:val="0027685A"/>
    <w:rsid w:val="00280B8B"/>
    <w:rsid w:val="00281902"/>
    <w:rsid w:val="00283AB9"/>
    <w:rsid w:val="00285C61"/>
    <w:rsid w:val="00286033"/>
    <w:rsid w:val="00287189"/>
    <w:rsid w:val="002874FC"/>
    <w:rsid w:val="002877D0"/>
    <w:rsid w:val="002904D1"/>
    <w:rsid w:val="00290EEC"/>
    <w:rsid w:val="00295410"/>
    <w:rsid w:val="002A134A"/>
    <w:rsid w:val="002A278F"/>
    <w:rsid w:val="002A327E"/>
    <w:rsid w:val="002A40C6"/>
    <w:rsid w:val="002A4867"/>
    <w:rsid w:val="002A7DD3"/>
    <w:rsid w:val="002B0948"/>
    <w:rsid w:val="002B1713"/>
    <w:rsid w:val="002B3591"/>
    <w:rsid w:val="002B5E71"/>
    <w:rsid w:val="002B74CE"/>
    <w:rsid w:val="002B78DD"/>
    <w:rsid w:val="002C0A1B"/>
    <w:rsid w:val="002C29FF"/>
    <w:rsid w:val="002C3B14"/>
    <w:rsid w:val="002C793F"/>
    <w:rsid w:val="002D1797"/>
    <w:rsid w:val="002D1D06"/>
    <w:rsid w:val="002D4380"/>
    <w:rsid w:val="002D5459"/>
    <w:rsid w:val="002D6572"/>
    <w:rsid w:val="002D7014"/>
    <w:rsid w:val="002D7A95"/>
    <w:rsid w:val="002E2FB5"/>
    <w:rsid w:val="002E554B"/>
    <w:rsid w:val="002E5B41"/>
    <w:rsid w:val="002E713A"/>
    <w:rsid w:val="002F0969"/>
    <w:rsid w:val="002F16C5"/>
    <w:rsid w:val="002F2B6D"/>
    <w:rsid w:val="002F3B08"/>
    <w:rsid w:val="002F5160"/>
    <w:rsid w:val="002F659D"/>
    <w:rsid w:val="00302F02"/>
    <w:rsid w:val="00305C14"/>
    <w:rsid w:val="00306972"/>
    <w:rsid w:val="00306CF0"/>
    <w:rsid w:val="00307B59"/>
    <w:rsid w:val="00310733"/>
    <w:rsid w:val="003119EA"/>
    <w:rsid w:val="00312BFF"/>
    <w:rsid w:val="003131C4"/>
    <w:rsid w:val="0031377B"/>
    <w:rsid w:val="00314CBF"/>
    <w:rsid w:val="0031587C"/>
    <w:rsid w:val="00320FFB"/>
    <w:rsid w:val="0032485F"/>
    <w:rsid w:val="00325B45"/>
    <w:rsid w:val="003273E3"/>
    <w:rsid w:val="00331487"/>
    <w:rsid w:val="0033151E"/>
    <w:rsid w:val="003320A8"/>
    <w:rsid w:val="003329E4"/>
    <w:rsid w:val="003348DD"/>
    <w:rsid w:val="00340B77"/>
    <w:rsid w:val="003434D5"/>
    <w:rsid w:val="00354503"/>
    <w:rsid w:val="00355562"/>
    <w:rsid w:val="0035624C"/>
    <w:rsid w:val="0035785C"/>
    <w:rsid w:val="00357B2F"/>
    <w:rsid w:val="00363A73"/>
    <w:rsid w:val="00366B28"/>
    <w:rsid w:val="00367E7B"/>
    <w:rsid w:val="00370829"/>
    <w:rsid w:val="00372CD8"/>
    <w:rsid w:val="003746F4"/>
    <w:rsid w:val="00375C81"/>
    <w:rsid w:val="00380FB4"/>
    <w:rsid w:val="003814C8"/>
    <w:rsid w:val="00385A41"/>
    <w:rsid w:val="003865AC"/>
    <w:rsid w:val="0038775D"/>
    <w:rsid w:val="003934E6"/>
    <w:rsid w:val="00393576"/>
    <w:rsid w:val="0039358D"/>
    <w:rsid w:val="00393883"/>
    <w:rsid w:val="00394D46"/>
    <w:rsid w:val="00397021"/>
    <w:rsid w:val="003A5CA3"/>
    <w:rsid w:val="003A6278"/>
    <w:rsid w:val="003A7646"/>
    <w:rsid w:val="003A7B6B"/>
    <w:rsid w:val="003B2902"/>
    <w:rsid w:val="003B5671"/>
    <w:rsid w:val="003C252D"/>
    <w:rsid w:val="003C2F5B"/>
    <w:rsid w:val="003C67E7"/>
    <w:rsid w:val="003C72EE"/>
    <w:rsid w:val="003D0138"/>
    <w:rsid w:val="003D0534"/>
    <w:rsid w:val="003D0F38"/>
    <w:rsid w:val="003D1292"/>
    <w:rsid w:val="003D13C0"/>
    <w:rsid w:val="003D1B43"/>
    <w:rsid w:val="003D3AA4"/>
    <w:rsid w:val="003D46C7"/>
    <w:rsid w:val="003D509E"/>
    <w:rsid w:val="003D52BA"/>
    <w:rsid w:val="003D6017"/>
    <w:rsid w:val="003D7476"/>
    <w:rsid w:val="003E6792"/>
    <w:rsid w:val="003F0674"/>
    <w:rsid w:val="003F1705"/>
    <w:rsid w:val="003F267C"/>
    <w:rsid w:val="003F4F0D"/>
    <w:rsid w:val="003F5568"/>
    <w:rsid w:val="003F6E8E"/>
    <w:rsid w:val="0040017A"/>
    <w:rsid w:val="00401BF4"/>
    <w:rsid w:val="00404EE6"/>
    <w:rsid w:val="00405744"/>
    <w:rsid w:val="004057BB"/>
    <w:rsid w:val="004071BA"/>
    <w:rsid w:val="0041129C"/>
    <w:rsid w:val="00411D69"/>
    <w:rsid w:val="00411FAA"/>
    <w:rsid w:val="00412DF3"/>
    <w:rsid w:val="00413C15"/>
    <w:rsid w:val="0042420B"/>
    <w:rsid w:val="00424BEF"/>
    <w:rsid w:val="00426BED"/>
    <w:rsid w:val="00430476"/>
    <w:rsid w:val="004318EB"/>
    <w:rsid w:val="00433141"/>
    <w:rsid w:val="004375E9"/>
    <w:rsid w:val="004414EE"/>
    <w:rsid w:val="0044184E"/>
    <w:rsid w:val="00441CBD"/>
    <w:rsid w:val="00441EB0"/>
    <w:rsid w:val="00443516"/>
    <w:rsid w:val="00445237"/>
    <w:rsid w:val="004505A3"/>
    <w:rsid w:val="00450F24"/>
    <w:rsid w:val="004515D9"/>
    <w:rsid w:val="0045368B"/>
    <w:rsid w:val="00454E8C"/>
    <w:rsid w:val="004553D4"/>
    <w:rsid w:val="00455F8C"/>
    <w:rsid w:val="00456BAB"/>
    <w:rsid w:val="00457604"/>
    <w:rsid w:val="00462395"/>
    <w:rsid w:val="00463AEF"/>
    <w:rsid w:val="004653DE"/>
    <w:rsid w:val="004656A9"/>
    <w:rsid w:val="00467C59"/>
    <w:rsid w:val="004734ED"/>
    <w:rsid w:val="004754CA"/>
    <w:rsid w:val="004756DA"/>
    <w:rsid w:val="00475AB2"/>
    <w:rsid w:val="00477153"/>
    <w:rsid w:val="00484651"/>
    <w:rsid w:val="0048605D"/>
    <w:rsid w:val="0048684D"/>
    <w:rsid w:val="00487304"/>
    <w:rsid w:val="00490975"/>
    <w:rsid w:val="00492B2C"/>
    <w:rsid w:val="00495F95"/>
    <w:rsid w:val="004A1569"/>
    <w:rsid w:val="004A236B"/>
    <w:rsid w:val="004A2597"/>
    <w:rsid w:val="004A282C"/>
    <w:rsid w:val="004A2C94"/>
    <w:rsid w:val="004A39F2"/>
    <w:rsid w:val="004A3A2F"/>
    <w:rsid w:val="004A4248"/>
    <w:rsid w:val="004A4C47"/>
    <w:rsid w:val="004A4E4C"/>
    <w:rsid w:val="004A7985"/>
    <w:rsid w:val="004B128D"/>
    <w:rsid w:val="004B3CA7"/>
    <w:rsid w:val="004B473F"/>
    <w:rsid w:val="004B5A13"/>
    <w:rsid w:val="004B7BC6"/>
    <w:rsid w:val="004C0574"/>
    <w:rsid w:val="004C0CF8"/>
    <w:rsid w:val="004C190F"/>
    <w:rsid w:val="004C2FFB"/>
    <w:rsid w:val="004C7880"/>
    <w:rsid w:val="004D1DAE"/>
    <w:rsid w:val="004D302D"/>
    <w:rsid w:val="004D37E0"/>
    <w:rsid w:val="004D3B31"/>
    <w:rsid w:val="004D4BB8"/>
    <w:rsid w:val="004E0DEC"/>
    <w:rsid w:val="004E182C"/>
    <w:rsid w:val="004E4B8A"/>
    <w:rsid w:val="004E6E70"/>
    <w:rsid w:val="004E7981"/>
    <w:rsid w:val="004F01EA"/>
    <w:rsid w:val="004F1A62"/>
    <w:rsid w:val="004F2F3C"/>
    <w:rsid w:val="004F38A5"/>
    <w:rsid w:val="004F52BC"/>
    <w:rsid w:val="004F7800"/>
    <w:rsid w:val="00501B60"/>
    <w:rsid w:val="00501E3F"/>
    <w:rsid w:val="00502D20"/>
    <w:rsid w:val="00503B27"/>
    <w:rsid w:val="00505344"/>
    <w:rsid w:val="005055E7"/>
    <w:rsid w:val="0050679C"/>
    <w:rsid w:val="005069E8"/>
    <w:rsid w:val="00507328"/>
    <w:rsid w:val="00507347"/>
    <w:rsid w:val="00511871"/>
    <w:rsid w:val="00513DB8"/>
    <w:rsid w:val="00513E71"/>
    <w:rsid w:val="0052029E"/>
    <w:rsid w:val="00522D14"/>
    <w:rsid w:val="0052479B"/>
    <w:rsid w:val="005259EB"/>
    <w:rsid w:val="00525BFF"/>
    <w:rsid w:val="00526049"/>
    <w:rsid w:val="00526477"/>
    <w:rsid w:val="00526A05"/>
    <w:rsid w:val="00527EEF"/>
    <w:rsid w:val="005319AE"/>
    <w:rsid w:val="00532E4C"/>
    <w:rsid w:val="0053422C"/>
    <w:rsid w:val="00535809"/>
    <w:rsid w:val="00536346"/>
    <w:rsid w:val="00536B0B"/>
    <w:rsid w:val="005371A4"/>
    <w:rsid w:val="00537E39"/>
    <w:rsid w:val="00540BD9"/>
    <w:rsid w:val="00542D87"/>
    <w:rsid w:val="00544497"/>
    <w:rsid w:val="00547448"/>
    <w:rsid w:val="0055303D"/>
    <w:rsid w:val="005530CC"/>
    <w:rsid w:val="00554873"/>
    <w:rsid w:val="00554F21"/>
    <w:rsid w:val="00555206"/>
    <w:rsid w:val="005555C9"/>
    <w:rsid w:val="005572E2"/>
    <w:rsid w:val="005616AD"/>
    <w:rsid w:val="00562D3C"/>
    <w:rsid w:val="0056402E"/>
    <w:rsid w:val="005642BE"/>
    <w:rsid w:val="00564AA5"/>
    <w:rsid w:val="00565C0A"/>
    <w:rsid w:val="0056615D"/>
    <w:rsid w:val="00566856"/>
    <w:rsid w:val="0056710A"/>
    <w:rsid w:val="005675AC"/>
    <w:rsid w:val="005703A3"/>
    <w:rsid w:val="00573FDB"/>
    <w:rsid w:val="005775D4"/>
    <w:rsid w:val="0058083B"/>
    <w:rsid w:val="00583D32"/>
    <w:rsid w:val="0058437B"/>
    <w:rsid w:val="00585620"/>
    <w:rsid w:val="00587E6D"/>
    <w:rsid w:val="00591268"/>
    <w:rsid w:val="00592A0D"/>
    <w:rsid w:val="00594BCC"/>
    <w:rsid w:val="00595402"/>
    <w:rsid w:val="00595801"/>
    <w:rsid w:val="00595E51"/>
    <w:rsid w:val="00596056"/>
    <w:rsid w:val="00596892"/>
    <w:rsid w:val="00596A9B"/>
    <w:rsid w:val="005A03A7"/>
    <w:rsid w:val="005A084D"/>
    <w:rsid w:val="005A0FD1"/>
    <w:rsid w:val="005A6B6D"/>
    <w:rsid w:val="005A7AD5"/>
    <w:rsid w:val="005B03FC"/>
    <w:rsid w:val="005B7AC6"/>
    <w:rsid w:val="005C17AC"/>
    <w:rsid w:val="005C230F"/>
    <w:rsid w:val="005C51C1"/>
    <w:rsid w:val="005D010B"/>
    <w:rsid w:val="005D1324"/>
    <w:rsid w:val="005D19CA"/>
    <w:rsid w:val="005D39EE"/>
    <w:rsid w:val="005D3DFF"/>
    <w:rsid w:val="005D472F"/>
    <w:rsid w:val="005D6363"/>
    <w:rsid w:val="005E23D8"/>
    <w:rsid w:val="005E773D"/>
    <w:rsid w:val="005E7AC7"/>
    <w:rsid w:val="005F16E1"/>
    <w:rsid w:val="005F29D0"/>
    <w:rsid w:val="005F7CBA"/>
    <w:rsid w:val="00601B7A"/>
    <w:rsid w:val="00606839"/>
    <w:rsid w:val="0060759C"/>
    <w:rsid w:val="00607A05"/>
    <w:rsid w:val="00611023"/>
    <w:rsid w:val="00611210"/>
    <w:rsid w:val="006114CE"/>
    <w:rsid w:val="006120F0"/>
    <w:rsid w:val="00612D97"/>
    <w:rsid w:val="006144EE"/>
    <w:rsid w:val="006167B3"/>
    <w:rsid w:val="006170A1"/>
    <w:rsid w:val="00617D9C"/>
    <w:rsid w:val="00621172"/>
    <w:rsid w:val="00622F24"/>
    <w:rsid w:val="00624E14"/>
    <w:rsid w:val="00632EF2"/>
    <w:rsid w:val="00632FAA"/>
    <w:rsid w:val="00633289"/>
    <w:rsid w:val="00634A2A"/>
    <w:rsid w:val="00635444"/>
    <w:rsid w:val="006371CE"/>
    <w:rsid w:val="00643E01"/>
    <w:rsid w:val="00644882"/>
    <w:rsid w:val="0064629B"/>
    <w:rsid w:val="006463E5"/>
    <w:rsid w:val="006473D5"/>
    <w:rsid w:val="006514D4"/>
    <w:rsid w:val="00651E97"/>
    <w:rsid w:val="006558B7"/>
    <w:rsid w:val="006571B5"/>
    <w:rsid w:val="0066152B"/>
    <w:rsid w:val="006618C9"/>
    <w:rsid w:val="00662850"/>
    <w:rsid w:val="00664A5D"/>
    <w:rsid w:val="006650BC"/>
    <w:rsid w:val="006658EA"/>
    <w:rsid w:val="00665E5E"/>
    <w:rsid w:val="00667F98"/>
    <w:rsid w:val="00673D00"/>
    <w:rsid w:val="00674B0B"/>
    <w:rsid w:val="00674DCD"/>
    <w:rsid w:val="00675222"/>
    <w:rsid w:val="00676E2C"/>
    <w:rsid w:val="0068005D"/>
    <w:rsid w:val="006806CB"/>
    <w:rsid w:val="006810AE"/>
    <w:rsid w:val="00681892"/>
    <w:rsid w:val="00682674"/>
    <w:rsid w:val="0068352A"/>
    <w:rsid w:val="0068513D"/>
    <w:rsid w:val="00686552"/>
    <w:rsid w:val="0068707F"/>
    <w:rsid w:val="006914E7"/>
    <w:rsid w:val="00694EE5"/>
    <w:rsid w:val="00697554"/>
    <w:rsid w:val="006A1005"/>
    <w:rsid w:val="006A2B0A"/>
    <w:rsid w:val="006A3CFF"/>
    <w:rsid w:val="006A5320"/>
    <w:rsid w:val="006A5C4D"/>
    <w:rsid w:val="006A7D13"/>
    <w:rsid w:val="006B1B43"/>
    <w:rsid w:val="006B2243"/>
    <w:rsid w:val="006B342D"/>
    <w:rsid w:val="006B5264"/>
    <w:rsid w:val="006C5EDD"/>
    <w:rsid w:val="006C68D6"/>
    <w:rsid w:val="006D09EF"/>
    <w:rsid w:val="006D38C2"/>
    <w:rsid w:val="006D582F"/>
    <w:rsid w:val="006D5F6F"/>
    <w:rsid w:val="006D6373"/>
    <w:rsid w:val="006D7754"/>
    <w:rsid w:val="006D7FD6"/>
    <w:rsid w:val="006E052A"/>
    <w:rsid w:val="006E3438"/>
    <w:rsid w:val="006E4069"/>
    <w:rsid w:val="006E77BA"/>
    <w:rsid w:val="006F06EC"/>
    <w:rsid w:val="006F3A9D"/>
    <w:rsid w:val="006F69C4"/>
    <w:rsid w:val="00700507"/>
    <w:rsid w:val="00701787"/>
    <w:rsid w:val="00701D5F"/>
    <w:rsid w:val="007025F9"/>
    <w:rsid w:val="0070523B"/>
    <w:rsid w:val="00705937"/>
    <w:rsid w:val="00706C31"/>
    <w:rsid w:val="0070786E"/>
    <w:rsid w:val="0071111D"/>
    <w:rsid w:val="0071112D"/>
    <w:rsid w:val="0071397D"/>
    <w:rsid w:val="00713FE3"/>
    <w:rsid w:val="00717640"/>
    <w:rsid w:val="007201FA"/>
    <w:rsid w:val="00722C4D"/>
    <w:rsid w:val="00725511"/>
    <w:rsid w:val="007266F4"/>
    <w:rsid w:val="00727FAD"/>
    <w:rsid w:val="007323BA"/>
    <w:rsid w:val="00733E6D"/>
    <w:rsid w:val="00734BB0"/>
    <w:rsid w:val="00734DD8"/>
    <w:rsid w:val="00734FEA"/>
    <w:rsid w:val="007362FF"/>
    <w:rsid w:val="00736545"/>
    <w:rsid w:val="00736E81"/>
    <w:rsid w:val="0074272F"/>
    <w:rsid w:val="00747403"/>
    <w:rsid w:val="00747946"/>
    <w:rsid w:val="00747B69"/>
    <w:rsid w:val="00750FD5"/>
    <w:rsid w:val="00751ECB"/>
    <w:rsid w:val="00754DBC"/>
    <w:rsid w:val="0075520E"/>
    <w:rsid w:val="00755ED3"/>
    <w:rsid w:val="00756006"/>
    <w:rsid w:val="00757555"/>
    <w:rsid w:val="007614C1"/>
    <w:rsid w:val="00761CE6"/>
    <w:rsid w:val="00766658"/>
    <w:rsid w:val="007705B5"/>
    <w:rsid w:val="007711EB"/>
    <w:rsid w:val="00773333"/>
    <w:rsid w:val="007742BC"/>
    <w:rsid w:val="00775676"/>
    <w:rsid w:val="0077630C"/>
    <w:rsid w:val="007776EF"/>
    <w:rsid w:val="007802AC"/>
    <w:rsid w:val="00780B4C"/>
    <w:rsid w:val="0078510C"/>
    <w:rsid w:val="00786415"/>
    <w:rsid w:val="00787331"/>
    <w:rsid w:val="007879CF"/>
    <w:rsid w:val="00794D12"/>
    <w:rsid w:val="00795715"/>
    <w:rsid w:val="00795CAE"/>
    <w:rsid w:val="007969EF"/>
    <w:rsid w:val="007A21F1"/>
    <w:rsid w:val="007A72EF"/>
    <w:rsid w:val="007B10FE"/>
    <w:rsid w:val="007B754F"/>
    <w:rsid w:val="007C254D"/>
    <w:rsid w:val="007C54F5"/>
    <w:rsid w:val="007C596F"/>
    <w:rsid w:val="007C5CF1"/>
    <w:rsid w:val="007C6308"/>
    <w:rsid w:val="007C76B8"/>
    <w:rsid w:val="007D0E77"/>
    <w:rsid w:val="007D22BA"/>
    <w:rsid w:val="007D24BD"/>
    <w:rsid w:val="007D2E0F"/>
    <w:rsid w:val="007D3543"/>
    <w:rsid w:val="007D3E62"/>
    <w:rsid w:val="007D5145"/>
    <w:rsid w:val="007D5A81"/>
    <w:rsid w:val="007D61F3"/>
    <w:rsid w:val="007D668B"/>
    <w:rsid w:val="007E3288"/>
    <w:rsid w:val="007E492C"/>
    <w:rsid w:val="007E4C55"/>
    <w:rsid w:val="007E612F"/>
    <w:rsid w:val="007E70D3"/>
    <w:rsid w:val="007E7186"/>
    <w:rsid w:val="007E7422"/>
    <w:rsid w:val="007F21B5"/>
    <w:rsid w:val="007F2DBA"/>
    <w:rsid w:val="007F2F3E"/>
    <w:rsid w:val="007F5A21"/>
    <w:rsid w:val="007F5A5A"/>
    <w:rsid w:val="007F670E"/>
    <w:rsid w:val="007F67DD"/>
    <w:rsid w:val="007F6C73"/>
    <w:rsid w:val="007F6CB5"/>
    <w:rsid w:val="008000E2"/>
    <w:rsid w:val="008030C4"/>
    <w:rsid w:val="008037B0"/>
    <w:rsid w:val="008062F0"/>
    <w:rsid w:val="00806B8C"/>
    <w:rsid w:val="008104BF"/>
    <w:rsid w:val="0081212B"/>
    <w:rsid w:val="00813FD5"/>
    <w:rsid w:val="00816090"/>
    <w:rsid w:val="00817B39"/>
    <w:rsid w:val="00820A56"/>
    <w:rsid w:val="00825EDC"/>
    <w:rsid w:val="00826C96"/>
    <w:rsid w:val="00826E3D"/>
    <w:rsid w:val="008272E7"/>
    <w:rsid w:val="008274F8"/>
    <w:rsid w:val="00833341"/>
    <w:rsid w:val="0083341A"/>
    <w:rsid w:val="00834249"/>
    <w:rsid w:val="00837509"/>
    <w:rsid w:val="008413DB"/>
    <w:rsid w:val="008413ED"/>
    <w:rsid w:val="008435E0"/>
    <w:rsid w:val="00843A0D"/>
    <w:rsid w:val="00844E98"/>
    <w:rsid w:val="008461E7"/>
    <w:rsid w:val="0084669F"/>
    <w:rsid w:val="00846820"/>
    <w:rsid w:val="00847956"/>
    <w:rsid w:val="0085056F"/>
    <w:rsid w:val="00850A46"/>
    <w:rsid w:val="00851309"/>
    <w:rsid w:val="00851DBE"/>
    <w:rsid w:val="00852F1F"/>
    <w:rsid w:val="008535EF"/>
    <w:rsid w:val="00853BCF"/>
    <w:rsid w:val="00854049"/>
    <w:rsid w:val="008552B9"/>
    <w:rsid w:val="00855A1D"/>
    <w:rsid w:val="00856FCF"/>
    <w:rsid w:val="00860319"/>
    <w:rsid w:val="00861817"/>
    <w:rsid w:val="00861E60"/>
    <w:rsid w:val="00866116"/>
    <w:rsid w:val="008675B1"/>
    <w:rsid w:val="0086761B"/>
    <w:rsid w:val="00867846"/>
    <w:rsid w:val="00867EBB"/>
    <w:rsid w:val="00870CBC"/>
    <w:rsid w:val="008719E3"/>
    <w:rsid w:val="00871D54"/>
    <w:rsid w:val="00872525"/>
    <w:rsid w:val="00873C68"/>
    <w:rsid w:val="00875627"/>
    <w:rsid w:val="00875A28"/>
    <w:rsid w:val="00881178"/>
    <w:rsid w:val="008818A4"/>
    <w:rsid w:val="008818F2"/>
    <w:rsid w:val="008849D6"/>
    <w:rsid w:val="0088579D"/>
    <w:rsid w:val="00886CAF"/>
    <w:rsid w:val="008871FF"/>
    <w:rsid w:val="00892B7B"/>
    <w:rsid w:val="008951A9"/>
    <w:rsid w:val="008960E8"/>
    <w:rsid w:val="0089748E"/>
    <w:rsid w:val="008A1239"/>
    <w:rsid w:val="008A2B6D"/>
    <w:rsid w:val="008A3960"/>
    <w:rsid w:val="008A4116"/>
    <w:rsid w:val="008A5204"/>
    <w:rsid w:val="008A562E"/>
    <w:rsid w:val="008A6634"/>
    <w:rsid w:val="008A7400"/>
    <w:rsid w:val="008B0D41"/>
    <w:rsid w:val="008B12CA"/>
    <w:rsid w:val="008B2047"/>
    <w:rsid w:val="008B499A"/>
    <w:rsid w:val="008B68E2"/>
    <w:rsid w:val="008C330A"/>
    <w:rsid w:val="008C3F2E"/>
    <w:rsid w:val="008D2095"/>
    <w:rsid w:val="008D2CA3"/>
    <w:rsid w:val="008D546D"/>
    <w:rsid w:val="008D6F8E"/>
    <w:rsid w:val="008E10DA"/>
    <w:rsid w:val="008E3344"/>
    <w:rsid w:val="008E42EA"/>
    <w:rsid w:val="008E4BB9"/>
    <w:rsid w:val="008E6DE4"/>
    <w:rsid w:val="008E7083"/>
    <w:rsid w:val="008F03A8"/>
    <w:rsid w:val="008F0FE2"/>
    <w:rsid w:val="008F3BBE"/>
    <w:rsid w:val="0090298A"/>
    <w:rsid w:val="00904741"/>
    <w:rsid w:val="00907A28"/>
    <w:rsid w:val="009110E3"/>
    <w:rsid w:val="00912081"/>
    <w:rsid w:val="00912CA6"/>
    <w:rsid w:val="00912F4D"/>
    <w:rsid w:val="0091310A"/>
    <w:rsid w:val="00913579"/>
    <w:rsid w:val="00914C13"/>
    <w:rsid w:val="00920644"/>
    <w:rsid w:val="00921B5B"/>
    <w:rsid w:val="00922A9B"/>
    <w:rsid w:val="00922CDD"/>
    <w:rsid w:val="00922F39"/>
    <w:rsid w:val="009232D8"/>
    <w:rsid w:val="00927AB8"/>
    <w:rsid w:val="00930BB0"/>
    <w:rsid w:val="0093290B"/>
    <w:rsid w:val="00932B24"/>
    <w:rsid w:val="00932D76"/>
    <w:rsid w:val="0093320E"/>
    <w:rsid w:val="009335AA"/>
    <w:rsid w:val="0093748D"/>
    <w:rsid w:val="009376DD"/>
    <w:rsid w:val="00937F64"/>
    <w:rsid w:val="009414AD"/>
    <w:rsid w:val="009418EF"/>
    <w:rsid w:val="00943293"/>
    <w:rsid w:val="009441C4"/>
    <w:rsid w:val="00945DAC"/>
    <w:rsid w:val="00946293"/>
    <w:rsid w:val="009507CA"/>
    <w:rsid w:val="00950BAB"/>
    <w:rsid w:val="0095124E"/>
    <w:rsid w:val="00953045"/>
    <w:rsid w:val="009537CB"/>
    <w:rsid w:val="00954172"/>
    <w:rsid w:val="00955DDC"/>
    <w:rsid w:val="00956C22"/>
    <w:rsid w:val="00956CBA"/>
    <w:rsid w:val="009603BF"/>
    <w:rsid w:val="00961DCF"/>
    <w:rsid w:val="00961EC1"/>
    <w:rsid w:val="00962704"/>
    <w:rsid w:val="00965198"/>
    <w:rsid w:val="00965B2C"/>
    <w:rsid w:val="009667C0"/>
    <w:rsid w:val="00970F7A"/>
    <w:rsid w:val="00973AE4"/>
    <w:rsid w:val="00974EBD"/>
    <w:rsid w:val="009765DA"/>
    <w:rsid w:val="0097734C"/>
    <w:rsid w:val="00977EE2"/>
    <w:rsid w:val="0098683C"/>
    <w:rsid w:val="00995302"/>
    <w:rsid w:val="009967EB"/>
    <w:rsid w:val="00997A8E"/>
    <w:rsid w:val="00997EA7"/>
    <w:rsid w:val="009A059E"/>
    <w:rsid w:val="009A1BEE"/>
    <w:rsid w:val="009A1D1C"/>
    <w:rsid w:val="009A5A2A"/>
    <w:rsid w:val="009A6244"/>
    <w:rsid w:val="009A6E95"/>
    <w:rsid w:val="009A6F6B"/>
    <w:rsid w:val="009A77CE"/>
    <w:rsid w:val="009B0ECA"/>
    <w:rsid w:val="009B0F8C"/>
    <w:rsid w:val="009B1865"/>
    <w:rsid w:val="009B2F6D"/>
    <w:rsid w:val="009B2F86"/>
    <w:rsid w:val="009B3339"/>
    <w:rsid w:val="009B595B"/>
    <w:rsid w:val="009B5FDA"/>
    <w:rsid w:val="009B616D"/>
    <w:rsid w:val="009B6C08"/>
    <w:rsid w:val="009C293A"/>
    <w:rsid w:val="009C3EB0"/>
    <w:rsid w:val="009C7824"/>
    <w:rsid w:val="009C7BE5"/>
    <w:rsid w:val="009D154E"/>
    <w:rsid w:val="009D240E"/>
    <w:rsid w:val="009D2AA6"/>
    <w:rsid w:val="009D3D59"/>
    <w:rsid w:val="009D77E3"/>
    <w:rsid w:val="009E18A1"/>
    <w:rsid w:val="009E2EA6"/>
    <w:rsid w:val="009E32BE"/>
    <w:rsid w:val="009E3481"/>
    <w:rsid w:val="009E38CE"/>
    <w:rsid w:val="009E42BC"/>
    <w:rsid w:val="009E59CB"/>
    <w:rsid w:val="009E7233"/>
    <w:rsid w:val="009E79EC"/>
    <w:rsid w:val="009E7D86"/>
    <w:rsid w:val="009F037A"/>
    <w:rsid w:val="009F07E9"/>
    <w:rsid w:val="009F1DDA"/>
    <w:rsid w:val="009F32EF"/>
    <w:rsid w:val="009F3C04"/>
    <w:rsid w:val="009F4CEE"/>
    <w:rsid w:val="009F6899"/>
    <w:rsid w:val="00A006D9"/>
    <w:rsid w:val="00A01012"/>
    <w:rsid w:val="00A01E6E"/>
    <w:rsid w:val="00A031A3"/>
    <w:rsid w:val="00A03508"/>
    <w:rsid w:val="00A043E7"/>
    <w:rsid w:val="00A06228"/>
    <w:rsid w:val="00A108BC"/>
    <w:rsid w:val="00A11297"/>
    <w:rsid w:val="00A13206"/>
    <w:rsid w:val="00A14125"/>
    <w:rsid w:val="00A1445F"/>
    <w:rsid w:val="00A15226"/>
    <w:rsid w:val="00A224F3"/>
    <w:rsid w:val="00A2485E"/>
    <w:rsid w:val="00A254EE"/>
    <w:rsid w:val="00A315AA"/>
    <w:rsid w:val="00A3595F"/>
    <w:rsid w:val="00A35A39"/>
    <w:rsid w:val="00A40E98"/>
    <w:rsid w:val="00A428DE"/>
    <w:rsid w:val="00A43175"/>
    <w:rsid w:val="00A43F46"/>
    <w:rsid w:val="00A476EF"/>
    <w:rsid w:val="00A47FFB"/>
    <w:rsid w:val="00A51506"/>
    <w:rsid w:val="00A51FC3"/>
    <w:rsid w:val="00A52487"/>
    <w:rsid w:val="00A539CE"/>
    <w:rsid w:val="00A5605E"/>
    <w:rsid w:val="00A573FD"/>
    <w:rsid w:val="00A57B27"/>
    <w:rsid w:val="00A60CD4"/>
    <w:rsid w:val="00A61B92"/>
    <w:rsid w:val="00A630F9"/>
    <w:rsid w:val="00A64B24"/>
    <w:rsid w:val="00A6642F"/>
    <w:rsid w:val="00A66D5C"/>
    <w:rsid w:val="00A7388B"/>
    <w:rsid w:val="00A73FEA"/>
    <w:rsid w:val="00A74DF0"/>
    <w:rsid w:val="00A751F9"/>
    <w:rsid w:val="00A77600"/>
    <w:rsid w:val="00A81B58"/>
    <w:rsid w:val="00A868F4"/>
    <w:rsid w:val="00A923FB"/>
    <w:rsid w:val="00A94FAA"/>
    <w:rsid w:val="00A97076"/>
    <w:rsid w:val="00A97B22"/>
    <w:rsid w:val="00A97F79"/>
    <w:rsid w:val="00AA2FBC"/>
    <w:rsid w:val="00AA4985"/>
    <w:rsid w:val="00AA4DBE"/>
    <w:rsid w:val="00AA65DD"/>
    <w:rsid w:val="00AB2D48"/>
    <w:rsid w:val="00AB2E54"/>
    <w:rsid w:val="00AB6566"/>
    <w:rsid w:val="00AC0FD5"/>
    <w:rsid w:val="00AC1F91"/>
    <w:rsid w:val="00AC223C"/>
    <w:rsid w:val="00AC29E3"/>
    <w:rsid w:val="00AC3711"/>
    <w:rsid w:val="00AC423C"/>
    <w:rsid w:val="00AC4960"/>
    <w:rsid w:val="00AC5429"/>
    <w:rsid w:val="00AC7CFF"/>
    <w:rsid w:val="00AD0906"/>
    <w:rsid w:val="00AD0F7C"/>
    <w:rsid w:val="00AD1611"/>
    <w:rsid w:val="00AD1E28"/>
    <w:rsid w:val="00AD2A3A"/>
    <w:rsid w:val="00AD4ABC"/>
    <w:rsid w:val="00AD4E35"/>
    <w:rsid w:val="00AD5DA0"/>
    <w:rsid w:val="00AD765C"/>
    <w:rsid w:val="00AE1F81"/>
    <w:rsid w:val="00AE3C3D"/>
    <w:rsid w:val="00AE4AFA"/>
    <w:rsid w:val="00AE762E"/>
    <w:rsid w:val="00AE77F2"/>
    <w:rsid w:val="00AE7C08"/>
    <w:rsid w:val="00AF0D4D"/>
    <w:rsid w:val="00AF1EB8"/>
    <w:rsid w:val="00AF3630"/>
    <w:rsid w:val="00AF4E0A"/>
    <w:rsid w:val="00AF739D"/>
    <w:rsid w:val="00B00D05"/>
    <w:rsid w:val="00B03DB0"/>
    <w:rsid w:val="00B04F4A"/>
    <w:rsid w:val="00B06692"/>
    <w:rsid w:val="00B06B2C"/>
    <w:rsid w:val="00B0722F"/>
    <w:rsid w:val="00B07F8B"/>
    <w:rsid w:val="00B11EB4"/>
    <w:rsid w:val="00B12420"/>
    <w:rsid w:val="00B12445"/>
    <w:rsid w:val="00B12A0D"/>
    <w:rsid w:val="00B14D6A"/>
    <w:rsid w:val="00B215C3"/>
    <w:rsid w:val="00B23B81"/>
    <w:rsid w:val="00B246D2"/>
    <w:rsid w:val="00B3110E"/>
    <w:rsid w:val="00B31D70"/>
    <w:rsid w:val="00B33202"/>
    <w:rsid w:val="00B34756"/>
    <w:rsid w:val="00B34A5A"/>
    <w:rsid w:val="00B42105"/>
    <w:rsid w:val="00B437B4"/>
    <w:rsid w:val="00B43A19"/>
    <w:rsid w:val="00B455DA"/>
    <w:rsid w:val="00B5165B"/>
    <w:rsid w:val="00B52175"/>
    <w:rsid w:val="00B53008"/>
    <w:rsid w:val="00B548B3"/>
    <w:rsid w:val="00B5755A"/>
    <w:rsid w:val="00B601D7"/>
    <w:rsid w:val="00B6668D"/>
    <w:rsid w:val="00B6766F"/>
    <w:rsid w:val="00B72CC5"/>
    <w:rsid w:val="00B76326"/>
    <w:rsid w:val="00B7773A"/>
    <w:rsid w:val="00B77DC4"/>
    <w:rsid w:val="00B804C0"/>
    <w:rsid w:val="00B81020"/>
    <w:rsid w:val="00B82A10"/>
    <w:rsid w:val="00B82B1E"/>
    <w:rsid w:val="00B82F4E"/>
    <w:rsid w:val="00B849BC"/>
    <w:rsid w:val="00B84B1F"/>
    <w:rsid w:val="00B86DFB"/>
    <w:rsid w:val="00B86E84"/>
    <w:rsid w:val="00B87309"/>
    <w:rsid w:val="00B91FBD"/>
    <w:rsid w:val="00B94B56"/>
    <w:rsid w:val="00B95DA3"/>
    <w:rsid w:val="00B96604"/>
    <w:rsid w:val="00B96BD3"/>
    <w:rsid w:val="00B9737D"/>
    <w:rsid w:val="00BA13C4"/>
    <w:rsid w:val="00BB1AF3"/>
    <w:rsid w:val="00BB1EAA"/>
    <w:rsid w:val="00BB472F"/>
    <w:rsid w:val="00BB5545"/>
    <w:rsid w:val="00BC0207"/>
    <w:rsid w:val="00BC0FD9"/>
    <w:rsid w:val="00BC15E3"/>
    <w:rsid w:val="00BC203F"/>
    <w:rsid w:val="00BC3443"/>
    <w:rsid w:val="00BD261F"/>
    <w:rsid w:val="00BD4805"/>
    <w:rsid w:val="00BD51CD"/>
    <w:rsid w:val="00BD59B5"/>
    <w:rsid w:val="00BD7FBE"/>
    <w:rsid w:val="00BE380A"/>
    <w:rsid w:val="00BE3DC5"/>
    <w:rsid w:val="00BE5472"/>
    <w:rsid w:val="00BE6814"/>
    <w:rsid w:val="00BE688D"/>
    <w:rsid w:val="00BE7834"/>
    <w:rsid w:val="00BF04AB"/>
    <w:rsid w:val="00BF247A"/>
    <w:rsid w:val="00BF28D2"/>
    <w:rsid w:val="00BF4D72"/>
    <w:rsid w:val="00BF4FF9"/>
    <w:rsid w:val="00BF6FC9"/>
    <w:rsid w:val="00BF7C35"/>
    <w:rsid w:val="00C01A49"/>
    <w:rsid w:val="00C021F2"/>
    <w:rsid w:val="00C02DDA"/>
    <w:rsid w:val="00C04B80"/>
    <w:rsid w:val="00C06E90"/>
    <w:rsid w:val="00C07BF3"/>
    <w:rsid w:val="00C10979"/>
    <w:rsid w:val="00C11248"/>
    <w:rsid w:val="00C128EC"/>
    <w:rsid w:val="00C12BE9"/>
    <w:rsid w:val="00C14755"/>
    <w:rsid w:val="00C162A7"/>
    <w:rsid w:val="00C23153"/>
    <w:rsid w:val="00C23CE8"/>
    <w:rsid w:val="00C24043"/>
    <w:rsid w:val="00C26A20"/>
    <w:rsid w:val="00C30AB3"/>
    <w:rsid w:val="00C30C76"/>
    <w:rsid w:val="00C31894"/>
    <w:rsid w:val="00C31E80"/>
    <w:rsid w:val="00C34C51"/>
    <w:rsid w:val="00C35400"/>
    <w:rsid w:val="00C36010"/>
    <w:rsid w:val="00C40273"/>
    <w:rsid w:val="00C40D40"/>
    <w:rsid w:val="00C467ED"/>
    <w:rsid w:val="00C47D06"/>
    <w:rsid w:val="00C501EA"/>
    <w:rsid w:val="00C515AC"/>
    <w:rsid w:val="00C53194"/>
    <w:rsid w:val="00C53250"/>
    <w:rsid w:val="00C55629"/>
    <w:rsid w:val="00C570D2"/>
    <w:rsid w:val="00C609FC"/>
    <w:rsid w:val="00C63100"/>
    <w:rsid w:val="00C63E06"/>
    <w:rsid w:val="00C646AB"/>
    <w:rsid w:val="00C650B0"/>
    <w:rsid w:val="00C666EC"/>
    <w:rsid w:val="00C71388"/>
    <w:rsid w:val="00C7233C"/>
    <w:rsid w:val="00C72F1F"/>
    <w:rsid w:val="00C75ACE"/>
    <w:rsid w:val="00C767AD"/>
    <w:rsid w:val="00C76856"/>
    <w:rsid w:val="00C83EC4"/>
    <w:rsid w:val="00C84A41"/>
    <w:rsid w:val="00C8506B"/>
    <w:rsid w:val="00C86689"/>
    <w:rsid w:val="00C87D90"/>
    <w:rsid w:val="00C92064"/>
    <w:rsid w:val="00C92588"/>
    <w:rsid w:val="00C931A2"/>
    <w:rsid w:val="00C94463"/>
    <w:rsid w:val="00C958DA"/>
    <w:rsid w:val="00CA29FC"/>
    <w:rsid w:val="00CA356D"/>
    <w:rsid w:val="00CA4149"/>
    <w:rsid w:val="00CA7252"/>
    <w:rsid w:val="00CB28B9"/>
    <w:rsid w:val="00CB391B"/>
    <w:rsid w:val="00CB3A7C"/>
    <w:rsid w:val="00CB5DA6"/>
    <w:rsid w:val="00CC0D25"/>
    <w:rsid w:val="00CC11B4"/>
    <w:rsid w:val="00CC2D20"/>
    <w:rsid w:val="00CC483C"/>
    <w:rsid w:val="00CC7B74"/>
    <w:rsid w:val="00CD1AB7"/>
    <w:rsid w:val="00CD1F25"/>
    <w:rsid w:val="00CD2065"/>
    <w:rsid w:val="00CD2252"/>
    <w:rsid w:val="00CD5DB2"/>
    <w:rsid w:val="00CE08DE"/>
    <w:rsid w:val="00CE27CA"/>
    <w:rsid w:val="00CE318D"/>
    <w:rsid w:val="00CE41DB"/>
    <w:rsid w:val="00CE468E"/>
    <w:rsid w:val="00CE509D"/>
    <w:rsid w:val="00CE7AC1"/>
    <w:rsid w:val="00CF0D3F"/>
    <w:rsid w:val="00CF0D9C"/>
    <w:rsid w:val="00CF0E39"/>
    <w:rsid w:val="00CF12A5"/>
    <w:rsid w:val="00CF2841"/>
    <w:rsid w:val="00CF2DED"/>
    <w:rsid w:val="00CF4810"/>
    <w:rsid w:val="00CF5A38"/>
    <w:rsid w:val="00CF6797"/>
    <w:rsid w:val="00CF6E0F"/>
    <w:rsid w:val="00D0095D"/>
    <w:rsid w:val="00D02328"/>
    <w:rsid w:val="00D03C2F"/>
    <w:rsid w:val="00D060C1"/>
    <w:rsid w:val="00D06940"/>
    <w:rsid w:val="00D07C16"/>
    <w:rsid w:val="00D12A8C"/>
    <w:rsid w:val="00D13A30"/>
    <w:rsid w:val="00D1669A"/>
    <w:rsid w:val="00D17B3F"/>
    <w:rsid w:val="00D204E9"/>
    <w:rsid w:val="00D26E9A"/>
    <w:rsid w:val="00D315E9"/>
    <w:rsid w:val="00D31B29"/>
    <w:rsid w:val="00D343D4"/>
    <w:rsid w:val="00D34B52"/>
    <w:rsid w:val="00D44974"/>
    <w:rsid w:val="00D449E3"/>
    <w:rsid w:val="00D44DA0"/>
    <w:rsid w:val="00D46484"/>
    <w:rsid w:val="00D478B6"/>
    <w:rsid w:val="00D51198"/>
    <w:rsid w:val="00D54397"/>
    <w:rsid w:val="00D566D8"/>
    <w:rsid w:val="00D56795"/>
    <w:rsid w:val="00D56A64"/>
    <w:rsid w:val="00D57990"/>
    <w:rsid w:val="00D6089C"/>
    <w:rsid w:val="00D6389F"/>
    <w:rsid w:val="00D63A8E"/>
    <w:rsid w:val="00D66B7B"/>
    <w:rsid w:val="00D67FB0"/>
    <w:rsid w:val="00D703FB"/>
    <w:rsid w:val="00D72BB5"/>
    <w:rsid w:val="00D72CCB"/>
    <w:rsid w:val="00D72D39"/>
    <w:rsid w:val="00D76B74"/>
    <w:rsid w:val="00D77833"/>
    <w:rsid w:val="00D77A76"/>
    <w:rsid w:val="00D811DF"/>
    <w:rsid w:val="00D83A34"/>
    <w:rsid w:val="00D83CD1"/>
    <w:rsid w:val="00D87F78"/>
    <w:rsid w:val="00D9016A"/>
    <w:rsid w:val="00D9159E"/>
    <w:rsid w:val="00D91FC4"/>
    <w:rsid w:val="00D93FC5"/>
    <w:rsid w:val="00D95BE4"/>
    <w:rsid w:val="00D97719"/>
    <w:rsid w:val="00DA0436"/>
    <w:rsid w:val="00DA12F0"/>
    <w:rsid w:val="00DA306C"/>
    <w:rsid w:val="00DA4190"/>
    <w:rsid w:val="00DA6680"/>
    <w:rsid w:val="00DA6B38"/>
    <w:rsid w:val="00DA74D3"/>
    <w:rsid w:val="00DB1EDC"/>
    <w:rsid w:val="00DB23FE"/>
    <w:rsid w:val="00DB37E8"/>
    <w:rsid w:val="00DB5AA7"/>
    <w:rsid w:val="00DB77CF"/>
    <w:rsid w:val="00DB7AF5"/>
    <w:rsid w:val="00DC1A03"/>
    <w:rsid w:val="00DC3E01"/>
    <w:rsid w:val="00DC64AC"/>
    <w:rsid w:val="00DC7043"/>
    <w:rsid w:val="00DD01AD"/>
    <w:rsid w:val="00DD0427"/>
    <w:rsid w:val="00DD14E6"/>
    <w:rsid w:val="00DD6CC8"/>
    <w:rsid w:val="00DD6EC5"/>
    <w:rsid w:val="00DD74E4"/>
    <w:rsid w:val="00DD7A25"/>
    <w:rsid w:val="00DE0275"/>
    <w:rsid w:val="00DE0C2E"/>
    <w:rsid w:val="00DE20DA"/>
    <w:rsid w:val="00DE341C"/>
    <w:rsid w:val="00DE3434"/>
    <w:rsid w:val="00DE3CE4"/>
    <w:rsid w:val="00DE680E"/>
    <w:rsid w:val="00DE7080"/>
    <w:rsid w:val="00DE7277"/>
    <w:rsid w:val="00DE7536"/>
    <w:rsid w:val="00DF1819"/>
    <w:rsid w:val="00DF18B7"/>
    <w:rsid w:val="00DF228F"/>
    <w:rsid w:val="00DF6486"/>
    <w:rsid w:val="00DF6527"/>
    <w:rsid w:val="00DF6929"/>
    <w:rsid w:val="00DF718D"/>
    <w:rsid w:val="00DF7741"/>
    <w:rsid w:val="00DF7BB5"/>
    <w:rsid w:val="00E030AB"/>
    <w:rsid w:val="00E047E8"/>
    <w:rsid w:val="00E04DF2"/>
    <w:rsid w:val="00E05F06"/>
    <w:rsid w:val="00E07E35"/>
    <w:rsid w:val="00E1098E"/>
    <w:rsid w:val="00E109B8"/>
    <w:rsid w:val="00E1176A"/>
    <w:rsid w:val="00E11F1F"/>
    <w:rsid w:val="00E12C43"/>
    <w:rsid w:val="00E14139"/>
    <w:rsid w:val="00E2029F"/>
    <w:rsid w:val="00E260D6"/>
    <w:rsid w:val="00E2667C"/>
    <w:rsid w:val="00E27083"/>
    <w:rsid w:val="00E3626E"/>
    <w:rsid w:val="00E369D1"/>
    <w:rsid w:val="00E40189"/>
    <w:rsid w:val="00E427FF"/>
    <w:rsid w:val="00E46072"/>
    <w:rsid w:val="00E466D0"/>
    <w:rsid w:val="00E47985"/>
    <w:rsid w:val="00E51112"/>
    <w:rsid w:val="00E52865"/>
    <w:rsid w:val="00E53663"/>
    <w:rsid w:val="00E53E09"/>
    <w:rsid w:val="00E54DC2"/>
    <w:rsid w:val="00E55243"/>
    <w:rsid w:val="00E55F4A"/>
    <w:rsid w:val="00E560B4"/>
    <w:rsid w:val="00E5644E"/>
    <w:rsid w:val="00E576DE"/>
    <w:rsid w:val="00E60C14"/>
    <w:rsid w:val="00E615EE"/>
    <w:rsid w:val="00E63970"/>
    <w:rsid w:val="00E6429B"/>
    <w:rsid w:val="00E65810"/>
    <w:rsid w:val="00E6765E"/>
    <w:rsid w:val="00E7132C"/>
    <w:rsid w:val="00E72B03"/>
    <w:rsid w:val="00E73AA3"/>
    <w:rsid w:val="00E73B69"/>
    <w:rsid w:val="00E75A6B"/>
    <w:rsid w:val="00E777B2"/>
    <w:rsid w:val="00E84766"/>
    <w:rsid w:val="00E86041"/>
    <w:rsid w:val="00E86881"/>
    <w:rsid w:val="00E90D84"/>
    <w:rsid w:val="00E90FC4"/>
    <w:rsid w:val="00E936A7"/>
    <w:rsid w:val="00E943DB"/>
    <w:rsid w:val="00E94C2A"/>
    <w:rsid w:val="00E96432"/>
    <w:rsid w:val="00E9732F"/>
    <w:rsid w:val="00E97FEA"/>
    <w:rsid w:val="00EA18D4"/>
    <w:rsid w:val="00EA47C4"/>
    <w:rsid w:val="00EA7585"/>
    <w:rsid w:val="00EA76DD"/>
    <w:rsid w:val="00EB0981"/>
    <w:rsid w:val="00EB1C30"/>
    <w:rsid w:val="00EB3622"/>
    <w:rsid w:val="00EB37F9"/>
    <w:rsid w:val="00EB3C98"/>
    <w:rsid w:val="00EB3DF0"/>
    <w:rsid w:val="00EB4855"/>
    <w:rsid w:val="00EB5B52"/>
    <w:rsid w:val="00EB5DE3"/>
    <w:rsid w:val="00EB61AD"/>
    <w:rsid w:val="00EC32F1"/>
    <w:rsid w:val="00EC6307"/>
    <w:rsid w:val="00EC6E90"/>
    <w:rsid w:val="00ED0654"/>
    <w:rsid w:val="00ED157F"/>
    <w:rsid w:val="00ED19FD"/>
    <w:rsid w:val="00ED4627"/>
    <w:rsid w:val="00ED7A6E"/>
    <w:rsid w:val="00EE0063"/>
    <w:rsid w:val="00EE5AFF"/>
    <w:rsid w:val="00EE645F"/>
    <w:rsid w:val="00EE6C81"/>
    <w:rsid w:val="00EE6DF8"/>
    <w:rsid w:val="00EE7945"/>
    <w:rsid w:val="00EF2DE1"/>
    <w:rsid w:val="00EF4D99"/>
    <w:rsid w:val="00EF561D"/>
    <w:rsid w:val="00EF73B8"/>
    <w:rsid w:val="00F00E9A"/>
    <w:rsid w:val="00F04FE7"/>
    <w:rsid w:val="00F05CA1"/>
    <w:rsid w:val="00F05DB9"/>
    <w:rsid w:val="00F07CF0"/>
    <w:rsid w:val="00F10A0B"/>
    <w:rsid w:val="00F11B1F"/>
    <w:rsid w:val="00F12955"/>
    <w:rsid w:val="00F1453B"/>
    <w:rsid w:val="00F15B1D"/>
    <w:rsid w:val="00F15F61"/>
    <w:rsid w:val="00F169E7"/>
    <w:rsid w:val="00F22DAD"/>
    <w:rsid w:val="00F23509"/>
    <w:rsid w:val="00F26F3A"/>
    <w:rsid w:val="00F274AE"/>
    <w:rsid w:val="00F306D6"/>
    <w:rsid w:val="00F31EAB"/>
    <w:rsid w:val="00F3421F"/>
    <w:rsid w:val="00F35C3F"/>
    <w:rsid w:val="00F36AF7"/>
    <w:rsid w:val="00F36C79"/>
    <w:rsid w:val="00F37DE1"/>
    <w:rsid w:val="00F40516"/>
    <w:rsid w:val="00F41497"/>
    <w:rsid w:val="00F42442"/>
    <w:rsid w:val="00F44A0C"/>
    <w:rsid w:val="00F459EF"/>
    <w:rsid w:val="00F502A0"/>
    <w:rsid w:val="00F51A95"/>
    <w:rsid w:val="00F523A5"/>
    <w:rsid w:val="00F548D6"/>
    <w:rsid w:val="00F556CE"/>
    <w:rsid w:val="00F56751"/>
    <w:rsid w:val="00F5724A"/>
    <w:rsid w:val="00F57A7B"/>
    <w:rsid w:val="00F60CE6"/>
    <w:rsid w:val="00F647BC"/>
    <w:rsid w:val="00F66E0C"/>
    <w:rsid w:val="00F67187"/>
    <w:rsid w:val="00F70B51"/>
    <w:rsid w:val="00F71B98"/>
    <w:rsid w:val="00F73B70"/>
    <w:rsid w:val="00F73CEB"/>
    <w:rsid w:val="00F758F1"/>
    <w:rsid w:val="00F7707F"/>
    <w:rsid w:val="00F808BE"/>
    <w:rsid w:val="00F823EE"/>
    <w:rsid w:val="00F82C5B"/>
    <w:rsid w:val="00F82D3E"/>
    <w:rsid w:val="00F8405B"/>
    <w:rsid w:val="00F8573B"/>
    <w:rsid w:val="00F86301"/>
    <w:rsid w:val="00F87611"/>
    <w:rsid w:val="00F908AB"/>
    <w:rsid w:val="00F91002"/>
    <w:rsid w:val="00F92338"/>
    <w:rsid w:val="00F9234E"/>
    <w:rsid w:val="00F92505"/>
    <w:rsid w:val="00F9253F"/>
    <w:rsid w:val="00F9655B"/>
    <w:rsid w:val="00F97413"/>
    <w:rsid w:val="00FA01BC"/>
    <w:rsid w:val="00FA1ECD"/>
    <w:rsid w:val="00FA2144"/>
    <w:rsid w:val="00FA2B92"/>
    <w:rsid w:val="00FA3815"/>
    <w:rsid w:val="00FA3AAB"/>
    <w:rsid w:val="00FA4649"/>
    <w:rsid w:val="00FA57DF"/>
    <w:rsid w:val="00FA60CB"/>
    <w:rsid w:val="00FB0474"/>
    <w:rsid w:val="00FB165A"/>
    <w:rsid w:val="00FB1884"/>
    <w:rsid w:val="00FB356D"/>
    <w:rsid w:val="00FC105F"/>
    <w:rsid w:val="00FC4487"/>
    <w:rsid w:val="00FC4493"/>
    <w:rsid w:val="00FC47F3"/>
    <w:rsid w:val="00FC57C9"/>
    <w:rsid w:val="00FC5B8A"/>
    <w:rsid w:val="00FC611C"/>
    <w:rsid w:val="00FD0665"/>
    <w:rsid w:val="00FD3876"/>
    <w:rsid w:val="00FD560D"/>
    <w:rsid w:val="00FE2591"/>
    <w:rsid w:val="00FE25F4"/>
    <w:rsid w:val="00FE3224"/>
    <w:rsid w:val="00FE526B"/>
    <w:rsid w:val="00FE53ED"/>
    <w:rsid w:val="00FE7011"/>
    <w:rsid w:val="00FE779A"/>
    <w:rsid w:val="00FF1F5C"/>
    <w:rsid w:val="00FF28EF"/>
    <w:rsid w:val="00FF325E"/>
    <w:rsid w:val="00FF5BB3"/>
    <w:rsid w:val="00FF6DFE"/>
    <w:rsid w:val="01033B17"/>
    <w:rsid w:val="01FBD0E6"/>
    <w:rsid w:val="05ED9412"/>
    <w:rsid w:val="0616D4A7"/>
    <w:rsid w:val="08CA7353"/>
    <w:rsid w:val="09416DA7"/>
    <w:rsid w:val="0992B877"/>
    <w:rsid w:val="0BA225C7"/>
    <w:rsid w:val="0C14650D"/>
    <w:rsid w:val="0C1F4FDD"/>
    <w:rsid w:val="0C6E3259"/>
    <w:rsid w:val="0DAE7BC6"/>
    <w:rsid w:val="0DE96337"/>
    <w:rsid w:val="0E2C68D9"/>
    <w:rsid w:val="10449148"/>
    <w:rsid w:val="1155798A"/>
    <w:rsid w:val="11F47F99"/>
    <w:rsid w:val="12D30986"/>
    <w:rsid w:val="137CA650"/>
    <w:rsid w:val="158D4ED5"/>
    <w:rsid w:val="15E9A553"/>
    <w:rsid w:val="16E4C0E8"/>
    <w:rsid w:val="170D7335"/>
    <w:rsid w:val="17C7D43B"/>
    <w:rsid w:val="184CE6B9"/>
    <w:rsid w:val="196586FC"/>
    <w:rsid w:val="19CCADF5"/>
    <w:rsid w:val="1A78C4C4"/>
    <w:rsid w:val="1C333EE5"/>
    <w:rsid w:val="1CC5BCDA"/>
    <w:rsid w:val="1CCB76BF"/>
    <w:rsid w:val="1E557BE2"/>
    <w:rsid w:val="1EAD7F9F"/>
    <w:rsid w:val="1EAFEB5D"/>
    <w:rsid w:val="1FB1DE73"/>
    <w:rsid w:val="216FCA6A"/>
    <w:rsid w:val="2178EC49"/>
    <w:rsid w:val="231FFBA0"/>
    <w:rsid w:val="23BDEEC0"/>
    <w:rsid w:val="23FF2574"/>
    <w:rsid w:val="26B4F721"/>
    <w:rsid w:val="2BC5D456"/>
    <w:rsid w:val="2BE67582"/>
    <w:rsid w:val="2D6B0BA9"/>
    <w:rsid w:val="2E1EEE1E"/>
    <w:rsid w:val="2E6E86A5"/>
    <w:rsid w:val="2EBDA804"/>
    <w:rsid w:val="30A0BDF0"/>
    <w:rsid w:val="311F528A"/>
    <w:rsid w:val="34A80493"/>
    <w:rsid w:val="357C8E64"/>
    <w:rsid w:val="3678BB74"/>
    <w:rsid w:val="37247883"/>
    <w:rsid w:val="378FAABD"/>
    <w:rsid w:val="3845CEFD"/>
    <w:rsid w:val="390F19ED"/>
    <w:rsid w:val="3A1DE113"/>
    <w:rsid w:val="3C091187"/>
    <w:rsid w:val="3CEEF855"/>
    <w:rsid w:val="3D86521E"/>
    <w:rsid w:val="3E0A242D"/>
    <w:rsid w:val="3E0A7890"/>
    <w:rsid w:val="3E2EC1DE"/>
    <w:rsid w:val="3E483B74"/>
    <w:rsid w:val="3E6AF85B"/>
    <w:rsid w:val="3E79CA37"/>
    <w:rsid w:val="3EAE952F"/>
    <w:rsid w:val="40A6C124"/>
    <w:rsid w:val="4304894B"/>
    <w:rsid w:val="4410DBD9"/>
    <w:rsid w:val="44B8315F"/>
    <w:rsid w:val="44C94856"/>
    <w:rsid w:val="44F13299"/>
    <w:rsid w:val="4582044D"/>
    <w:rsid w:val="45B9F95F"/>
    <w:rsid w:val="460AB9C3"/>
    <w:rsid w:val="46AB2569"/>
    <w:rsid w:val="46D80AC6"/>
    <w:rsid w:val="46EFE33A"/>
    <w:rsid w:val="47046AF7"/>
    <w:rsid w:val="474BB08F"/>
    <w:rsid w:val="476CB66E"/>
    <w:rsid w:val="48196229"/>
    <w:rsid w:val="49205E80"/>
    <w:rsid w:val="498B275B"/>
    <w:rsid w:val="49B759D1"/>
    <w:rsid w:val="4A954D81"/>
    <w:rsid w:val="4B0CB517"/>
    <w:rsid w:val="4B49C771"/>
    <w:rsid w:val="4BAEFA5F"/>
    <w:rsid w:val="4BCF46BF"/>
    <w:rsid w:val="4CF4E689"/>
    <w:rsid w:val="4D272540"/>
    <w:rsid w:val="4EC8377E"/>
    <w:rsid w:val="4FAC248F"/>
    <w:rsid w:val="5003034B"/>
    <w:rsid w:val="5010B38D"/>
    <w:rsid w:val="5017F01C"/>
    <w:rsid w:val="5049B6F1"/>
    <w:rsid w:val="50AD2698"/>
    <w:rsid w:val="517026BA"/>
    <w:rsid w:val="51BC5BC5"/>
    <w:rsid w:val="524359F2"/>
    <w:rsid w:val="5250350E"/>
    <w:rsid w:val="52957C72"/>
    <w:rsid w:val="54751B04"/>
    <w:rsid w:val="54BBD137"/>
    <w:rsid w:val="55A4CE6A"/>
    <w:rsid w:val="56915557"/>
    <w:rsid w:val="56E35FF4"/>
    <w:rsid w:val="57EDCE00"/>
    <w:rsid w:val="5829E44D"/>
    <w:rsid w:val="58D4CE72"/>
    <w:rsid w:val="59FFDFF2"/>
    <w:rsid w:val="5AE0DA4D"/>
    <w:rsid w:val="5B8D6198"/>
    <w:rsid w:val="5BFD892C"/>
    <w:rsid w:val="5C6E0309"/>
    <w:rsid w:val="5CCA49B4"/>
    <w:rsid w:val="5CE708B3"/>
    <w:rsid w:val="5DB91738"/>
    <w:rsid w:val="5E96F906"/>
    <w:rsid w:val="606B8FA6"/>
    <w:rsid w:val="60F63985"/>
    <w:rsid w:val="623A9F67"/>
    <w:rsid w:val="62BF689E"/>
    <w:rsid w:val="63083032"/>
    <w:rsid w:val="63B8299A"/>
    <w:rsid w:val="64E4EF5C"/>
    <w:rsid w:val="655236C4"/>
    <w:rsid w:val="65FDB89A"/>
    <w:rsid w:val="6717EEB9"/>
    <w:rsid w:val="6B73A39F"/>
    <w:rsid w:val="6C716903"/>
    <w:rsid w:val="6CF43B05"/>
    <w:rsid w:val="6E840524"/>
    <w:rsid w:val="6E9FEE3A"/>
    <w:rsid w:val="6ECC7BDB"/>
    <w:rsid w:val="709FCFDE"/>
    <w:rsid w:val="70B96640"/>
    <w:rsid w:val="70F67456"/>
    <w:rsid w:val="70FBC06C"/>
    <w:rsid w:val="7101458E"/>
    <w:rsid w:val="71636B03"/>
    <w:rsid w:val="7281C619"/>
    <w:rsid w:val="74AD273A"/>
    <w:rsid w:val="757398D0"/>
    <w:rsid w:val="75AA5480"/>
    <w:rsid w:val="7608A873"/>
    <w:rsid w:val="77FD7C46"/>
    <w:rsid w:val="78B42612"/>
    <w:rsid w:val="792FAF65"/>
    <w:rsid w:val="79CAEA9E"/>
    <w:rsid w:val="7B84D858"/>
    <w:rsid w:val="7C0CA2BF"/>
    <w:rsid w:val="7C5FF127"/>
    <w:rsid w:val="7F021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90B15"/>
  <w15:docId w15:val="{4C998C38-5A2D-42B6-ACA3-AFCF6C9F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DF0"/>
    <w:rPr>
      <w:lang w:val="hr-HR"/>
    </w:rPr>
  </w:style>
  <w:style w:type="paragraph" w:styleId="Heading1">
    <w:name w:val="heading 1"/>
    <w:basedOn w:val="Normal"/>
    <w:next w:val="Normal"/>
    <w:link w:val="Heading1Char"/>
    <w:uiPriority w:val="9"/>
    <w:qFormat/>
    <w:rsid w:val="006E052A"/>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2">
    <w:name w:val="heading 2"/>
    <w:basedOn w:val="Normal"/>
    <w:next w:val="Normal"/>
    <w:link w:val="Heading2Char"/>
    <w:uiPriority w:val="9"/>
    <w:unhideWhenUsed/>
    <w:qFormat/>
    <w:rsid w:val="006E05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E05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E052A"/>
    <w:pPr>
      <w:keepNext/>
      <w:keepLines/>
      <w:spacing w:before="40" w:after="0"/>
      <w:outlineLvl w:val="3"/>
    </w:pPr>
    <w:rPr>
      <w:rFonts w:asciiTheme="majorHAnsi" w:eastAsiaTheme="majorEastAsia" w:hAnsiTheme="maj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9707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9707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9707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9707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707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E052A"/>
    <w:rPr>
      <w:rFonts w:asciiTheme="majorHAnsi" w:eastAsiaTheme="majorEastAsia" w:hAnsiTheme="majorHAnsi" w:cstheme="majorBidi"/>
      <w:color w:val="2F5496" w:themeColor="accent1" w:themeShade="BF"/>
      <w:sz w:val="26"/>
      <w:szCs w:val="26"/>
      <w:lang w:val="hr-HR"/>
    </w:rPr>
  </w:style>
  <w:style w:type="character" w:customStyle="1" w:styleId="Heading3Char">
    <w:name w:val="Heading 3 Char"/>
    <w:basedOn w:val="DefaultParagraphFont"/>
    <w:link w:val="Heading3"/>
    <w:uiPriority w:val="9"/>
    <w:rsid w:val="006E052A"/>
    <w:rPr>
      <w:rFonts w:asciiTheme="majorHAnsi" w:eastAsiaTheme="majorEastAsia" w:hAnsiTheme="majorHAnsi" w:cstheme="majorBidi"/>
      <w:color w:val="1F3763" w:themeColor="accent1" w:themeShade="7F"/>
      <w:sz w:val="24"/>
      <w:szCs w:val="24"/>
      <w:lang w:val="hr-HR"/>
    </w:rPr>
  </w:style>
  <w:style w:type="table" w:styleId="TableGrid">
    <w:name w:val="Table Grid"/>
    <w:basedOn w:val="TableNormal"/>
    <w:uiPriority w:val="39"/>
    <w:rsid w:val="006E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E052A"/>
    <w:pPr>
      <w:ind w:left="720"/>
      <w:contextualSpacing/>
    </w:pPr>
  </w:style>
  <w:style w:type="character" w:styleId="Hyperlink">
    <w:name w:val="Hyperlink"/>
    <w:basedOn w:val="DefaultParagraphFont"/>
    <w:uiPriority w:val="99"/>
    <w:unhideWhenUsed/>
    <w:rsid w:val="006E052A"/>
    <w:rPr>
      <w:color w:val="0563C1" w:themeColor="hyperlink"/>
      <w:u w:val="single"/>
    </w:rPr>
  </w:style>
  <w:style w:type="character" w:customStyle="1" w:styleId="Nerijeenospominjanje1">
    <w:name w:val="Neriješeno spominjanje1"/>
    <w:basedOn w:val="DefaultParagraphFont"/>
    <w:uiPriority w:val="99"/>
    <w:semiHidden/>
    <w:unhideWhenUsed/>
    <w:rsid w:val="006E052A"/>
    <w:rPr>
      <w:color w:val="605E5C"/>
      <w:shd w:val="clear" w:color="auto" w:fill="E1DFDD"/>
    </w:rPr>
  </w:style>
  <w:style w:type="paragraph" w:styleId="FootnoteText">
    <w:name w:val="footnote text"/>
    <w:basedOn w:val="Normal"/>
    <w:link w:val="FootnoteTextChar"/>
    <w:uiPriority w:val="99"/>
    <w:semiHidden/>
    <w:unhideWhenUsed/>
    <w:rsid w:val="006E05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052A"/>
    <w:rPr>
      <w:sz w:val="20"/>
      <w:szCs w:val="20"/>
      <w:lang w:val="hr-HR"/>
    </w:rPr>
  </w:style>
  <w:style w:type="character" w:styleId="FootnoteReference">
    <w:name w:val="footnote reference"/>
    <w:basedOn w:val="DefaultParagraphFont"/>
    <w:uiPriority w:val="99"/>
    <w:unhideWhenUsed/>
    <w:rsid w:val="006E052A"/>
    <w:rPr>
      <w:vertAlign w:val="superscript"/>
    </w:rPr>
  </w:style>
  <w:style w:type="paragraph" w:styleId="NormalWeb">
    <w:name w:val="Normal (Web)"/>
    <w:basedOn w:val="Normal"/>
    <w:uiPriority w:val="99"/>
    <w:semiHidden/>
    <w:unhideWhenUsed/>
    <w:rsid w:val="006E052A"/>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E052A"/>
    <w:rPr>
      <w:color w:val="954F72" w:themeColor="followedHyperlink"/>
      <w:u w:val="single"/>
    </w:rPr>
  </w:style>
  <w:style w:type="character" w:customStyle="1" w:styleId="Heading1Char">
    <w:name w:val="Heading 1 Char"/>
    <w:basedOn w:val="DefaultParagraphFont"/>
    <w:link w:val="Heading1"/>
    <w:uiPriority w:val="9"/>
    <w:rsid w:val="006E052A"/>
    <w:rPr>
      <w:rFonts w:asciiTheme="majorHAnsi" w:eastAsiaTheme="majorEastAsia" w:hAnsiTheme="majorHAnsi" w:cstheme="majorBidi"/>
      <w:color w:val="2F5496" w:themeColor="accent1" w:themeShade="BF"/>
      <w:kern w:val="2"/>
      <w:sz w:val="32"/>
      <w:szCs w:val="32"/>
      <w:lang w:val="hr-HR"/>
      <w14:ligatures w14:val="standardContextual"/>
    </w:rPr>
  </w:style>
  <w:style w:type="character" w:customStyle="1" w:styleId="Heading4Char">
    <w:name w:val="Heading 4 Char"/>
    <w:basedOn w:val="DefaultParagraphFont"/>
    <w:link w:val="Heading4"/>
    <w:uiPriority w:val="9"/>
    <w:rsid w:val="006E052A"/>
    <w:rPr>
      <w:rFonts w:asciiTheme="majorHAnsi" w:eastAsiaTheme="majorEastAsia" w:hAnsiTheme="majorHAnsi" w:cstheme="majorBidi"/>
      <w:i/>
      <w:iCs/>
      <w:color w:val="2F5496" w:themeColor="accent1" w:themeShade="BF"/>
      <w:kern w:val="2"/>
      <w:lang w:val="hr-HR"/>
      <w14:ligatures w14:val="standardContextual"/>
    </w:rPr>
  </w:style>
  <w:style w:type="numbering" w:customStyle="1" w:styleId="Bezpopisa1">
    <w:name w:val="Bez popisa1"/>
    <w:next w:val="NoList"/>
    <w:uiPriority w:val="99"/>
    <w:semiHidden/>
    <w:unhideWhenUsed/>
    <w:rsid w:val="006E052A"/>
  </w:style>
  <w:style w:type="paragraph" w:styleId="HTMLPreformatted">
    <w:name w:val="HTML Preformatted"/>
    <w:basedOn w:val="Normal"/>
    <w:link w:val="HTMLPreformattedChar"/>
    <w:uiPriority w:val="99"/>
    <w:semiHidden/>
    <w:unhideWhenUsed/>
    <w:rsid w:val="006E052A"/>
    <w:pPr>
      <w:spacing w:after="0" w:line="240" w:lineRule="auto"/>
    </w:pPr>
    <w:rPr>
      <w:rFonts w:ascii="Consolas" w:hAnsi="Consolas"/>
      <w:kern w:val="2"/>
      <w:sz w:val="20"/>
      <w:szCs w:val="20"/>
      <w14:ligatures w14:val="standardContextual"/>
    </w:rPr>
  </w:style>
  <w:style w:type="character" w:customStyle="1" w:styleId="HTMLPreformattedChar">
    <w:name w:val="HTML Preformatted Char"/>
    <w:basedOn w:val="DefaultParagraphFont"/>
    <w:link w:val="HTMLPreformatted"/>
    <w:uiPriority w:val="99"/>
    <w:semiHidden/>
    <w:rsid w:val="006E052A"/>
    <w:rPr>
      <w:rFonts w:ascii="Consolas" w:hAnsi="Consolas"/>
      <w:kern w:val="2"/>
      <w:sz w:val="20"/>
      <w:szCs w:val="20"/>
      <w:lang w:val="hr-HR"/>
      <w14:ligatures w14:val="standardContextual"/>
    </w:rPr>
  </w:style>
  <w:style w:type="table" w:customStyle="1" w:styleId="Reetkatablice1">
    <w:name w:val="Rešetka tablice1"/>
    <w:basedOn w:val="TableNormal"/>
    <w:next w:val="TableGrid"/>
    <w:uiPriority w:val="39"/>
    <w:rsid w:val="006E052A"/>
    <w:pPr>
      <w:spacing w:after="0" w:line="240" w:lineRule="auto"/>
    </w:pPr>
    <w:rPr>
      <w:kern w:val="2"/>
      <w:lang w:val="hr-H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052A"/>
    <w:rPr>
      <w:sz w:val="16"/>
      <w:szCs w:val="16"/>
    </w:rPr>
  </w:style>
  <w:style w:type="paragraph" w:styleId="CommentText">
    <w:name w:val="annotation text"/>
    <w:basedOn w:val="Normal"/>
    <w:link w:val="CommentTextChar"/>
    <w:uiPriority w:val="99"/>
    <w:unhideWhenUsed/>
    <w:rsid w:val="006E052A"/>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6E052A"/>
    <w:rPr>
      <w:kern w:val="2"/>
      <w:sz w:val="20"/>
      <w:szCs w:val="20"/>
      <w:lang w:val="hr-HR"/>
      <w14:ligatures w14:val="standardContextual"/>
    </w:rPr>
  </w:style>
  <w:style w:type="paragraph" w:styleId="CommentSubject">
    <w:name w:val="annotation subject"/>
    <w:basedOn w:val="CommentText"/>
    <w:next w:val="CommentText"/>
    <w:link w:val="CommentSubjectChar"/>
    <w:uiPriority w:val="99"/>
    <w:semiHidden/>
    <w:unhideWhenUsed/>
    <w:rsid w:val="006E052A"/>
    <w:rPr>
      <w:b/>
      <w:bCs/>
    </w:rPr>
  </w:style>
  <w:style w:type="character" w:customStyle="1" w:styleId="CommentSubjectChar">
    <w:name w:val="Comment Subject Char"/>
    <w:basedOn w:val="CommentTextChar"/>
    <w:link w:val="CommentSubject"/>
    <w:uiPriority w:val="99"/>
    <w:semiHidden/>
    <w:rsid w:val="006E052A"/>
    <w:rPr>
      <w:b/>
      <w:bCs/>
      <w:kern w:val="2"/>
      <w:sz w:val="20"/>
      <w:szCs w:val="20"/>
      <w:lang w:val="hr-HR"/>
      <w14:ligatures w14:val="standardContextual"/>
    </w:rPr>
  </w:style>
  <w:style w:type="paragraph" w:styleId="BalloonText">
    <w:name w:val="Balloon Text"/>
    <w:basedOn w:val="Normal"/>
    <w:link w:val="BalloonTextChar"/>
    <w:uiPriority w:val="99"/>
    <w:semiHidden/>
    <w:unhideWhenUsed/>
    <w:rsid w:val="006E052A"/>
    <w:pPr>
      <w:spacing w:after="0" w:line="240" w:lineRule="auto"/>
    </w:pPr>
    <w:rPr>
      <w:rFonts w:ascii="Segoe UI"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6E052A"/>
    <w:rPr>
      <w:rFonts w:ascii="Segoe UI" w:hAnsi="Segoe UI" w:cs="Segoe UI"/>
      <w:kern w:val="2"/>
      <w:sz w:val="18"/>
      <w:szCs w:val="18"/>
      <w:lang w:val="hr-HR"/>
      <w14:ligatures w14:val="standardContextual"/>
    </w:rPr>
  </w:style>
  <w:style w:type="table" w:customStyle="1" w:styleId="Reetkatablice11">
    <w:name w:val="Rešetka tablice11"/>
    <w:basedOn w:val="TableNormal"/>
    <w:next w:val="TableGrid"/>
    <w:uiPriority w:val="39"/>
    <w:rsid w:val="006E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39"/>
    <w:rsid w:val="006E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TableNormal"/>
    <w:next w:val="TableGrid"/>
    <w:uiPriority w:val="39"/>
    <w:rsid w:val="006E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1">
    <w:name w:val="Bez popisa11"/>
    <w:next w:val="NoList"/>
    <w:uiPriority w:val="99"/>
    <w:semiHidden/>
    <w:unhideWhenUsed/>
    <w:rsid w:val="006E052A"/>
  </w:style>
  <w:style w:type="table" w:customStyle="1" w:styleId="Reetkatablice4">
    <w:name w:val="Rešetka tablice4"/>
    <w:basedOn w:val="TableNormal"/>
    <w:next w:val="TableGrid"/>
    <w:uiPriority w:val="39"/>
    <w:rsid w:val="006E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mnatablicareetke5-isticanje31">
    <w:name w:val="Tamna tablica rešetke 5 - isticanje 31"/>
    <w:basedOn w:val="TableNormal"/>
    <w:uiPriority w:val="50"/>
    <w:rsid w:val="006E052A"/>
    <w:pPr>
      <w:spacing w:after="0" w:line="240" w:lineRule="auto"/>
    </w:pPr>
    <w:rPr>
      <w:kern w:val="2"/>
      <w:lang w:val="hr-HR"/>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ivopisnatablicareetke7-isticanje11">
    <w:name w:val="Živopisna tablica rešetke 7 - isticanje 11"/>
    <w:basedOn w:val="TableNormal"/>
    <w:uiPriority w:val="52"/>
    <w:rsid w:val="006E052A"/>
    <w:pPr>
      <w:spacing w:after="0" w:line="240" w:lineRule="auto"/>
    </w:pPr>
    <w:rPr>
      <w:color w:val="2F5496" w:themeColor="accent1" w:themeShade="BF"/>
      <w:kern w:val="2"/>
      <w:lang w:val="hr-HR"/>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Obinatablica11">
    <w:name w:val="Obična tablica 11"/>
    <w:basedOn w:val="TableNormal"/>
    <w:uiPriority w:val="41"/>
    <w:rsid w:val="006E052A"/>
    <w:pPr>
      <w:spacing w:after="0" w:line="240" w:lineRule="auto"/>
    </w:pPr>
    <w:rPr>
      <w:kern w:val="2"/>
      <w:lang w:val="hr-HR"/>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ijetlatablicareetke11">
    <w:name w:val="Svijetla tablica rešetke 11"/>
    <w:basedOn w:val="TableNormal"/>
    <w:uiPriority w:val="46"/>
    <w:rsid w:val="006E052A"/>
    <w:pPr>
      <w:spacing w:after="0" w:line="240" w:lineRule="auto"/>
    </w:pPr>
    <w:rPr>
      <w:kern w:val="2"/>
      <w:lang w:val="hr-HR"/>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6E052A"/>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rsid w:val="006E052A"/>
    <w:rPr>
      <w:kern w:val="2"/>
      <w:lang w:val="hr-HR"/>
      <w14:ligatures w14:val="standardContextual"/>
    </w:rPr>
  </w:style>
  <w:style w:type="paragraph" w:styleId="Footer">
    <w:name w:val="footer"/>
    <w:basedOn w:val="Normal"/>
    <w:link w:val="FooterChar"/>
    <w:uiPriority w:val="99"/>
    <w:unhideWhenUsed/>
    <w:rsid w:val="006E052A"/>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rsid w:val="006E052A"/>
    <w:rPr>
      <w:kern w:val="2"/>
      <w:lang w:val="hr-HR"/>
      <w14:ligatures w14:val="standardContextual"/>
    </w:rPr>
  </w:style>
  <w:style w:type="paragraph" w:styleId="TOCHeading">
    <w:name w:val="TOC Heading"/>
    <w:basedOn w:val="Heading1"/>
    <w:next w:val="Normal"/>
    <w:uiPriority w:val="39"/>
    <w:unhideWhenUsed/>
    <w:qFormat/>
    <w:rsid w:val="003D13C0"/>
    <w:pPr>
      <w:outlineLvl w:val="9"/>
    </w:pPr>
    <w:rPr>
      <w:kern w:val="0"/>
      <w:lang w:val="en-US"/>
      <w14:ligatures w14:val="none"/>
    </w:rPr>
  </w:style>
  <w:style w:type="paragraph" w:styleId="TOC1">
    <w:name w:val="toc 1"/>
    <w:basedOn w:val="Normal"/>
    <w:next w:val="Normal"/>
    <w:autoRedefine/>
    <w:uiPriority w:val="39"/>
    <w:unhideWhenUsed/>
    <w:rsid w:val="003D13C0"/>
    <w:pPr>
      <w:spacing w:after="100"/>
    </w:pPr>
  </w:style>
  <w:style w:type="paragraph" w:styleId="TOC2">
    <w:name w:val="toc 2"/>
    <w:basedOn w:val="Normal"/>
    <w:next w:val="Normal"/>
    <w:autoRedefine/>
    <w:uiPriority w:val="39"/>
    <w:unhideWhenUsed/>
    <w:rsid w:val="006C5EDD"/>
    <w:pPr>
      <w:tabs>
        <w:tab w:val="left" w:pos="960"/>
        <w:tab w:val="right" w:leader="dot" w:pos="9350"/>
      </w:tabs>
      <w:spacing w:after="100"/>
      <w:ind w:left="220"/>
    </w:pPr>
    <w:rPr>
      <w:noProof/>
    </w:rPr>
  </w:style>
  <w:style w:type="paragraph" w:styleId="TOC3">
    <w:name w:val="toc 3"/>
    <w:basedOn w:val="Normal"/>
    <w:next w:val="Normal"/>
    <w:autoRedefine/>
    <w:uiPriority w:val="39"/>
    <w:unhideWhenUsed/>
    <w:rsid w:val="003D13C0"/>
    <w:pPr>
      <w:spacing w:after="100"/>
      <w:ind w:left="440"/>
    </w:pPr>
  </w:style>
  <w:style w:type="paragraph" w:styleId="TOC4">
    <w:name w:val="toc 4"/>
    <w:basedOn w:val="Normal"/>
    <w:next w:val="Normal"/>
    <w:autoRedefine/>
    <w:uiPriority w:val="39"/>
    <w:unhideWhenUsed/>
    <w:rsid w:val="009A059E"/>
    <w:pPr>
      <w:spacing w:after="100"/>
      <w:ind w:left="660"/>
    </w:pPr>
  </w:style>
  <w:style w:type="paragraph" w:styleId="Revision">
    <w:name w:val="Revision"/>
    <w:hidden/>
    <w:uiPriority w:val="99"/>
    <w:semiHidden/>
    <w:rsid w:val="00B96BD3"/>
    <w:pPr>
      <w:spacing w:after="0" w:line="240" w:lineRule="auto"/>
    </w:pPr>
    <w:rPr>
      <w:lang w:val="hr-HR"/>
    </w:rPr>
  </w:style>
  <w:style w:type="numbering" w:customStyle="1" w:styleId="Bezpopisa2">
    <w:name w:val="Bez popisa2"/>
    <w:next w:val="NoList"/>
    <w:uiPriority w:val="99"/>
    <w:semiHidden/>
    <w:unhideWhenUsed/>
    <w:rsid w:val="00F908AB"/>
  </w:style>
  <w:style w:type="numbering" w:customStyle="1" w:styleId="Bezpopisa3">
    <w:name w:val="Bez popisa3"/>
    <w:next w:val="NoList"/>
    <w:uiPriority w:val="99"/>
    <w:semiHidden/>
    <w:unhideWhenUsed/>
    <w:rsid w:val="00F908AB"/>
  </w:style>
  <w:style w:type="paragraph" w:styleId="EndnoteText">
    <w:name w:val="endnote text"/>
    <w:basedOn w:val="Normal"/>
    <w:link w:val="EndnoteTextChar"/>
    <w:uiPriority w:val="99"/>
    <w:semiHidden/>
    <w:unhideWhenUsed/>
    <w:rsid w:val="0077333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73333"/>
    <w:rPr>
      <w:sz w:val="20"/>
      <w:szCs w:val="20"/>
      <w:lang w:val="hr-HR"/>
    </w:rPr>
  </w:style>
  <w:style w:type="character" w:styleId="EndnoteReference">
    <w:name w:val="endnote reference"/>
    <w:basedOn w:val="DefaultParagraphFont"/>
    <w:uiPriority w:val="99"/>
    <w:semiHidden/>
    <w:unhideWhenUsed/>
    <w:rsid w:val="00773333"/>
    <w:rPr>
      <w:vertAlign w:val="superscript"/>
    </w:rPr>
  </w:style>
  <w:style w:type="character" w:styleId="PlaceholderText">
    <w:name w:val="Placeholder Text"/>
    <w:basedOn w:val="DefaultParagraphFont"/>
    <w:uiPriority w:val="99"/>
    <w:semiHidden/>
    <w:rsid w:val="00B9737D"/>
    <w:rPr>
      <w:color w:val="666666"/>
    </w:rPr>
  </w:style>
  <w:style w:type="character" w:styleId="UnresolvedMention">
    <w:name w:val="Unresolved Mention"/>
    <w:basedOn w:val="DefaultParagraphFont"/>
    <w:uiPriority w:val="99"/>
    <w:semiHidden/>
    <w:unhideWhenUsed/>
    <w:rsid w:val="001E3845"/>
    <w:rPr>
      <w:color w:val="605E5C"/>
      <w:shd w:val="clear" w:color="auto" w:fill="E1DFDD"/>
    </w:rPr>
  </w:style>
  <w:style w:type="paragraph" w:styleId="Caption">
    <w:name w:val="caption"/>
    <w:basedOn w:val="Normal"/>
    <w:next w:val="Normal"/>
    <w:uiPriority w:val="35"/>
    <w:unhideWhenUsed/>
    <w:qFormat/>
    <w:rsid w:val="00C87D9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044BF6"/>
    <w:pPr>
      <w:spacing w:after="0"/>
    </w:pPr>
  </w:style>
  <w:style w:type="character" w:styleId="BookTitle">
    <w:name w:val="Book Title"/>
    <w:basedOn w:val="DefaultParagraphFont"/>
    <w:uiPriority w:val="33"/>
    <w:qFormat/>
    <w:rsid w:val="00A97076"/>
    <w:rPr>
      <w:b/>
      <w:bCs/>
      <w:i/>
      <w:iCs/>
      <w:spacing w:val="5"/>
    </w:rPr>
  </w:style>
  <w:style w:type="character" w:styleId="Emphasis">
    <w:name w:val="Emphasis"/>
    <w:basedOn w:val="DefaultParagraphFont"/>
    <w:uiPriority w:val="20"/>
    <w:qFormat/>
    <w:rsid w:val="00A97076"/>
    <w:rPr>
      <w:i/>
      <w:iCs/>
    </w:rPr>
  </w:style>
  <w:style w:type="character" w:customStyle="1" w:styleId="Heading5Char">
    <w:name w:val="Heading 5 Char"/>
    <w:basedOn w:val="DefaultParagraphFont"/>
    <w:link w:val="Heading5"/>
    <w:uiPriority w:val="9"/>
    <w:semiHidden/>
    <w:rsid w:val="00A97076"/>
    <w:rPr>
      <w:rFonts w:asciiTheme="majorHAnsi" w:eastAsiaTheme="majorEastAsia" w:hAnsiTheme="majorHAnsi" w:cstheme="majorBidi"/>
      <w:color w:val="2F5496" w:themeColor="accent1" w:themeShade="BF"/>
      <w:lang w:val="hr-HR"/>
    </w:rPr>
  </w:style>
  <w:style w:type="character" w:customStyle="1" w:styleId="Heading6Char">
    <w:name w:val="Heading 6 Char"/>
    <w:basedOn w:val="DefaultParagraphFont"/>
    <w:link w:val="Heading6"/>
    <w:uiPriority w:val="9"/>
    <w:semiHidden/>
    <w:rsid w:val="00A97076"/>
    <w:rPr>
      <w:rFonts w:asciiTheme="majorHAnsi" w:eastAsiaTheme="majorEastAsia" w:hAnsiTheme="majorHAnsi" w:cstheme="majorBidi"/>
      <w:color w:val="1F3763" w:themeColor="accent1" w:themeShade="7F"/>
      <w:lang w:val="hr-HR"/>
    </w:rPr>
  </w:style>
  <w:style w:type="character" w:customStyle="1" w:styleId="Heading7Char">
    <w:name w:val="Heading 7 Char"/>
    <w:basedOn w:val="DefaultParagraphFont"/>
    <w:link w:val="Heading7"/>
    <w:uiPriority w:val="9"/>
    <w:semiHidden/>
    <w:rsid w:val="00A97076"/>
    <w:rPr>
      <w:rFonts w:asciiTheme="majorHAnsi" w:eastAsiaTheme="majorEastAsia" w:hAnsiTheme="majorHAnsi" w:cstheme="majorBidi"/>
      <w:i/>
      <w:iCs/>
      <w:color w:val="1F3763" w:themeColor="accent1" w:themeShade="7F"/>
      <w:lang w:val="hr-HR"/>
    </w:rPr>
  </w:style>
  <w:style w:type="character" w:customStyle="1" w:styleId="Heading8Char">
    <w:name w:val="Heading 8 Char"/>
    <w:basedOn w:val="DefaultParagraphFont"/>
    <w:link w:val="Heading8"/>
    <w:uiPriority w:val="9"/>
    <w:semiHidden/>
    <w:rsid w:val="00A97076"/>
    <w:rPr>
      <w:rFonts w:asciiTheme="majorHAnsi" w:eastAsiaTheme="majorEastAsia" w:hAnsiTheme="majorHAnsi" w:cstheme="majorBidi"/>
      <w:color w:val="272727" w:themeColor="text1" w:themeTint="D8"/>
      <w:sz w:val="21"/>
      <w:szCs w:val="21"/>
      <w:lang w:val="hr-HR"/>
    </w:rPr>
  </w:style>
  <w:style w:type="character" w:customStyle="1" w:styleId="Heading9Char">
    <w:name w:val="Heading 9 Char"/>
    <w:basedOn w:val="DefaultParagraphFont"/>
    <w:link w:val="Heading9"/>
    <w:uiPriority w:val="9"/>
    <w:semiHidden/>
    <w:rsid w:val="00A97076"/>
    <w:rPr>
      <w:rFonts w:asciiTheme="majorHAnsi" w:eastAsiaTheme="majorEastAsia" w:hAnsiTheme="majorHAnsi" w:cstheme="majorBidi"/>
      <w:i/>
      <w:iCs/>
      <w:color w:val="272727" w:themeColor="text1" w:themeTint="D8"/>
      <w:sz w:val="21"/>
      <w:szCs w:val="21"/>
      <w:lang w:val="hr-HR"/>
    </w:rPr>
  </w:style>
  <w:style w:type="character" w:styleId="IntenseEmphasis">
    <w:name w:val="Intense Emphasis"/>
    <w:basedOn w:val="DefaultParagraphFont"/>
    <w:uiPriority w:val="21"/>
    <w:qFormat/>
    <w:rsid w:val="00A97076"/>
    <w:rPr>
      <w:i/>
      <w:iCs/>
      <w:color w:val="4472C4" w:themeColor="accent1"/>
    </w:rPr>
  </w:style>
  <w:style w:type="paragraph" w:styleId="IntenseQuote">
    <w:name w:val="Intense Quote"/>
    <w:basedOn w:val="Normal"/>
    <w:next w:val="Normal"/>
    <w:link w:val="IntenseQuoteChar"/>
    <w:uiPriority w:val="30"/>
    <w:qFormat/>
    <w:rsid w:val="00A9707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97076"/>
    <w:rPr>
      <w:i/>
      <w:iCs/>
      <w:color w:val="4472C4" w:themeColor="accent1"/>
      <w:lang w:val="hr-HR"/>
    </w:rPr>
  </w:style>
  <w:style w:type="character" w:styleId="IntenseReference">
    <w:name w:val="Intense Reference"/>
    <w:basedOn w:val="DefaultParagraphFont"/>
    <w:uiPriority w:val="32"/>
    <w:qFormat/>
    <w:rsid w:val="00A97076"/>
    <w:rPr>
      <w:b/>
      <w:bCs/>
      <w:smallCaps/>
      <w:color w:val="4472C4" w:themeColor="accent1"/>
      <w:spacing w:val="5"/>
    </w:rPr>
  </w:style>
  <w:style w:type="paragraph" w:styleId="NoSpacing">
    <w:name w:val="No Spacing"/>
    <w:uiPriority w:val="1"/>
    <w:qFormat/>
    <w:rsid w:val="00A97076"/>
    <w:pPr>
      <w:spacing w:after="0" w:line="240" w:lineRule="auto"/>
    </w:pPr>
    <w:rPr>
      <w:lang w:val="hr-HR"/>
    </w:rPr>
  </w:style>
  <w:style w:type="paragraph" w:styleId="Quote">
    <w:name w:val="Quote"/>
    <w:basedOn w:val="Normal"/>
    <w:next w:val="Normal"/>
    <w:link w:val="QuoteChar"/>
    <w:uiPriority w:val="29"/>
    <w:qFormat/>
    <w:rsid w:val="00A9707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97076"/>
    <w:rPr>
      <w:i/>
      <w:iCs/>
      <w:color w:val="404040" w:themeColor="text1" w:themeTint="BF"/>
      <w:lang w:val="hr-HR"/>
    </w:rPr>
  </w:style>
  <w:style w:type="character" w:styleId="Strong">
    <w:name w:val="Strong"/>
    <w:basedOn w:val="DefaultParagraphFont"/>
    <w:uiPriority w:val="22"/>
    <w:qFormat/>
    <w:rsid w:val="00A97076"/>
    <w:rPr>
      <w:b/>
      <w:bCs/>
    </w:rPr>
  </w:style>
  <w:style w:type="paragraph" w:styleId="Subtitle">
    <w:name w:val="Subtitle"/>
    <w:basedOn w:val="Normal"/>
    <w:next w:val="Normal"/>
    <w:link w:val="SubtitleChar"/>
    <w:uiPriority w:val="11"/>
    <w:qFormat/>
    <w:rsid w:val="00A9707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97076"/>
    <w:rPr>
      <w:rFonts w:eastAsiaTheme="minorEastAsia"/>
      <w:color w:val="5A5A5A" w:themeColor="text1" w:themeTint="A5"/>
      <w:spacing w:val="15"/>
      <w:lang w:val="hr-HR"/>
    </w:rPr>
  </w:style>
  <w:style w:type="character" w:styleId="SubtleEmphasis">
    <w:name w:val="Subtle Emphasis"/>
    <w:basedOn w:val="DefaultParagraphFont"/>
    <w:uiPriority w:val="19"/>
    <w:qFormat/>
    <w:rsid w:val="00A97076"/>
    <w:rPr>
      <w:i/>
      <w:iCs/>
      <w:color w:val="404040" w:themeColor="text1" w:themeTint="BF"/>
    </w:rPr>
  </w:style>
  <w:style w:type="character" w:styleId="SubtleReference">
    <w:name w:val="Subtle Reference"/>
    <w:basedOn w:val="DefaultParagraphFont"/>
    <w:uiPriority w:val="31"/>
    <w:qFormat/>
    <w:rsid w:val="00A97076"/>
    <w:rPr>
      <w:smallCaps/>
      <w:color w:val="5A5A5A" w:themeColor="text1" w:themeTint="A5"/>
    </w:rPr>
  </w:style>
  <w:style w:type="paragraph" w:styleId="Title">
    <w:name w:val="Title"/>
    <w:basedOn w:val="Normal"/>
    <w:next w:val="Normal"/>
    <w:link w:val="TitleChar"/>
    <w:uiPriority w:val="10"/>
    <w:qFormat/>
    <w:rsid w:val="00A970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076"/>
    <w:rPr>
      <w:rFonts w:asciiTheme="majorHAnsi" w:eastAsiaTheme="majorEastAsia" w:hAnsiTheme="majorHAnsi" w:cstheme="majorBidi"/>
      <w:spacing w:val="-10"/>
      <w:kern w:val="28"/>
      <w:sz w:val="56"/>
      <w:szCs w:val="5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40310">
      <w:bodyDiv w:val="1"/>
      <w:marLeft w:val="0"/>
      <w:marRight w:val="0"/>
      <w:marTop w:val="0"/>
      <w:marBottom w:val="0"/>
      <w:divBdr>
        <w:top w:val="none" w:sz="0" w:space="0" w:color="auto"/>
        <w:left w:val="none" w:sz="0" w:space="0" w:color="auto"/>
        <w:bottom w:val="none" w:sz="0" w:space="0" w:color="auto"/>
        <w:right w:val="none" w:sz="0" w:space="0" w:color="auto"/>
      </w:divBdr>
    </w:div>
    <w:div w:id="266960829">
      <w:bodyDiv w:val="1"/>
      <w:marLeft w:val="0"/>
      <w:marRight w:val="0"/>
      <w:marTop w:val="0"/>
      <w:marBottom w:val="0"/>
      <w:divBdr>
        <w:top w:val="none" w:sz="0" w:space="0" w:color="auto"/>
        <w:left w:val="none" w:sz="0" w:space="0" w:color="auto"/>
        <w:bottom w:val="none" w:sz="0" w:space="0" w:color="auto"/>
        <w:right w:val="none" w:sz="0" w:space="0" w:color="auto"/>
      </w:divBdr>
    </w:div>
    <w:div w:id="332804615">
      <w:bodyDiv w:val="1"/>
      <w:marLeft w:val="0"/>
      <w:marRight w:val="0"/>
      <w:marTop w:val="0"/>
      <w:marBottom w:val="0"/>
      <w:divBdr>
        <w:top w:val="none" w:sz="0" w:space="0" w:color="auto"/>
        <w:left w:val="none" w:sz="0" w:space="0" w:color="auto"/>
        <w:bottom w:val="none" w:sz="0" w:space="0" w:color="auto"/>
        <w:right w:val="none" w:sz="0" w:space="0" w:color="auto"/>
      </w:divBdr>
    </w:div>
    <w:div w:id="561059847">
      <w:bodyDiv w:val="1"/>
      <w:marLeft w:val="0"/>
      <w:marRight w:val="0"/>
      <w:marTop w:val="0"/>
      <w:marBottom w:val="0"/>
      <w:divBdr>
        <w:top w:val="none" w:sz="0" w:space="0" w:color="auto"/>
        <w:left w:val="none" w:sz="0" w:space="0" w:color="auto"/>
        <w:bottom w:val="none" w:sz="0" w:space="0" w:color="auto"/>
        <w:right w:val="none" w:sz="0" w:space="0" w:color="auto"/>
      </w:divBdr>
    </w:div>
    <w:div w:id="1090154987">
      <w:bodyDiv w:val="1"/>
      <w:marLeft w:val="0"/>
      <w:marRight w:val="0"/>
      <w:marTop w:val="0"/>
      <w:marBottom w:val="0"/>
      <w:divBdr>
        <w:top w:val="none" w:sz="0" w:space="0" w:color="auto"/>
        <w:left w:val="none" w:sz="0" w:space="0" w:color="auto"/>
        <w:bottom w:val="none" w:sz="0" w:space="0" w:color="auto"/>
        <w:right w:val="none" w:sz="0" w:space="0" w:color="auto"/>
      </w:divBdr>
    </w:div>
    <w:div w:id="1319118634">
      <w:bodyDiv w:val="1"/>
      <w:marLeft w:val="0"/>
      <w:marRight w:val="0"/>
      <w:marTop w:val="0"/>
      <w:marBottom w:val="0"/>
      <w:divBdr>
        <w:top w:val="none" w:sz="0" w:space="0" w:color="auto"/>
        <w:left w:val="none" w:sz="0" w:space="0" w:color="auto"/>
        <w:bottom w:val="none" w:sz="0" w:space="0" w:color="auto"/>
        <w:right w:val="none" w:sz="0" w:space="0" w:color="auto"/>
      </w:divBdr>
    </w:div>
    <w:div w:id="1343506360">
      <w:bodyDiv w:val="1"/>
      <w:marLeft w:val="0"/>
      <w:marRight w:val="0"/>
      <w:marTop w:val="0"/>
      <w:marBottom w:val="0"/>
      <w:divBdr>
        <w:top w:val="none" w:sz="0" w:space="0" w:color="auto"/>
        <w:left w:val="none" w:sz="0" w:space="0" w:color="auto"/>
        <w:bottom w:val="none" w:sz="0" w:space="0" w:color="auto"/>
        <w:right w:val="none" w:sz="0" w:space="0" w:color="auto"/>
      </w:divBdr>
    </w:div>
    <w:div w:id="1532452853">
      <w:bodyDiv w:val="1"/>
      <w:marLeft w:val="0"/>
      <w:marRight w:val="0"/>
      <w:marTop w:val="0"/>
      <w:marBottom w:val="0"/>
      <w:divBdr>
        <w:top w:val="none" w:sz="0" w:space="0" w:color="auto"/>
        <w:left w:val="none" w:sz="0" w:space="0" w:color="auto"/>
        <w:bottom w:val="none" w:sz="0" w:space="0" w:color="auto"/>
        <w:right w:val="none" w:sz="0" w:space="0" w:color="auto"/>
      </w:divBdr>
    </w:div>
    <w:div w:id="1610775189">
      <w:bodyDiv w:val="1"/>
      <w:marLeft w:val="0"/>
      <w:marRight w:val="0"/>
      <w:marTop w:val="0"/>
      <w:marBottom w:val="0"/>
      <w:divBdr>
        <w:top w:val="none" w:sz="0" w:space="0" w:color="auto"/>
        <w:left w:val="none" w:sz="0" w:space="0" w:color="auto"/>
        <w:bottom w:val="none" w:sz="0" w:space="0" w:color="auto"/>
        <w:right w:val="none" w:sz="0" w:space="0" w:color="auto"/>
      </w:divBdr>
    </w:div>
    <w:div w:id="1766920244">
      <w:bodyDiv w:val="1"/>
      <w:marLeft w:val="0"/>
      <w:marRight w:val="0"/>
      <w:marTop w:val="0"/>
      <w:marBottom w:val="0"/>
      <w:divBdr>
        <w:top w:val="none" w:sz="0" w:space="0" w:color="auto"/>
        <w:left w:val="none" w:sz="0" w:space="0" w:color="auto"/>
        <w:bottom w:val="none" w:sz="0" w:space="0" w:color="auto"/>
        <w:right w:val="none" w:sz="0" w:space="0" w:color="auto"/>
      </w:divBdr>
    </w:div>
    <w:div w:id="1854759832">
      <w:bodyDiv w:val="1"/>
      <w:marLeft w:val="0"/>
      <w:marRight w:val="0"/>
      <w:marTop w:val="0"/>
      <w:marBottom w:val="0"/>
      <w:divBdr>
        <w:top w:val="none" w:sz="0" w:space="0" w:color="auto"/>
        <w:left w:val="none" w:sz="0" w:space="0" w:color="auto"/>
        <w:bottom w:val="none" w:sz="0" w:space="0" w:color="auto"/>
        <w:right w:val="none" w:sz="0" w:space="0" w:color="auto"/>
      </w:divBdr>
    </w:div>
    <w:div w:id="2107848199">
      <w:bodyDiv w:val="1"/>
      <w:marLeft w:val="0"/>
      <w:marRight w:val="0"/>
      <w:marTop w:val="0"/>
      <w:marBottom w:val="0"/>
      <w:divBdr>
        <w:top w:val="none" w:sz="0" w:space="0" w:color="auto"/>
        <w:left w:val="none" w:sz="0" w:space="0" w:color="auto"/>
        <w:bottom w:val="none" w:sz="0" w:space="0" w:color="auto"/>
        <w:right w:val="none" w:sz="0" w:space="0" w:color="auto"/>
      </w:divBdr>
    </w:div>
    <w:div w:id="214342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2012books.lardbucket.org/pdfs/managerial-economics-principles.pdf" TargetMode="External"/><Relationship Id="rId21" Type="http://schemas.openxmlformats.org/officeDocument/2006/relationships/diagramQuickStyle" Target="diagrams/quickStyle1.xml"/><Relationship Id="rId42" Type="http://schemas.openxmlformats.org/officeDocument/2006/relationships/hyperlink" Target="https://www.mandarinoriental.com/en/our-company/our-vision" TargetMode="External"/><Relationship Id="rId63" Type="http://schemas.openxmlformats.org/officeDocument/2006/relationships/hyperlink" Target="https://www-statista-com.ezproxy.nsk.hr/statistics/1406839/luxury-hotel-market-average-manda-deal-value-worldwide/" TargetMode="External"/><Relationship Id="rId84" Type="http://schemas.openxmlformats.org/officeDocument/2006/relationships/hyperlink" Target="https://www.mckinsey.com/industries/travel-logistics-and-infrastructure/our-insights/the-hotel-of-the-future" TargetMode="External"/><Relationship Id="rId138" Type="http://schemas.openxmlformats.org/officeDocument/2006/relationships/hyperlink" Target="https://www.costar.com/article/16720500/spate-of-early-2024-hotel-acquisitions-boosts-hopes-of-healthier-european-market?utm_source=gemini" TargetMode="External"/><Relationship Id="rId159" Type="http://schemas.openxmlformats.org/officeDocument/2006/relationships/hyperlink" Target="https://mmpi.gov.hr/arhiva/9092" TargetMode="External"/><Relationship Id="rId170" Type="http://schemas.openxmlformats.org/officeDocument/2006/relationships/hyperlink" Target="https://www.radissonhotels.com/en-us/corporate/media/press-releases/choice-hotels-acquires-radisson-hotel-group-americas?utm_source=gemini" TargetMode="External"/><Relationship Id="rId107" Type="http://schemas.openxmlformats.org/officeDocument/2006/relationships/hyperlink" Target="https://cran.r-project.org/web/packages/WRS2/vignettes/WRS2.pdf" TargetMode="External"/><Relationship Id="rId11" Type="http://schemas.openxmlformats.org/officeDocument/2006/relationships/footer" Target="footer2.xml"/><Relationship Id="rId32" Type="http://schemas.openxmlformats.org/officeDocument/2006/relationships/chart" Target="charts/chart1.xml"/><Relationship Id="rId53" Type="http://schemas.openxmlformats.org/officeDocument/2006/relationships/image" Target="media/image9.jpeg"/><Relationship Id="rId74" Type="http://schemas.openxmlformats.org/officeDocument/2006/relationships/image" Target="media/image17.jpg"/><Relationship Id="rId128" Type="http://schemas.openxmlformats.org/officeDocument/2006/relationships/hyperlink" Target="https://valamar-riviera.com/pdfjs/viewer.html?file=/media/482243/godis-nji-izvjes-taj-za-2023-nekonsolidirani-pdf.pdf" TargetMode="External"/><Relationship Id="rId149" Type="http://schemas.openxmlformats.org/officeDocument/2006/relationships/hyperlink" Target="https://newsroom.hyatt.com/news-releases?item=124341&amp;utm_source=gemini" TargetMode="External"/><Relationship Id="rId5" Type="http://schemas.openxmlformats.org/officeDocument/2006/relationships/webSettings" Target="webSettings.xml"/><Relationship Id="rId95" Type="http://schemas.openxmlformats.org/officeDocument/2006/relationships/hyperlink" Target="https://www.academia.edu/48635266/Analiza_Modela_Slabljenja_Poslovanja_Kroz_Modele_%C5%BDivotnog_Ciklusa_Poduze%C4%87a_Pregled_Literature" TargetMode="External"/><Relationship Id="rId160" Type="http://schemas.openxmlformats.org/officeDocument/2006/relationships/hyperlink" Target="https://mint.gov.hr/print.aspx?id=1961&amp;url=print" TargetMode="External"/><Relationship Id="rId181" Type="http://schemas.openxmlformats.org/officeDocument/2006/relationships/hyperlink" Target="https://valamar-riviera.com/hr/brendovi-i-portfelj/" TargetMode="External"/><Relationship Id="rId22" Type="http://schemas.openxmlformats.org/officeDocument/2006/relationships/diagramColors" Target="diagrams/colors1.xml"/><Relationship Id="rId43" Type="http://schemas.openxmlformats.org/officeDocument/2006/relationships/hyperlink" Target="https://valamar-riviera.com/hr/o-nama/misija-vizija-i-temeljne-vrijednosti/" TargetMode="External"/><Relationship Id="rId64" Type="http://schemas.openxmlformats.org/officeDocument/2006/relationships/image" Target="media/image10.png"/><Relationship Id="rId118" Type="http://schemas.openxmlformats.org/officeDocument/2006/relationships/hyperlink" Target="https://www.efzg.unizg.hr/UserDocsImages/OIM/dhruska/2014-8-%20Strate%C5%A1ke%20opcije%20-%20razvojne%20strategije.pdf" TargetMode="External"/><Relationship Id="rId139" Type="http://schemas.openxmlformats.org/officeDocument/2006/relationships/hyperlink" Target="https://www.globenewswire.com/news-release/2021/06/16/2248347/0/en/Blackstone-and-Starwood-Capital-Group-Complete-Acquisition-of-Extended-Stay-America.html?utm_source=gemini" TargetMode="External"/><Relationship Id="rId85" Type="http://schemas.openxmlformats.org/officeDocument/2006/relationships/hyperlink" Target="https://www.customer-alliance.com/en/resources/article/hotel-industry/" TargetMode="External"/><Relationship Id="rId150" Type="http://schemas.openxmlformats.org/officeDocument/2006/relationships/hyperlink" Target="https://www.ihgplc.com/en/news-and-media/news-releases/2014/ihg-agrees-to-acquire-kimpton-hotels--restaurants-to-create-the-worlds-largest-boutique-hotel-busine" TargetMode="External"/><Relationship Id="rId171" Type="http://schemas.openxmlformats.org/officeDocument/2006/relationships/hyperlink" Target="https://sbcamericas.com/2023/04/05/century-casinos-nugget-casino-resort/?utm_source=gemini" TargetMode="External"/><Relationship Id="rId12" Type="http://schemas.openxmlformats.org/officeDocument/2006/relationships/header" Target="header3.xml"/><Relationship Id="rId33" Type="http://schemas.openxmlformats.org/officeDocument/2006/relationships/hyperlink" Target="https://www.statista.com/statistics/197869/us-hotel-companies-by-number-of-properties-worldwide/" TargetMode="External"/><Relationship Id="rId108" Type="http://schemas.openxmlformats.org/officeDocument/2006/relationships/hyperlink" Target="https://www.maistra.com/hr/brendovi/" TargetMode="External"/><Relationship Id="rId129" Type="http://schemas.openxmlformats.org/officeDocument/2006/relationships/hyperlink" Target="https://mint.gov.hr/UserDocsImages/arhiva/130426-Strategija-turizam-2020.pdf" TargetMode="External"/><Relationship Id="rId54" Type="http://schemas.openxmlformats.org/officeDocument/2006/relationships/hyperlink" Target="https://www.researchgate.net/publication/268385543_Franchising_And_The_Society_The_Case_Of_Franchising_In_The_Hotel_Industry%20Pristupljeno%206" TargetMode="External"/><Relationship Id="rId75" Type="http://schemas.openxmlformats.org/officeDocument/2006/relationships/hyperlink" Target="https://press.accor.com/accorhotels-officially-welcomes-fairmont-raffles-and-swissotel/?lang=en" TargetMode="External"/><Relationship Id="rId96" Type="http://schemas.openxmlformats.org/officeDocument/2006/relationships/hyperlink" Target="https://stories.hilton.com/emea/brands" TargetMode="External"/><Relationship Id="rId140" Type="http://schemas.openxmlformats.org/officeDocument/2006/relationships/hyperlink" Target="https://www.hilton.com/en/brands/" TargetMode="External"/><Relationship Id="rId161" Type="http://schemas.openxmlformats.org/officeDocument/2006/relationships/hyperlink" Target="https://mint.gov.hr/vijesti/hrvatski-hotelski-sektor-visoko-konsolidiran/10039" TargetMode="External"/><Relationship Id="rId182" Type="http://schemas.openxmlformats.org/officeDocument/2006/relationships/hyperlink" Target="https://corporate.wyndhamhotels.com/news-releases/wyndham-hotels-resorts-acquires-european-hotel-brand-vienna-house/" TargetMode="External"/><Relationship Id="rId6" Type="http://schemas.openxmlformats.org/officeDocument/2006/relationships/footnotes" Target="footnotes.xml"/><Relationship Id="rId23" Type="http://schemas.microsoft.com/office/2007/relationships/diagramDrawing" Target="diagrams/drawing1.xml"/><Relationship Id="rId119" Type="http://schemas.openxmlformats.org/officeDocument/2006/relationships/hyperlink" Target="https://skift.com/megatrends-2023/" TargetMode="External"/><Relationship Id="rId44" Type="http://schemas.openxmlformats.org/officeDocument/2006/relationships/diagramData" Target="diagrams/data2.xml"/><Relationship Id="rId60" Type="http://schemas.openxmlformats.org/officeDocument/2006/relationships/diagramColors" Target="diagrams/colors3.xml"/><Relationship Id="rId65" Type="http://schemas.openxmlformats.org/officeDocument/2006/relationships/image" Target="media/image11.png"/><Relationship Id="rId81" Type="http://schemas.openxmlformats.org/officeDocument/2006/relationships/hyperlink" Target="https://doi.org/10.1191/1478088706qp063oa" TargetMode="External"/><Relationship Id="rId86" Type="http://schemas.openxmlformats.org/officeDocument/2006/relationships/hyperlink" Target="https://www.databahn.com/pages/marriott-org-chart" TargetMode="External"/><Relationship Id="rId130" Type="http://schemas.openxmlformats.org/officeDocument/2006/relationships/hyperlink" Target="https://doi.org/10.1016/j.ijhm.2019.102418" TargetMode="External"/><Relationship Id="rId135" Type="http://schemas.openxmlformats.org/officeDocument/2006/relationships/hyperlink" Target="https://hospitalitylawyer.com/hospitality-ma-lodging-industry-consolidation-trends/" TargetMode="External"/><Relationship Id="rId151" Type="http://schemas.openxmlformats.org/officeDocument/2006/relationships/hyperlink" Target="https://imaa-institute.org/mergers-and-acquisitions-statistics/" TargetMode="External"/><Relationship Id="rId156" Type="http://schemas.openxmlformats.org/officeDocument/2006/relationships/hyperlink" Target="https://lider.media/poslovna-scena/hrvatska/spajanja-i-preuzimanja-i-dalje-se-odvijaju-ali-po-nekim-novim-pravilima-132598" TargetMode="External"/><Relationship Id="rId177" Type="http://schemas.openxmlformats.org/officeDocument/2006/relationships/hyperlink" Target="https://valamar-riviera.com/hr/investitori/financijske-objave/obavijest-o-sklapanju-ugovora-o-kupnji-dionica-drustva-imperial-dd-rab/?utm_source=gemini" TargetMode="External"/><Relationship Id="rId172" Type="http://schemas.openxmlformats.org/officeDocument/2006/relationships/hyperlink" Target="https://investors.sonder.com/news-releases/news-release-details/sonder-holdings-inc-and-gores-metropoulos-ii-announce-closing?utm_source=gemini" TargetMode="External"/><Relationship Id="rId13" Type="http://schemas.openxmlformats.org/officeDocument/2006/relationships/footer" Target="footer3.xml"/><Relationship Id="rId18" Type="http://schemas.openxmlformats.org/officeDocument/2006/relationships/footer" Target="footer8.xml"/><Relationship Id="rId39" Type="http://schemas.openxmlformats.org/officeDocument/2006/relationships/chart" Target="charts/chart5.xml"/><Relationship Id="rId109" Type="http://schemas.openxmlformats.org/officeDocument/2006/relationships/hyperlink" Target="https://photos.mandarinoriental.com/is/content/MandarinOriental/_Corporate/PDFs/Investors/Analyst%20Presentations/corporate-22arMOIL.pdf?_gl=1*xrjprv*_ga*NTA0NzE3MjE3LjE3MTA0OTQ1NzQ.*_ga_FSQWZL83JH*MTcxMDQ5NDU3My4xLjEuMTcxMDQ5NTQ0MC4wLjAuMA" TargetMode="External"/><Relationship Id="rId34" Type="http://schemas.openxmlformats.org/officeDocument/2006/relationships/chart" Target="charts/chart2.xml"/><Relationship Id="rId50" Type="http://schemas.openxmlformats.org/officeDocument/2006/relationships/image" Target="media/image7.png"/><Relationship Id="rId55" Type="http://schemas.openxmlformats.org/officeDocument/2006/relationships/hyperlink" Target="https://www.hvs.com/article/9474-hotel-franchising-in-europe-the-push-continues-for-new-ways-to-expand" TargetMode="External"/><Relationship Id="rId76" Type="http://schemas.openxmlformats.org/officeDocument/2006/relationships/hyperlink" Target="https://group.accor.com/en/brands" TargetMode="External"/><Relationship Id="rId97" Type="http://schemas.openxmlformats.org/officeDocument/2006/relationships/hyperlink" Target="https://hoteltechreport.com/news/hotel-management" TargetMode="External"/><Relationship Id="rId104" Type="http://schemas.openxmlformats.org/officeDocument/2006/relationships/hyperlink" Target="https://lesroches.edu/hospitality-management/hotel-management/" TargetMode="External"/><Relationship Id="rId120" Type="http://schemas.openxmlformats.org/officeDocument/2006/relationships/hyperlink" Target="https://www.statista.com/statistics/1186201/hotel-and-resort-industry-market-size-global/" TargetMode="External"/><Relationship Id="rId125" Type="http://schemas.openxmlformats.org/officeDocument/2006/relationships/hyperlink" Target="https://skift.com/2018/05/07/can-hotel-companies-have-too-many-brands/" TargetMode="External"/><Relationship Id="rId141" Type="http://schemas.openxmlformats.org/officeDocument/2006/relationships/hyperlink" Target="https://stories.hilton.com/releases/hilton-acquires-majority-controlling-interest-in-sydell-group-to-expand-nomad-hotels-brand-worldwide" TargetMode="External"/><Relationship Id="rId146" Type="http://schemas.openxmlformats.org/officeDocument/2006/relationships/hyperlink" Target="https://www.hotelmanagement-network.com/deals-analysis/tourism-leisure-industry-ma-deals-total-569-3m-globally-in-february-2022/?cf-view&amp;utm_source=gemini" TargetMode="External"/><Relationship Id="rId167" Type="http://schemas.openxmlformats.org/officeDocument/2006/relationships/hyperlink" Target="https://www.poslovni.hr/domace/adris-grupa-preuzela-jos-152745-dionica-hup-a-zagreb-342228?utm_source=gemini" TargetMode="External"/><Relationship Id="rId7" Type="http://schemas.openxmlformats.org/officeDocument/2006/relationships/endnotes" Target="endnotes.xml"/><Relationship Id="rId71" Type="http://schemas.openxmlformats.org/officeDocument/2006/relationships/image" Target="media/image14.png"/><Relationship Id="rId92" Type="http://schemas.openxmlformats.org/officeDocument/2006/relationships/hyperlink" Target="https://journals.sagepub.com/doi/10.1177/2158244014529773" TargetMode="External"/><Relationship Id="rId162" Type="http://schemas.openxmlformats.org/officeDocument/2006/relationships/hyperlink" Target="https://www.marriott.com/marriott-brands/explore-our-brands.mi" TargetMode="External"/><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group.accor.com/en/brands" TargetMode="External"/><Relationship Id="rId24" Type="http://schemas.openxmlformats.org/officeDocument/2006/relationships/image" Target="media/image1.jpeg"/><Relationship Id="rId40" Type="http://schemas.openxmlformats.org/officeDocument/2006/relationships/image" Target="media/image4.jpeg"/><Relationship Id="rId45" Type="http://schemas.openxmlformats.org/officeDocument/2006/relationships/diagramLayout" Target="diagrams/layout2.xml"/><Relationship Id="rId66" Type="http://schemas.openxmlformats.org/officeDocument/2006/relationships/header" Target="header4.xml"/><Relationship Id="rId87" Type="http://schemas.openxmlformats.org/officeDocument/2006/relationships/hyperlink" Target="https://mint.gov.hr/UserDocsImages/2024_dokumenti/DZS_tur_promet_2023.pdf" TargetMode="External"/><Relationship Id="rId110" Type="http://schemas.openxmlformats.org/officeDocument/2006/relationships/hyperlink" Target="https://www.hotelmanagement-network.com/features/hotel-giants-brands/?cf-view" TargetMode="External"/><Relationship Id="rId115" Type="http://schemas.openxmlformats.org/officeDocument/2006/relationships/hyperlink" Target="https://www.siteminder.com/r/hotel-trends-hotel-hospitality-industry/" TargetMode="External"/><Relationship Id="rId131" Type="http://schemas.openxmlformats.org/officeDocument/2006/relationships/hyperlink" Target="https://www.adris.hr/odnosi-s-javnoscu/vijesti/adris-grupa-i-hup-zagreb-potpisali-ugovor-o-strateskom-partnerstvu/?utm_source=gemini" TargetMode="External"/><Relationship Id="rId136" Type="http://schemas.openxmlformats.org/officeDocument/2006/relationships/hyperlink" Target="https://www.businesswire.com/news/home/20210802005413/en/Hilton-Grand-Vacations-Completes-Acquisition-of-Diamond-Resorts?utm_source=gemini" TargetMode="External"/><Relationship Id="rId157" Type="http://schemas.openxmlformats.org/officeDocument/2006/relationships/hyperlink" Target="https://www.maistra.com/kompanija/o-nama/" TargetMode="External"/><Relationship Id="rId178" Type="http://schemas.openxmlformats.org/officeDocument/2006/relationships/hyperlink" Target="https://valamar-riviera.com/hr/investitori/financijske-objave/obavijest-o-sklapanju-ugovora-o-kupnji-dionica-drus-tva-hoteli-makarska-dd/?utm_source=gemini" TargetMode="External"/><Relationship Id="rId61" Type="http://schemas.microsoft.com/office/2007/relationships/diagramDrawing" Target="diagrams/drawing3.xml"/><Relationship Id="rId82" Type="http://schemas.openxmlformats.org/officeDocument/2006/relationships/hyperlink" Target="https://doi.org/10.1080/2159676X.2019.1628806" TargetMode="External"/><Relationship Id="rId152" Type="http://schemas.openxmlformats.org/officeDocument/2006/relationships/hyperlink" Target="https://www.imd.org/centers/world-competitiveness-center/rankings/world-competitiveness/" TargetMode="External"/><Relationship Id="rId173" Type="http://schemas.openxmlformats.org/officeDocument/2006/relationships/hyperlink" Target="https://www-statista-com.ezproxy.nsk.hr/statistics/1406839/luxury-hotel-market-average-manda-deal-value-worldwide/" TargetMode="External"/><Relationship Id="rId19" Type="http://schemas.openxmlformats.org/officeDocument/2006/relationships/diagramData" Target="diagrams/data1.xml"/><Relationship Id="rId14" Type="http://schemas.openxmlformats.org/officeDocument/2006/relationships/footer" Target="footer4.xml"/><Relationship Id="rId30" Type="http://schemas.openxmlformats.org/officeDocument/2006/relationships/hyperlink" Target="https://brandirectory.com/rankings/hotels/" TargetMode="External"/><Relationship Id="rId35" Type="http://schemas.microsoft.com/office/2014/relationships/chartEx" Target="charts/chartEx1.xml"/><Relationship Id="rId56" Type="http://schemas.openxmlformats.org/officeDocument/2006/relationships/hyperlink" Target="https://www.hvs.com/article/9474-hotel-franchising-in-europe-the-push-continues-for-new-ways-to-expand" TargetMode="External"/><Relationship Id="rId77" Type="http://schemas.openxmlformats.org/officeDocument/2006/relationships/hyperlink" Target="https://www.arenahospitalitygroup.com/hr/portfelj" TargetMode="External"/><Relationship Id="rId100" Type="http://schemas.openxmlformats.org/officeDocument/2006/relationships/hyperlink" Target="https://www.ihg.com/content/us/en/about/brands" TargetMode="External"/><Relationship Id="rId105" Type="http://schemas.openxmlformats.org/officeDocument/2006/relationships/hyperlink" Target="https://www.hospitalitynet.org/opinion/4017990.html" TargetMode="External"/><Relationship Id="rId126" Type="http://schemas.openxmlformats.org/officeDocument/2006/relationships/hyperlink" Target="http://ef.untz.ba/wp-content/uploads/2017/10/PM_2_Modeli-rasta-brzorastu%C4%87ih-preduze%C4%87a_2019-2020.pdf" TargetMode="External"/><Relationship Id="rId147" Type="http://schemas.openxmlformats.org/officeDocument/2006/relationships/hyperlink" Target="https://www.hvs.com/article/9045-2020-European-Hotel-Transactions" TargetMode="External"/><Relationship Id="rId168" Type="http://schemas.openxmlformats.org/officeDocument/2006/relationships/hyperlink" Target="https://www.poslovni.hr/kompanije/laguna-novigrad-preuzima-dalmacija-hotele-htp-korculu-i-htp-orebic-4257954?utm_source=gemini" TargetMode="External"/><Relationship Id="rId8" Type="http://schemas.openxmlformats.org/officeDocument/2006/relationships/header" Target="header1.xml"/><Relationship Id="rId51" Type="http://schemas.openxmlformats.org/officeDocument/2006/relationships/hyperlink" Target="https://archive.org/details/strategiesfordiversificationansoff1957hbr/page/n11/mode/2up" TargetMode="External"/><Relationship Id="rId72" Type="http://schemas.openxmlformats.org/officeDocument/2006/relationships/image" Target="media/image15.png"/><Relationship Id="rId93" Type="http://schemas.openxmlformats.org/officeDocument/2006/relationships/hyperlink" Target="https://www.superbusinessmanager.com/internal-growth-evaluation/" TargetMode="External"/><Relationship Id="rId98" Type="http://schemas.openxmlformats.org/officeDocument/2006/relationships/hyperlink" Target="https://hotelijer.wordpress.com/povijest-hotelijerstva/" TargetMode="External"/><Relationship Id="rId121" Type="http://schemas.openxmlformats.org/officeDocument/2006/relationships/hyperlink" Target="https://www.statista.com/statistics/273064/revenue-of-the-largest-hotel-groups-worldwide/" TargetMode="External"/><Relationship Id="rId142" Type="http://schemas.openxmlformats.org/officeDocument/2006/relationships/hyperlink" Target="https://hospitality-on.com/en/mergers-and-acquisitions/starwood-capital-acquires-10-radisson-blu-hotels-edwardian-group?utm_source=gemini" TargetMode="External"/><Relationship Id="rId163" Type="http://schemas.openxmlformats.org/officeDocument/2006/relationships/hyperlink" Target="https://marriott.gcs-web.com/starwood" TargetMode="External"/><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databahn.com/pages/marriott-org-chart" TargetMode="External"/><Relationship Id="rId46" Type="http://schemas.openxmlformats.org/officeDocument/2006/relationships/diagramQuickStyle" Target="diagrams/quickStyle2.xml"/><Relationship Id="rId67" Type="http://schemas.openxmlformats.org/officeDocument/2006/relationships/header" Target="header5.xml"/><Relationship Id="rId116" Type="http://schemas.openxmlformats.org/officeDocument/2006/relationships/hyperlink" Target="https://flora.insead.edu/fichiersti_wp/inseadwp2003/2003-99.pdf" TargetMode="External"/><Relationship Id="rId137" Type="http://schemas.openxmlformats.org/officeDocument/2006/relationships/hyperlink" Target="https://www.bloomberg.com/news/features/2018-08-01/the-marriott-starwood-merger-puts-a-points-program-to-the-test" TargetMode="External"/><Relationship Id="rId158" Type="http://schemas.openxmlformats.org/officeDocument/2006/relationships/hyperlink" Target="https://www.mandarinoriental.com/en/our-company/our-vision" TargetMode="External"/><Relationship Id="rId20" Type="http://schemas.openxmlformats.org/officeDocument/2006/relationships/diagramLayout" Target="diagrams/layout1.xml"/><Relationship Id="rId41" Type="http://schemas.openxmlformats.org/officeDocument/2006/relationships/image" Target="media/image5.png"/><Relationship Id="rId62" Type="http://schemas.openxmlformats.org/officeDocument/2006/relationships/chart" Target="charts/chart6.xml"/><Relationship Id="rId83" Type="http://schemas.openxmlformats.org/officeDocument/2006/relationships/hyperlink" Target="https://www.deloitte.com/uk/en/Industries/consumer/blogs/the-hospitality-guest-of-the-future.html" TargetMode="External"/><Relationship Id="rId88" Type="http://schemas.openxmlformats.org/officeDocument/2006/relationships/hyperlink" Target="https://hospitalityinsights.ehl.edu/hospitality-industry-trends" TargetMode="External"/><Relationship Id="rId111" Type="http://schemas.openxmlformats.org/officeDocument/2006/relationships/hyperlink" Target="https://www.mckinsey.com/featured-insights/the-next-normal/hotels" TargetMode="External"/><Relationship Id="rId132" Type="http://schemas.openxmlformats.org/officeDocument/2006/relationships/hyperlink" Target="https://www.apollo.com/insights-news/pressreleases/2022/02/apollo-funds-complete-the-acquisition-of-the-venetian-resort-las-vegas-and-venetian-expo-operating-companies-211644121?utm_source=gemini" TargetMode="External"/><Relationship Id="rId153" Type="http://schemas.openxmlformats.org/officeDocument/2006/relationships/hyperlink" Target="http://www.imperial-riviera.hr/hr/o-nama/povijest-hoteli-makarska-d-d/?utm_source=gemini" TargetMode="External"/><Relationship Id="rId174" Type="http://schemas.openxmlformats.org/officeDocument/2006/relationships/hyperlink" Target="https://scw-mag.com/news/188-hilton-worldwide/" TargetMode="External"/><Relationship Id="rId179" Type="http://schemas.openxmlformats.org/officeDocument/2006/relationships/hyperlink" Target="http://ideje.hr/od-prvih-deset-najrazvijenijih-tranzicijskih-zemalja-nijedna-ne-ovisi-ni-o-turizmu-ni-o-prirodi-resursima-industrija/" TargetMode="External"/><Relationship Id="rId15" Type="http://schemas.openxmlformats.org/officeDocument/2006/relationships/footer" Target="footer5.xml"/><Relationship Id="rId36" Type="http://schemas.openxmlformats.org/officeDocument/2006/relationships/image" Target="media/image4.png"/><Relationship Id="rId57" Type="http://schemas.openxmlformats.org/officeDocument/2006/relationships/diagramData" Target="diagrams/data3.xml"/><Relationship Id="rId106" Type="http://schemas.openxmlformats.org/officeDocument/2006/relationships/hyperlink" Target="https://www.insolve.hr/literatura/2/55273" TargetMode="External"/><Relationship Id="rId127" Type="http://schemas.openxmlformats.org/officeDocument/2006/relationships/hyperlink" Target="https://www.index.hr/magazin/clanak/kako-je-1966-u-hrvatskoj-otvoren-prvi-hotel-s-pet-zvjezdica/2483907.aspx" TargetMode="External"/><Relationship Id="rId10" Type="http://schemas.openxmlformats.org/officeDocument/2006/relationships/footer" Target="footer1.xml"/><Relationship Id="rId31" Type="http://schemas.openxmlformats.org/officeDocument/2006/relationships/hyperlink" Target="https://brandirectory.com/rankings/hotels/2023/charts" TargetMode="External"/><Relationship Id="rId52" Type="http://schemas.openxmlformats.org/officeDocument/2006/relationships/image" Target="media/image8.png"/><Relationship Id="rId73" Type="http://schemas.openxmlformats.org/officeDocument/2006/relationships/image" Target="media/image16.png"/><Relationship Id="rId78" Type="http://schemas.openxmlformats.org/officeDocument/2006/relationships/hyperlink" Target="http://www.vsmti.hr/hr/nastava/nastavni-materijali/doc_download/593-opuo-2-razvoj-hrvatskog-hotelijerstvasvjetski-lanci-i-brendovi.html" TargetMode="External"/><Relationship Id="rId94" Type="http://schemas.openxmlformats.org/officeDocument/2006/relationships/hyperlink" Target="https://hospitalityinsights.ehl.edu/hospitality-mergers-acquisition-trends" TargetMode="External"/><Relationship Id="rId99" Type="http://schemas.openxmlformats.org/officeDocument/2006/relationships/hyperlink" Target="https://www.hnb.hr/-/prihodi-od-turizma-u-2023-veci-za-11-4-posto" TargetMode="External"/><Relationship Id="rId101" Type="http://schemas.openxmlformats.org/officeDocument/2006/relationships/hyperlink" Target="https://www.linkedin.com/pulse/from-inn-app-tale-hotels-evolution-21st-century-abhishek-jadhav" TargetMode="External"/><Relationship Id="rId122" Type="http://schemas.openxmlformats.org/officeDocument/2006/relationships/hyperlink" Target="https://www.statista.com/statistics/1460207/market-cap-leading-hotel-companies-worldwide/" TargetMode="External"/><Relationship Id="rId143" Type="http://schemas.openxmlformats.org/officeDocument/2006/relationships/hyperlink" Target="https://hospitality-on.com/en/hospitality/travelodge-acquires-66-hotels-ps210-million?utm_source=gemini" TargetMode="External"/><Relationship Id="rId148" Type="http://schemas.openxmlformats.org/officeDocument/2006/relationships/hyperlink" Target="https://www.hvs.com/article/9474-hotel-franchising-in-europe-the-push-continues-for-new-ways-to-expand" TargetMode="External"/><Relationship Id="rId164" Type="http://schemas.openxmlformats.org/officeDocument/2006/relationships/hyperlink" Target="https://biz.plavalaguna.hr/hr/o-nama?utm_source=gemini" TargetMode="External"/><Relationship Id="rId169" Type="http://schemas.openxmlformats.org/officeDocument/2006/relationships/hyperlink" Target="https://www.pwc.com/mt/en/publications/tax-legal/mergers-and-acquisitions-5-stages-of-MA-transaction.html"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valamar-riviera.com/hr/o-nama/misija-vizija-i-temeljne-vrijednosti/" TargetMode="External"/><Relationship Id="rId26" Type="http://schemas.openxmlformats.org/officeDocument/2006/relationships/image" Target="media/image2.png"/><Relationship Id="rId47" Type="http://schemas.openxmlformats.org/officeDocument/2006/relationships/diagramColors" Target="diagrams/colors2.xml"/><Relationship Id="rId68" Type="http://schemas.openxmlformats.org/officeDocument/2006/relationships/header" Target="header6.xml"/><Relationship Id="rId89" Type="http://schemas.openxmlformats.org/officeDocument/2006/relationships/hyperlink" Target="https://eur-lex.europa.eu/summary/EN/l26096" TargetMode="External"/><Relationship Id="rId112" Type="http://schemas.openxmlformats.org/officeDocument/2006/relationships/hyperlink" Target="https://www.mascience.com/basics/the-m-a-process" TargetMode="External"/><Relationship Id="rId133" Type="http://schemas.openxmlformats.org/officeDocument/2006/relationships/hyperlink" Target="https://www.appleleisuregroup.com/news-articles/hyatt-completes-acquisition-of-apple-leisure-group/?utm_source=gemini" TargetMode="External"/><Relationship Id="rId154" Type="http://schemas.openxmlformats.org/officeDocument/2006/relationships/hyperlink" Target="https://www.wsj.com/articles/arbys-buffalo-wild-wings-merge-to-compete-in-fast-changing-industry-1517841000" TargetMode="External"/><Relationship Id="rId175" Type="http://schemas.openxmlformats.org/officeDocument/2006/relationships/hyperlink" Target="https://therealdeal.com/new-york/2023/08/28/qia-buys-park-lane-hotel-from-witkoff/?utm_source=gemini" TargetMode="External"/><Relationship Id="rId16" Type="http://schemas.openxmlformats.org/officeDocument/2006/relationships/footer" Target="footer6.xml"/><Relationship Id="rId37" Type="http://schemas.openxmlformats.org/officeDocument/2006/relationships/chart" Target="charts/chart3.xml"/><Relationship Id="rId58" Type="http://schemas.openxmlformats.org/officeDocument/2006/relationships/diagramLayout" Target="diagrams/layout3.xml"/><Relationship Id="rId79" Type="http://schemas.openxmlformats.org/officeDocument/2006/relationships/hyperlink" Target="https://brandirectory.com/rankings/hotels/2023/charts" TargetMode="External"/><Relationship Id="rId102" Type="http://schemas.openxmlformats.org/officeDocument/2006/relationships/hyperlink" Target="https://hbr.org/2020/03/dont-make-this-common-ma-mistake" TargetMode="External"/><Relationship Id="rId123" Type="http://schemas.openxmlformats.org/officeDocument/2006/relationships/hyperlink" Target="https://www.statista.com/statistics/197869/us-hotel-companies-by-number-of-properties-worldwide/" TargetMode="External"/><Relationship Id="rId144" Type="http://schemas.openxmlformats.org/officeDocument/2006/relationships/hyperlink" Target="https://www.hoteldive.com/news/hilton-grand-vacations-completes-bluegreen-acquisition/704774/?utm_source=gemini" TargetMode="External"/><Relationship Id="rId90" Type="http://schemas.openxmlformats.org/officeDocument/2006/relationships/hyperlink" Target="https://www.tihanafulir.com/sto-je-hotelski-management/" TargetMode="External"/><Relationship Id="rId165" Type="http://schemas.openxmlformats.org/officeDocument/2006/relationships/hyperlink" Target="https://poslovnipuls.com/2012/05/08/drzava-privatizacija/" TargetMode="External"/><Relationship Id="rId27" Type="http://schemas.openxmlformats.org/officeDocument/2006/relationships/hyperlink" Target="https://stories.hilton.com/emea/brands" TargetMode="External"/><Relationship Id="rId48" Type="http://schemas.microsoft.com/office/2007/relationships/diagramDrawing" Target="diagrams/drawing2.xml"/><Relationship Id="rId69" Type="http://schemas.openxmlformats.org/officeDocument/2006/relationships/image" Target="media/image12.png"/><Relationship Id="rId113" Type="http://schemas.openxmlformats.org/officeDocument/2006/relationships/hyperlink" Target="https://www.hotelmanagement.net/transactions/mergers-and-acquisitions-hospitality-expected-to-accelerate" TargetMode="External"/><Relationship Id="rId134" Type="http://schemas.openxmlformats.org/officeDocument/2006/relationships/hyperlink" Target="https://www.azfond.hr/valamar-riviera-potpisala-ugovor-o-prodaji-i-prijenosu-dionica-hotela-makarska/?utm_source=gemini" TargetMode="External"/><Relationship Id="rId80" Type="http://schemas.openxmlformats.org/officeDocument/2006/relationships/hyperlink" Target="https://brandirectory.com/rankings/hotels/" TargetMode="External"/><Relationship Id="rId155" Type="http://schemas.openxmlformats.org/officeDocument/2006/relationships/hyperlink" Target="https://www.hoteliermagazine.com/experts-are-optimistic-about-hotel-ma-activity-in-2022/?cn-reloaded=1" TargetMode="External"/><Relationship Id="rId176" Type="http://schemas.openxmlformats.org/officeDocument/2006/relationships/hyperlink" Target="https://hospitality-on.com/en/worldwide-hospitality-awards/tune-hotels/tune-hotels" TargetMode="External"/><Relationship Id="rId17" Type="http://schemas.openxmlformats.org/officeDocument/2006/relationships/footer" Target="footer7.xml"/><Relationship Id="rId38" Type="http://schemas.openxmlformats.org/officeDocument/2006/relationships/chart" Target="charts/chart4.xml"/><Relationship Id="rId59" Type="http://schemas.openxmlformats.org/officeDocument/2006/relationships/diagramQuickStyle" Target="diagrams/quickStyle3.xml"/><Relationship Id="rId103" Type="http://schemas.openxmlformats.org/officeDocument/2006/relationships/hyperlink" Target="https://www.geckohospitality.com/2023/01/13/the-evolution-of-hospitality-from-ancient-traditions-to-modern-day-experiences-and-the-many-innovations-along-the-way/" TargetMode="External"/><Relationship Id="rId124" Type="http://schemas.openxmlformats.org/officeDocument/2006/relationships/hyperlink" Target="https://tourismteacher.com/the-history-of-the-hotel-industry-understanding-tourism/" TargetMode="External"/><Relationship Id="rId70" Type="http://schemas.openxmlformats.org/officeDocument/2006/relationships/image" Target="media/image13.png"/><Relationship Id="rId91" Type="http://schemas.openxmlformats.org/officeDocument/2006/relationships/hyperlink" Target="https://www.glion.edu/magazine/hotel-industry-key-success-factors/" TargetMode="External"/><Relationship Id="rId145" Type="http://schemas.openxmlformats.org/officeDocument/2006/relationships/hyperlink" Target="https://www.hotelmanagement-network.com/news/biggest-deals-hotel-industry-2023/?utm_source=gemini" TargetMode="External"/><Relationship Id="rId166" Type="http://schemas.openxmlformats.org/officeDocument/2006/relationships/hyperlink" Target="https://porestina.info/franco-palma-donedavni-direktor-poreke-riviere-i-aktivni-turistiki-dunosnik/" TargetMode="External"/><Relationship Id="rId1" Type="http://schemas.openxmlformats.org/officeDocument/2006/relationships/customXml" Target="../customXml/item1.xml"/><Relationship Id="rId28" Type="http://schemas.openxmlformats.org/officeDocument/2006/relationships/image" Target="media/image3.png"/><Relationship Id="rId49" Type="http://schemas.openxmlformats.org/officeDocument/2006/relationships/image" Target="media/image6.jpeg"/><Relationship Id="rId114" Type="http://schemas.openxmlformats.org/officeDocument/2006/relationships/hyperlink" Target="https://www.siteminder.com/r/hotel-management-strategi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therealdeal.com/new-york/2023/08/28/qia-buys-park-lane-hotel-from-witkoff/?utm_source=gemini" TargetMode="External"/><Relationship Id="rId13" Type="http://schemas.openxmlformats.org/officeDocument/2006/relationships/hyperlink" Target="https://www.radissonhotels.com/en-us/corporate/media/press-releases/choice-hotels-acquires-radisson-hotel-group-americas?utm_source=gemini" TargetMode="External"/><Relationship Id="rId18" Type="http://schemas.openxmlformats.org/officeDocument/2006/relationships/hyperlink" Target="https://www.appleleisuregroup.com/news-articles/hyatt-completes-acquisition-of-apple-leisure-group/?utm_source=gemini" TargetMode="External"/><Relationship Id="rId26" Type="http://schemas.openxmlformats.org/officeDocument/2006/relationships/hyperlink" Target="https://www.azfond.hr/valamar-riviera-potpisala-ugovor-o-prodaji-i-prijenosu-dionica-hotela-makarska/?utm_source=gemini" TargetMode="External"/><Relationship Id="rId3" Type="http://schemas.openxmlformats.org/officeDocument/2006/relationships/hyperlink" Target="https://hospitality-on.com/en/hospitality/travelodge-acquires-66-hotels-ps210-million?utm_source=gemini" TargetMode="External"/><Relationship Id="rId21" Type="http://schemas.openxmlformats.org/officeDocument/2006/relationships/hyperlink" Target="https://biz.plavalaguna.hr/hr/o-nama" TargetMode="External"/><Relationship Id="rId7" Type="http://schemas.openxmlformats.org/officeDocument/2006/relationships/hyperlink" Target="https://www.hotelmanagement-network.com/news/biggest-deals-hotel-industry-2023/?utm_source=gemini" TargetMode="External"/><Relationship Id="rId12" Type="http://schemas.openxmlformats.org/officeDocument/2006/relationships/hyperlink" Target="https://www.hotelmanagement-network.com/deals-analysis/tourism-leisure-industry-ma-deals-total-569-3m-globally-in-february-2022/?cf-view&amp;utm_source=gemini" TargetMode="External"/><Relationship Id="rId17" Type="http://schemas.openxmlformats.org/officeDocument/2006/relationships/hyperlink" Target="https://www.businesswire.com/news/home/20210802005413/en/Hilton-Grand-Vacations-Completes-Acquisition-of-Diamond-Resorts?utm_source=gemini" TargetMode="External"/><Relationship Id="rId25" Type="http://schemas.openxmlformats.org/officeDocument/2006/relationships/hyperlink" Target="https://valamar-riviera.com/hr/investitori/financijske-objave/obavijest-o-sklapanju-ugovora-o-kupnji-dionica-drus-tva-hoteli-makarska-dd/?utm_source=gemini" TargetMode="External"/><Relationship Id="rId2" Type="http://schemas.openxmlformats.org/officeDocument/2006/relationships/hyperlink" Target="https://hospitality-on.com/en/mergers-and-acquisitions/starwood-capital-acquires-10-radisson-blu-hotels-edwardian-group" TargetMode="External"/><Relationship Id="rId16" Type="http://schemas.openxmlformats.org/officeDocument/2006/relationships/hyperlink" Target="https://www.globenewswire.com/news-release/2021/06/16/2248347/0/en/Blackstone-and-Starwood-Capital-Group-Complete-Acquisition-of-Extended-Stay-America.html?utm_source=gemini" TargetMode="External"/><Relationship Id="rId20" Type="http://schemas.openxmlformats.org/officeDocument/2006/relationships/hyperlink" Target="https://investors.sonder.com/news-releases/news-release-details/sonder-holdings-inc-and-gores-metropoulos-ii-announce-closing?utm_source=gemini" TargetMode="External"/><Relationship Id="rId29" Type="http://schemas.openxmlformats.org/officeDocument/2006/relationships/hyperlink" Target="http://www.imperial-riviera.hr/hr/o-nama/povijest-hoteli-makarska-d-d/?utm_source=gemini" TargetMode="External"/><Relationship Id="rId1" Type="http://schemas.openxmlformats.org/officeDocument/2006/relationships/hyperlink" Target="https://brandfinance.com/insights/brand-evaluation-brand-strength-index" TargetMode="External"/><Relationship Id="rId6" Type="http://schemas.openxmlformats.org/officeDocument/2006/relationships/hyperlink" Target="https://newsroom.hyatt.com/news-releases?item=124341&amp;utm_source=gemini" TargetMode="External"/><Relationship Id="rId11" Type="http://schemas.openxmlformats.org/officeDocument/2006/relationships/hyperlink" Target="https://sbcamericas.com/2023/04/05/century-casinos-nugget-casino-resort/?utm_source=gemini" TargetMode="External"/><Relationship Id="rId24" Type="http://schemas.openxmlformats.org/officeDocument/2006/relationships/hyperlink" Target="https://www.adris.hr/odnosi-s-javnoscu/vijesti/adris-grupa-i-hup-zagreb-potpisali-ugovor-o-strateskom-partnerstvu/?utm_source=gemini" TargetMode="External"/><Relationship Id="rId5" Type="http://schemas.openxmlformats.org/officeDocument/2006/relationships/hyperlink" Target="https://www.hoteldive.com/news/hilton-grand-vacations-completes-bluegreen-acquisition/704774/?utm_source=gemini" TargetMode="External"/><Relationship Id="rId15" Type="http://schemas.openxmlformats.org/officeDocument/2006/relationships/hyperlink" Target="https://www.globenewswire.com/news-release/2021/06/16/2248347/0/en/Blackstone-and-Starwood-Capital-Group-Complete-Acquisition-of-Extended-Stay-America.html?utm_source=gemini" TargetMode="External"/><Relationship Id="rId23" Type="http://schemas.openxmlformats.org/officeDocument/2006/relationships/hyperlink" Target="https://valamar-riviera.com/hr/investitori/financijske-objave/obavijest-o-sklapanju-ugovora-o-kupnji-dionica-drustva-imperial-dd-rab/" TargetMode="External"/><Relationship Id="rId28" Type="http://schemas.openxmlformats.org/officeDocument/2006/relationships/hyperlink" Target="https://www.poslovni.hr/domace/adris-grupa-preuzela-jos-152745-dionica-hup-a-zagreb-342228?utm_source=gemini" TargetMode="External"/><Relationship Id="rId10" Type="http://schemas.openxmlformats.org/officeDocument/2006/relationships/hyperlink" Target="https://www.hotelmanagement-network.com/deals-analysis/tourism-leisure-industry-ma-deals-total-569-3m-globally-in-february-2022/?cf-view&amp;utm_source=gemini" TargetMode="External"/><Relationship Id="rId19" Type="http://schemas.openxmlformats.org/officeDocument/2006/relationships/hyperlink" Target="https://www.apollo.com/insights-news/pressreleases/2022/02/apollo-funds-complete-the-acquisition-of-the-venetian-resort-las-vegas-and-venetian-expo-operating-companies-211644121?utm_source=gemini" TargetMode="External"/><Relationship Id="rId31" Type="http://schemas.openxmlformats.org/officeDocument/2006/relationships/hyperlink" Target="https://biz.plavalaguna.hr/hr/o-nama?utm_source=gemini" TargetMode="External"/><Relationship Id="rId4" Type="http://schemas.openxmlformats.org/officeDocument/2006/relationships/hyperlink" Target="https://www.costar.com/article/16720500/spate-of-early-2024-hotel-acquisitions-boosts-hopes-of-healthier-european-market?utm_source=gemini" TargetMode="External"/><Relationship Id="rId9" Type="http://schemas.openxmlformats.org/officeDocument/2006/relationships/hyperlink" Target="https://www.hotelmanagement-network.com/news/biggest-deals-hotel-industry-2023/?cf-view&amp;utm_source=gemini" TargetMode="External"/><Relationship Id="rId14" Type="http://schemas.openxmlformats.org/officeDocument/2006/relationships/hyperlink" Target="https://corporate.wyndhamhotels.com/news-releases/wyndham-hotels-resorts-acquires-european-hotel-brand-vienna-house/" TargetMode="External"/><Relationship Id="rId22" Type="http://schemas.openxmlformats.org/officeDocument/2006/relationships/hyperlink" Target="https://biz.plavalaguna.hr/hr/o-nama" TargetMode="External"/><Relationship Id="rId27" Type="http://schemas.openxmlformats.org/officeDocument/2006/relationships/hyperlink" Target="http://www.imperial-riviera.hr/hr/o-nama/povijest-hoteli-makarska-d-d/?utm_source=gemini" TargetMode="External"/><Relationship Id="rId30" Type="http://schemas.openxmlformats.org/officeDocument/2006/relationships/hyperlink" Target="https://www.poslovni.hr/kompanije/laguna-novigrad-preuzima-dalmacija-hotele-htp-korculu-i-htp-orebic-4257954?utm_source=gemini"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5.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6.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Korisnik\Downloads\statistic_id1406839_luxury-hotels_-average-m-a-deal-value-worldwide-2022.xlsx" TargetMode="External"/><Relationship Id="rId1" Type="http://schemas.openxmlformats.org/officeDocument/2006/relationships/themeOverride" Target="../theme/themeOverride7.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ttps://valamar-my.sharepoint.com/personal/ebanic_riviera_hr/Documents/Desktop/DPr/Doktorat/smjestajni_kapaciteti%20(version%201).xlsx" TargetMode="External"/><Relationship Id="rId4"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List1!$B$1</c:f>
              <c:strCache>
                <c:ptCount val="1"/>
                <c:pt idx="0">
                  <c:v>BROJ OBJEKATA U PORTFELJU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List1!$A$2:$A$11</c:f>
              <c:strCache>
                <c:ptCount val="10"/>
                <c:pt idx="0">
                  <c:v>Wyndham Hotels and Resorts </c:v>
                </c:pt>
                <c:pt idx="1">
                  <c:v>Marriot International </c:v>
                </c:pt>
                <c:pt idx="2">
                  <c:v>Choice Hotels International</c:v>
                </c:pt>
                <c:pt idx="3">
                  <c:v>Hilton</c:v>
                </c:pt>
                <c:pt idx="4">
                  <c:v>IHG Hotels &amp; Resorts </c:v>
                </c:pt>
                <c:pt idx="5">
                  <c:v>BWH Hotel Group </c:v>
                </c:pt>
                <c:pt idx="6">
                  <c:v>Aimbridge Hospitality</c:v>
                </c:pt>
                <c:pt idx="7">
                  <c:v>C6 Hospitality</c:v>
                </c:pt>
                <c:pt idx="8">
                  <c:v>Hyatt Hotels Corporation</c:v>
                </c:pt>
                <c:pt idx="9">
                  <c:v>Sonesta International Hotels Corporation</c:v>
                </c:pt>
              </c:strCache>
            </c:strRef>
          </c:cat>
          <c:val>
            <c:numRef>
              <c:f>List1!$B$2:$B$11</c:f>
              <c:numCache>
                <c:formatCode>#,##0</c:formatCode>
                <c:ptCount val="10"/>
                <c:pt idx="0">
                  <c:v>9059</c:v>
                </c:pt>
                <c:pt idx="1">
                  <c:v>8353</c:v>
                </c:pt>
                <c:pt idx="2">
                  <c:v>7467</c:v>
                </c:pt>
                <c:pt idx="3">
                  <c:v>7277</c:v>
                </c:pt>
                <c:pt idx="4">
                  <c:v>6179</c:v>
                </c:pt>
                <c:pt idx="5">
                  <c:v>3914</c:v>
                </c:pt>
                <c:pt idx="6">
                  <c:v>1447</c:v>
                </c:pt>
                <c:pt idx="7">
                  <c:v>1453</c:v>
                </c:pt>
                <c:pt idx="8">
                  <c:v>1297</c:v>
                </c:pt>
                <c:pt idx="9">
                  <c:v>1083</c:v>
                </c:pt>
              </c:numCache>
            </c:numRef>
          </c:val>
          <c:extLst>
            <c:ext xmlns:c16="http://schemas.microsoft.com/office/drawing/2014/chart" uri="{C3380CC4-5D6E-409C-BE32-E72D297353CC}">
              <c16:uniqueId val="{00000000-CD39-4441-B22B-C9AD49E8E7E1}"/>
            </c:ext>
          </c:extLst>
        </c:ser>
        <c:dLbls>
          <c:showLegendKey val="0"/>
          <c:showVal val="0"/>
          <c:showCatName val="0"/>
          <c:showSerName val="0"/>
          <c:showPercent val="0"/>
          <c:showBubbleSize val="0"/>
        </c:dLbls>
        <c:gapWidth val="182"/>
        <c:axId val="224125312"/>
        <c:axId val="224127232"/>
      </c:barChart>
      <c:catAx>
        <c:axId val="2241253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Naziv hotelskog poduzeća </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127232"/>
        <c:crosses val="autoZero"/>
        <c:auto val="1"/>
        <c:lblAlgn val="ctr"/>
        <c:lblOffset val="100"/>
        <c:noMultiLvlLbl val="0"/>
      </c:catAx>
      <c:valAx>
        <c:axId val="224127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Broj</a:t>
                </a:r>
                <a:r>
                  <a:rPr lang="hr-HR" baseline="0"/>
                  <a:t> objekata u portfelju</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4125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1"/>
          <c:order val="1"/>
          <c:tx>
            <c:strRef>
              <c:f>List1!$C$1</c:f>
              <c:strCache>
                <c:ptCount val="1"/>
                <c:pt idx="0">
                  <c:v>hoteli</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List1!$A$2:$A$7</c:f>
              <c:strCache>
                <c:ptCount val="5"/>
                <c:pt idx="0">
                  <c:v>2019.</c:v>
                </c:pt>
                <c:pt idx="1">
                  <c:v>2020.</c:v>
                </c:pt>
                <c:pt idx="2">
                  <c:v>2021.</c:v>
                </c:pt>
                <c:pt idx="3">
                  <c:v>2022.</c:v>
                </c:pt>
                <c:pt idx="4">
                  <c:v>2023.</c:v>
                </c:pt>
              </c:strCache>
            </c:strRef>
          </c:cat>
          <c:val>
            <c:numRef>
              <c:f>List1!$C$2:$C$7</c:f>
              <c:numCache>
                <c:formatCode>#,##0</c:formatCode>
                <c:ptCount val="5"/>
                <c:pt idx="0">
                  <c:v>178913</c:v>
                </c:pt>
                <c:pt idx="1">
                  <c:v>176381</c:v>
                </c:pt>
                <c:pt idx="2">
                  <c:v>176402</c:v>
                </c:pt>
                <c:pt idx="3">
                  <c:v>178151</c:v>
                </c:pt>
                <c:pt idx="4">
                  <c:v>180388</c:v>
                </c:pt>
              </c:numCache>
            </c:numRef>
          </c:val>
          <c:extLst>
            <c:ext xmlns:c16="http://schemas.microsoft.com/office/drawing/2014/chart" uri="{C3380CC4-5D6E-409C-BE32-E72D297353CC}">
              <c16:uniqueId val="{00000000-995B-463E-AE03-583503B930BF}"/>
            </c:ext>
          </c:extLst>
        </c:ser>
        <c:ser>
          <c:idx val="2"/>
          <c:order val="2"/>
          <c:tx>
            <c:strRef>
              <c:f>List1!$D$1</c:f>
              <c:strCache>
                <c:ptCount val="1"/>
                <c:pt idx="0">
                  <c:v>kampovi</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List1!$A$2:$A$7</c:f>
              <c:strCache>
                <c:ptCount val="5"/>
                <c:pt idx="0">
                  <c:v>2019.</c:v>
                </c:pt>
                <c:pt idx="1">
                  <c:v>2020.</c:v>
                </c:pt>
                <c:pt idx="2">
                  <c:v>2021.</c:v>
                </c:pt>
                <c:pt idx="3">
                  <c:v>2022.</c:v>
                </c:pt>
                <c:pt idx="4">
                  <c:v>2023.</c:v>
                </c:pt>
              </c:strCache>
            </c:strRef>
          </c:cat>
          <c:val>
            <c:numRef>
              <c:f>List1!$D$2:$D$7</c:f>
              <c:numCache>
                <c:formatCode>#,##0</c:formatCode>
                <c:ptCount val="5"/>
                <c:pt idx="0">
                  <c:v>252312</c:v>
                </c:pt>
                <c:pt idx="1">
                  <c:v>254344</c:v>
                </c:pt>
                <c:pt idx="2">
                  <c:v>255117</c:v>
                </c:pt>
                <c:pt idx="3">
                  <c:v>249774</c:v>
                </c:pt>
                <c:pt idx="4">
                  <c:v>251553</c:v>
                </c:pt>
              </c:numCache>
            </c:numRef>
          </c:val>
          <c:extLst>
            <c:ext xmlns:c16="http://schemas.microsoft.com/office/drawing/2014/chart" uri="{C3380CC4-5D6E-409C-BE32-E72D297353CC}">
              <c16:uniqueId val="{00000001-995B-463E-AE03-583503B930BF}"/>
            </c:ext>
          </c:extLst>
        </c:ser>
        <c:ser>
          <c:idx val="3"/>
          <c:order val="3"/>
          <c:tx>
            <c:strRef>
              <c:f>List1!$E$1</c:f>
              <c:strCache>
                <c:ptCount val="1"/>
                <c:pt idx="0">
                  <c:v>nekomercijalni smještaj ("vikendice")</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List1!$A$2:$A$7</c:f>
              <c:strCache>
                <c:ptCount val="5"/>
                <c:pt idx="0">
                  <c:v>2019.</c:v>
                </c:pt>
                <c:pt idx="1">
                  <c:v>2020.</c:v>
                </c:pt>
                <c:pt idx="2">
                  <c:v>2021.</c:v>
                </c:pt>
                <c:pt idx="3">
                  <c:v>2022.</c:v>
                </c:pt>
                <c:pt idx="4">
                  <c:v>2023.</c:v>
                </c:pt>
              </c:strCache>
            </c:strRef>
          </c:cat>
          <c:val>
            <c:numRef>
              <c:f>List1!$E$2:$E$7</c:f>
              <c:numCache>
                <c:formatCode>#,##0</c:formatCode>
                <c:ptCount val="5"/>
                <c:pt idx="0">
                  <c:v>508126</c:v>
                </c:pt>
                <c:pt idx="1">
                  <c:v>557484</c:v>
                </c:pt>
                <c:pt idx="2">
                  <c:v>587528</c:v>
                </c:pt>
                <c:pt idx="3">
                  <c:v>619943</c:v>
                </c:pt>
                <c:pt idx="4">
                  <c:v>650929</c:v>
                </c:pt>
              </c:numCache>
            </c:numRef>
          </c:val>
          <c:extLst>
            <c:ext xmlns:c16="http://schemas.microsoft.com/office/drawing/2014/chart" uri="{C3380CC4-5D6E-409C-BE32-E72D297353CC}">
              <c16:uniqueId val="{00000002-995B-463E-AE03-583503B930BF}"/>
            </c:ext>
          </c:extLst>
        </c:ser>
        <c:ser>
          <c:idx val="4"/>
          <c:order val="4"/>
          <c:tx>
            <c:strRef>
              <c:f>List1!$F$1</c:f>
              <c:strCache>
                <c:ptCount val="1"/>
                <c:pt idx="0">
                  <c:v>objekti u domaćinstu + OPG</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List1!$A$2:$A$7</c:f>
              <c:strCache>
                <c:ptCount val="5"/>
                <c:pt idx="0">
                  <c:v>2019.</c:v>
                </c:pt>
                <c:pt idx="1">
                  <c:v>2020.</c:v>
                </c:pt>
                <c:pt idx="2">
                  <c:v>2021.</c:v>
                </c:pt>
                <c:pt idx="3">
                  <c:v>2022.</c:v>
                </c:pt>
                <c:pt idx="4">
                  <c:v>2023.</c:v>
                </c:pt>
              </c:strCache>
            </c:strRef>
          </c:cat>
          <c:val>
            <c:numRef>
              <c:f>List1!$F$2:$F$7</c:f>
              <c:numCache>
                <c:formatCode>#,##0</c:formatCode>
                <c:ptCount val="5"/>
                <c:pt idx="0">
                  <c:v>610413</c:v>
                </c:pt>
                <c:pt idx="1">
                  <c:v>584055</c:v>
                </c:pt>
                <c:pt idx="2">
                  <c:v>582628</c:v>
                </c:pt>
                <c:pt idx="3">
                  <c:v>602295</c:v>
                </c:pt>
                <c:pt idx="4">
                  <c:v>642456</c:v>
                </c:pt>
              </c:numCache>
            </c:numRef>
          </c:val>
          <c:extLst>
            <c:ext xmlns:c16="http://schemas.microsoft.com/office/drawing/2014/chart" uri="{C3380CC4-5D6E-409C-BE32-E72D297353CC}">
              <c16:uniqueId val="{00000003-995B-463E-AE03-583503B930BF}"/>
            </c:ext>
          </c:extLst>
        </c:ser>
        <c:ser>
          <c:idx val="6"/>
          <c:order val="6"/>
          <c:tx>
            <c:strRef>
              <c:f>List1!$H$1</c:f>
              <c:strCache>
                <c:ptCount val="1"/>
                <c:pt idx="0">
                  <c:v>ostalo</c:v>
                </c:pt>
              </c:strCache>
            </c:strRef>
          </c:tx>
          <c:spPr>
            <a:solidFill>
              <a:schemeClr val="accent1">
                <a:lumMod val="60000"/>
              </a:schemeClr>
            </a:solidFill>
            <a:ln>
              <a:noFill/>
            </a:ln>
            <a:effectLst/>
            <a:sp3d/>
          </c:spPr>
          <c:invertIfNegative val="0"/>
          <c:cat>
            <c:strRef>
              <c:f>List1!$A$2:$A$7</c:f>
              <c:strCache>
                <c:ptCount val="5"/>
                <c:pt idx="0">
                  <c:v>2019.</c:v>
                </c:pt>
                <c:pt idx="1">
                  <c:v>2020.</c:v>
                </c:pt>
                <c:pt idx="2">
                  <c:v>2021.</c:v>
                </c:pt>
                <c:pt idx="3">
                  <c:v>2022.</c:v>
                </c:pt>
                <c:pt idx="4">
                  <c:v>2023.</c:v>
                </c:pt>
              </c:strCache>
            </c:strRef>
          </c:cat>
          <c:val>
            <c:numRef>
              <c:f>List1!$H$2:$H$7</c:f>
              <c:numCache>
                <c:formatCode>#,##0</c:formatCode>
                <c:ptCount val="5"/>
                <c:pt idx="0">
                  <c:v>8562</c:v>
                </c:pt>
                <c:pt idx="1">
                  <c:v>8639</c:v>
                </c:pt>
                <c:pt idx="2">
                  <c:v>8599</c:v>
                </c:pt>
                <c:pt idx="3">
                  <c:v>2756</c:v>
                </c:pt>
                <c:pt idx="4">
                  <c:v>5782</c:v>
                </c:pt>
              </c:numCache>
            </c:numRef>
          </c:val>
          <c:extLst>
            <c:ext xmlns:c16="http://schemas.microsoft.com/office/drawing/2014/chart" uri="{C3380CC4-5D6E-409C-BE32-E72D297353CC}">
              <c16:uniqueId val="{00000004-995B-463E-AE03-583503B930BF}"/>
            </c:ext>
          </c:extLst>
        </c:ser>
        <c:ser>
          <c:idx val="5"/>
          <c:order val="5"/>
          <c:tx>
            <c:strRef>
              <c:f>List1!$G$1</c:f>
              <c:strCache>
                <c:ptCount val="1"/>
                <c:pt idx="0">
                  <c:v>ostali ugostiteljski objekti za smještaj (pravne osobe)</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List1!$A$2:$A$7</c:f>
              <c:strCache>
                <c:ptCount val="5"/>
                <c:pt idx="0">
                  <c:v>2019.</c:v>
                </c:pt>
                <c:pt idx="1">
                  <c:v>2020.</c:v>
                </c:pt>
                <c:pt idx="2">
                  <c:v>2021.</c:v>
                </c:pt>
                <c:pt idx="3">
                  <c:v>2022.</c:v>
                </c:pt>
                <c:pt idx="4">
                  <c:v>2023.</c:v>
                </c:pt>
              </c:strCache>
            </c:strRef>
          </c:cat>
          <c:val>
            <c:numRef>
              <c:f>List1!$G$2:$G$7</c:f>
              <c:numCache>
                <c:formatCode>#,##0</c:formatCode>
                <c:ptCount val="5"/>
                <c:pt idx="0">
                  <c:v>131030</c:v>
                </c:pt>
                <c:pt idx="1">
                  <c:v>132801</c:v>
                </c:pt>
                <c:pt idx="2">
                  <c:v>137890</c:v>
                </c:pt>
                <c:pt idx="3">
                  <c:v>142895</c:v>
                </c:pt>
                <c:pt idx="4">
                  <c:v>150408</c:v>
                </c:pt>
              </c:numCache>
            </c:numRef>
          </c:val>
          <c:extLst>
            <c:ext xmlns:c16="http://schemas.microsoft.com/office/drawing/2014/chart" uri="{C3380CC4-5D6E-409C-BE32-E72D297353CC}">
              <c16:uniqueId val="{00000005-995B-463E-AE03-583503B930BF}"/>
            </c:ext>
          </c:extLst>
        </c:ser>
        <c:dLbls>
          <c:showLegendKey val="0"/>
          <c:showVal val="0"/>
          <c:showCatName val="0"/>
          <c:showSerName val="0"/>
          <c:showPercent val="0"/>
          <c:showBubbleSize val="0"/>
        </c:dLbls>
        <c:gapWidth val="150"/>
        <c:shape val="box"/>
        <c:axId val="267165696"/>
        <c:axId val="267167616"/>
        <c:axId val="0"/>
        <c:extLst>
          <c:ext xmlns:c15="http://schemas.microsoft.com/office/drawing/2012/chart" uri="{02D57815-91ED-43cb-92C2-25804820EDAC}">
            <c15:filteredBarSeries>
              <c15:ser>
                <c:idx val="0"/>
                <c:order val="0"/>
                <c:tx>
                  <c:strRef>
                    <c:extLst>
                      <c:ext uri="{02D57815-91ED-43cb-92C2-25804820EDAC}">
                        <c15:formulaRef>
                          <c15:sqref>List1!$B$1</c15:sqref>
                        </c15:formulaRef>
                      </c:ext>
                    </c:extLst>
                    <c:strCache>
                      <c:ptCount val="1"/>
                      <c:pt idx="0">
                        <c:v>VRSTA SMJEŠTAJNIH KAPACITETA</c:v>
                      </c:pt>
                    </c:strCache>
                  </c:strRef>
                </c:tx>
                <c:spPr>
                  <a:solidFill>
                    <a:schemeClr val="accent1"/>
                  </a:solidFill>
                  <a:ln>
                    <a:noFill/>
                  </a:ln>
                  <a:effectLst/>
                  <a:sp3d/>
                </c:spPr>
                <c:invertIfNegative val="0"/>
                <c:cat>
                  <c:strRef>
                    <c:extLst>
                      <c:ext uri="{02D57815-91ED-43cb-92C2-25804820EDAC}">
                        <c15:formulaRef>
                          <c15:sqref>List1!$A$2:$A$7</c15:sqref>
                        </c15:formulaRef>
                      </c:ext>
                    </c:extLst>
                    <c:strCache>
                      <c:ptCount val="5"/>
                      <c:pt idx="0">
                        <c:v>2019.</c:v>
                      </c:pt>
                      <c:pt idx="1">
                        <c:v>2020.</c:v>
                      </c:pt>
                      <c:pt idx="2">
                        <c:v>2021.</c:v>
                      </c:pt>
                      <c:pt idx="3">
                        <c:v>2022.</c:v>
                      </c:pt>
                      <c:pt idx="4">
                        <c:v>2023.</c:v>
                      </c:pt>
                    </c:strCache>
                  </c:strRef>
                </c:cat>
                <c:val>
                  <c:numRef>
                    <c:extLst>
                      <c:ext uri="{02D57815-91ED-43cb-92C2-25804820EDAC}">
                        <c15:formulaRef>
                          <c15:sqref>List1!$B$2:$B$7</c15:sqref>
                        </c15:formulaRef>
                      </c:ext>
                    </c:extLst>
                    <c:numCache>
                      <c:formatCode>General</c:formatCode>
                      <c:ptCount val="5"/>
                    </c:numCache>
                  </c:numRef>
                </c:val>
                <c:extLst>
                  <c:ext xmlns:c16="http://schemas.microsoft.com/office/drawing/2014/chart" uri="{C3380CC4-5D6E-409C-BE32-E72D297353CC}">
                    <c16:uniqueId val="{00000006-995B-463E-AE03-583503B930BF}"/>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List1!$I$1</c15:sqref>
                        </c15:formulaRef>
                      </c:ext>
                    </c:extLst>
                    <c:strCache>
                      <c:ptCount val="1"/>
                      <c:pt idx="0">
                        <c:v>UKUPNO</c:v>
                      </c:pt>
                    </c:strCache>
                  </c:strRef>
                </c:tx>
                <c:spPr>
                  <a:solidFill>
                    <a:schemeClr val="accent2">
                      <a:lumMod val="60000"/>
                    </a:schemeClr>
                  </a:solidFill>
                  <a:ln>
                    <a:noFill/>
                  </a:ln>
                  <a:effectLst/>
                  <a:sp3d/>
                </c:spPr>
                <c:invertIfNegative val="0"/>
                <c:cat>
                  <c:strRef>
                    <c:extLst xmlns:c15="http://schemas.microsoft.com/office/drawing/2012/chart">
                      <c:ext xmlns:c15="http://schemas.microsoft.com/office/drawing/2012/chart" uri="{02D57815-91ED-43cb-92C2-25804820EDAC}">
                        <c15:formulaRef>
                          <c15:sqref>List1!$A$2:$A$7</c15:sqref>
                        </c15:formulaRef>
                      </c:ext>
                    </c:extLst>
                    <c:strCache>
                      <c:ptCount val="5"/>
                      <c:pt idx="0">
                        <c:v>2019.</c:v>
                      </c:pt>
                      <c:pt idx="1">
                        <c:v>2020.</c:v>
                      </c:pt>
                      <c:pt idx="2">
                        <c:v>2021.</c:v>
                      </c:pt>
                      <c:pt idx="3">
                        <c:v>2022.</c:v>
                      </c:pt>
                      <c:pt idx="4">
                        <c:v>2023.</c:v>
                      </c:pt>
                    </c:strCache>
                  </c:strRef>
                </c:cat>
                <c:val>
                  <c:numRef>
                    <c:extLst xmlns:c15="http://schemas.microsoft.com/office/drawing/2012/chart">
                      <c:ext xmlns:c15="http://schemas.microsoft.com/office/drawing/2012/chart" uri="{02D57815-91ED-43cb-92C2-25804820EDAC}">
                        <c15:formulaRef>
                          <c15:sqref>List1!$I$2:$I$7</c15:sqref>
                        </c15:formulaRef>
                      </c:ext>
                    </c:extLst>
                    <c:numCache>
                      <c:formatCode>#,##0</c:formatCode>
                      <c:ptCount val="5"/>
                      <c:pt idx="0">
                        <c:v>1689356</c:v>
                      </c:pt>
                      <c:pt idx="1">
                        <c:v>1713704</c:v>
                      </c:pt>
                      <c:pt idx="2">
                        <c:v>1748164</c:v>
                      </c:pt>
                      <c:pt idx="3">
                        <c:v>1795814</c:v>
                      </c:pt>
                      <c:pt idx="4">
                        <c:v>1881516</c:v>
                      </c:pt>
                    </c:numCache>
                  </c:numRef>
                </c:val>
                <c:extLst xmlns:c15="http://schemas.microsoft.com/office/drawing/2012/chart">
                  <c:ext xmlns:c16="http://schemas.microsoft.com/office/drawing/2014/chart" uri="{C3380CC4-5D6E-409C-BE32-E72D297353CC}">
                    <c16:uniqueId val="{00000007-995B-463E-AE03-583503B930BF}"/>
                  </c:ext>
                </c:extLst>
              </c15:ser>
            </c15:filteredBarSeries>
          </c:ext>
        </c:extLst>
      </c:bar3DChart>
      <c:catAx>
        <c:axId val="267165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Godine</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167616"/>
        <c:crosses val="autoZero"/>
        <c:auto val="1"/>
        <c:lblAlgn val="ctr"/>
        <c:lblOffset val="100"/>
        <c:noMultiLvlLbl val="0"/>
      </c:catAx>
      <c:valAx>
        <c:axId val="267167616"/>
        <c:scaling>
          <c:orientation val="minMax"/>
        </c:scaling>
        <c:delete val="1"/>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Ukupni</a:t>
                </a:r>
                <a:r>
                  <a:rPr lang="hr-HR" baseline="0"/>
                  <a:t> volumen smještajnih kapaciteta</a:t>
                </a:r>
                <a:endParaRPr lang="en-US"/>
              </a:p>
            </c:rich>
          </c:tx>
          <c:overlay val="0"/>
          <c:spPr>
            <a:noFill/>
            <a:ln>
              <a:noFill/>
            </a:ln>
            <a:effectLst/>
          </c:spPr>
        </c:title>
        <c:numFmt formatCode="0%" sourceLinked="1"/>
        <c:majorTickMark val="none"/>
        <c:minorTickMark val="none"/>
        <c:tickLblPos val="nextTo"/>
        <c:crossAx val="26716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'2023.situacija'!$C$1</c:f>
              <c:strCache>
                <c:ptCount val="1"/>
                <c:pt idx="0">
                  <c:v>UKUPNI PRIHODI </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'2023.situacija'!$B$2:$B$11</c:f>
              <c:strCache>
                <c:ptCount val="10"/>
                <c:pt idx="0">
                  <c:v>VALAMAR RIVIERA D.D.</c:v>
                </c:pt>
                <c:pt idx="1">
                  <c:v>MAISTRA D.D.</c:v>
                </c:pt>
                <c:pt idx="2">
                  <c:v>PLAVA LAGUNA D.D. </c:v>
                </c:pt>
                <c:pt idx="3">
                  <c:v>ARENA HOSPITALITY GROUP D.D. </c:v>
                </c:pt>
                <c:pt idx="4">
                  <c:v>IMPERIAL RIVIERA D.D. </c:v>
                </c:pt>
                <c:pt idx="5">
                  <c:v>SUNCE HOTELI D.D. </c:v>
                </c:pt>
                <c:pt idx="6">
                  <c:v>HUP-ZAGREB D.D. </c:v>
                </c:pt>
                <c:pt idx="7">
                  <c:v>JADRANSKI LUKSUZNI HOTELI D.D. </c:v>
                </c:pt>
                <c:pt idx="8">
                  <c:v>JADRANKA TURIZAM D.O.O. </c:v>
                </c:pt>
                <c:pt idx="9">
                  <c:v>LIBURNIA RIVIERA HOTELI D.D. </c:v>
                </c:pt>
              </c:strCache>
            </c:strRef>
          </c:cat>
          <c:val>
            <c:numRef>
              <c:f>'2023.situacija'!$C$2:$C$11</c:f>
              <c:numCache>
                <c:formatCode>#,##0</c:formatCode>
                <c:ptCount val="10"/>
                <c:pt idx="0">
                  <c:v>299488406</c:v>
                </c:pt>
                <c:pt idx="1">
                  <c:v>230181345</c:v>
                </c:pt>
                <c:pt idx="2">
                  <c:v>214610398</c:v>
                </c:pt>
                <c:pt idx="3">
                  <c:v>93578402</c:v>
                </c:pt>
                <c:pt idx="4">
                  <c:v>91701711</c:v>
                </c:pt>
                <c:pt idx="5">
                  <c:v>74185978</c:v>
                </c:pt>
                <c:pt idx="6">
                  <c:v>68065578</c:v>
                </c:pt>
                <c:pt idx="7">
                  <c:v>64196530</c:v>
                </c:pt>
                <c:pt idx="8">
                  <c:v>59732057</c:v>
                </c:pt>
                <c:pt idx="9">
                  <c:v>58944076</c:v>
                </c:pt>
              </c:numCache>
            </c:numRef>
          </c:val>
          <c:extLst>
            <c:ext xmlns:c16="http://schemas.microsoft.com/office/drawing/2014/chart" uri="{C3380CC4-5D6E-409C-BE32-E72D297353CC}">
              <c16:uniqueId val="{00000000-C13E-47C3-B15B-0B1889A1E975}"/>
            </c:ext>
          </c:extLst>
        </c:ser>
        <c:ser>
          <c:idx val="1"/>
          <c:order val="1"/>
          <c:tx>
            <c:strRef>
              <c:f>'2023.situacija'!$D$1</c:f>
              <c:strCache>
                <c:ptCount val="1"/>
                <c:pt idx="0">
                  <c:v>EBITDA</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'2023.situacija'!$B$2:$B$11</c:f>
              <c:strCache>
                <c:ptCount val="10"/>
                <c:pt idx="0">
                  <c:v>VALAMAR RIVIERA D.D.</c:v>
                </c:pt>
                <c:pt idx="1">
                  <c:v>MAISTRA D.D.</c:v>
                </c:pt>
                <c:pt idx="2">
                  <c:v>PLAVA LAGUNA D.D. </c:v>
                </c:pt>
                <c:pt idx="3">
                  <c:v>ARENA HOSPITALITY GROUP D.D. </c:v>
                </c:pt>
                <c:pt idx="4">
                  <c:v>IMPERIAL RIVIERA D.D. </c:v>
                </c:pt>
                <c:pt idx="5">
                  <c:v>SUNCE HOTELI D.D. </c:v>
                </c:pt>
                <c:pt idx="6">
                  <c:v>HUP-ZAGREB D.D. </c:v>
                </c:pt>
                <c:pt idx="7">
                  <c:v>JADRANSKI LUKSUZNI HOTELI D.D. </c:v>
                </c:pt>
                <c:pt idx="8">
                  <c:v>JADRANKA TURIZAM D.O.O. </c:v>
                </c:pt>
                <c:pt idx="9">
                  <c:v>LIBURNIA RIVIERA HOTELI D.D. </c:v>
                </c:pt>
              </c:strCache>
            </c:strRef>
          </c:cat>
          <c:val>
            <c:numRef>
              <c:f>'2023.situacija'!$D$2:$D$11</c:f>
              <c:numCache>
                <c:formatCode>#,##0</c:formatCode>
                <c:ptCount val="10"/>
                <c:pt idx="0">
                  <c:v>81400732</c:v>
                </c:pt>
                <c:pt idx="1">
                  <c:v>73027957</c:v>
                </c:pt>
                <c:pt idx="2">
                  <c:v>80121557</c:v>
                </c:pt>
                <c:pt idx="3">
                  <c:v>20192504</c:v>
                </c:pt>
                <c:pt idx="4">
                  <c:v>26048618</c:v>
                </c:pt>
                <c:pt idx="5">
                  <c:v>21402970</c:v>
                </c:pt>
                <c:pt idx="6">
                  <c:v>12655970</c:v>
                </c:pt>
                <c:pt idx="7">
                  <c:v>23124293</c:v>
                </c:pt>
                <c:pt idx="8">
                  <c:v>33552988</c:v>
                </c:pt>
                <c:pt idx="9">
                  <c:v>12284851</c:v>
                </c:pt>
              </c:numCache>
            </c:numRef>
          </c:val>
          <c:extLst>
            <c:ext xmlns:c16="http://schemas.microsoft.com/office/drawing/2014/chart" uri="{C3380CC4-5D6E-409C-BE32-E72D297353CC}">
              <c16:uniqueId val="{00000001-C13E-47C3-B15B-0B1889A1E975}"/>
            </c:ext>
          </c:extLst>
        </c:ser>
        <c:ser>
          <c:idx val="2"/>
          <c:order val="2"/>
          <c:tx>
            <c:strRef>
              <c:f>'2023.situacija'!$E$1</c:f>
              <c:strCache>
                <c:ptCount val="1"/>
                <c:pt idx="0">
                  <c:v>DOBIT RAZDOBLJA</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'2023.situacija'!$B$2:$B$11</c:f>
              <c:strCache>
                <c:ptCount val="10"/>
                <c:pt idx="0">
                  <c:v>VALAMAR RIVIERA D.D.</c:v>
                </c:pt>
                <c:pt idx="1">
                  <c:v>MAISTRA D.D.</c:v>
                </c:pt>
                <c:pt idx="2">
                  <c:v>PLAVA LAGUNA D.D. </c:v>
                </c:pt>
                <c:pt idx="3">
                  <c:v>ARENA HOSPITALITY GROUP D.D. </c:v>
                </c:pt>
                <c:pt idx="4">
                  <c:v>IMPERIAL RIVIERA D.D. </c:v>
                </c:pt>
                <c:pt idx="5">
                  <c:v>SUNCE HOTELI D.D. </c:v>
                </c:pt>
                <c:pt idx="6">
                  <c:v>HUP-ZAGREB D.D. </c:v>
                </c:pt>
                <c:pt idx="7">
                  <c:v>JADRANSKI LUKSUZNI HOTELI D.D. </c:v>
                </c:pt>
                <c:pt idx="8">
                  <c:v>JADRANKA TURIZAM D.O.O. </c:v>
                </c:pt>
                <c:pt idx="9">
                  <c:v>LIBURNIA RIVIERA HOTELI D.D. </c:v>
                </c:pt>
              </c:strCache>
            </c:strRef>
          </c:cat>
          <c:val>
            <c:numRef>
              <c:f>'2023.situacija'!$E$2:$E$11</c:f>
              <c:numCache>
                <c:formatCode>#,##0</c:formatCode>
                <c:ptCount val="10"/>
                <c:pt idx="0">
                  <c:v>24945219</c:v>
                </c:pt>
                <c:pt idx="1">
                  <c:v>27735905</c:v>
                </c:pt>
                <c:pt idx="2">
                  <c:v>44431275</c:v>
                </c:pt>
                <c:pt idx="3">
                  <c:v>6131696</c:v>
                </c:pt>
                <c:pt idx="4">
                  <c:v>11841421</c:v>
                </c:pt>
                <c:pt idx="5">
                  <c:v>4486739</c:v>
                </c:pt>
                <c:pt idx="6">
                  <c:v>9507063</c:v>
                </c:pt>
                <c:pt idx="7">
                  <c:v>12503022</c:v>
                </c:pt>
                <c:pt idx="8">
                  <c:v>3359599</c:v>
                </c:pt>
                <c:pt idx="9">
                  <c:v>1401462</c:v>
                </c:pt>
              </c:numCache>
            </c:numRef>
          </c:val>
          <c:extLst>
            <c:ext xmlns:c16="http://schemas.microsoft.com/office/drawing/2014/chart" uri="{C3380CC4-5D6E-409C-BE32-E72D297353CC}">
              <c16:uniqueId val="{00000002-C13E-47C3-B15B-0B1889A1E975}"/>
            </c:ext>
          </c:extLst>
        </c:ser>
        <c:dLbls>
          <c:showLegendKey val="0"/>
          <c:showVal val="0"/>
          <c:showCatName val="0"/>
          <c:showSerName val="0"/>
          <c:showPercent val="0"/>
          <c:showBubbleSize val="0"/>
        </c:dLbls>
        <c:gapWidth val="150"/>
        <c:shape val="box"/>
        <c:axId val="267005312"/>
        <c:axId val="267023872"/>
        <c:axId val="0"/>
      </c:bar3DChart>
      <c:catAx>
        <c:axId val="26700531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Hotelska</a:t>
                </a:r>
                <a:r>
                  <a:rPr lang="hr-HR" baseline="0"/>
                  <a:t> poduzeća</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023872"/>
        <c:crosses val="autoZero"/>
        <c:auto val="1"/>
        <c:lblAlgn val="ctr"/>
        <c:lblOffset val="100"/>
        <c:noMultiLvlLbl val="0"/>
      </c:catAx>
      <c:valAx>
        <c:axId val="267023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Ukupno (u Eurima)</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005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'2023.situacija'!$F$1</c:f>
              <c:strCache>
                <c:ptCount val="1"/>
                <c:pt idx="0">
                  <c:v>BRUTO INVESTICIJE U DUGOTRAJNU IMOVINU</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'2023.situacija'!$B$2:$B$11</c:f>
              <c:strCache>
                <c:ptCount val="10"/>
                <c:pt idx="0">
                  <c:v>VALAMAR RIVIERA D.D.</c:v>
                </c:pt>
                <c:pt idx="1">
                  <c:v>MAISTRA D.D.</c:v>
                </c:pt>
                <c:pt idx="2">
                  <c:v>PLAVA LAGUNA D.D. </c:v>
                </c:pt>
                <c:pt idx="3">
                  <c:v>ARENA HOSPITALITY GROUP D.D. </c:v>
                </c:pt>
                <c:pt idx="4">
                  <c:v>IMPERIAL RIVIERA D.D. </c:v>
                </c:pt>
                <c:pt idx="5">
                  <c:v>SUNCE HOTELI D.D. </c:v>
                </c:pt>
                <c:pt idx="6">
                  <c:v>HUP-ZAGREB D.D. </c:v>
                </c:pt>
                <c:pt idx="7">
                  <c:v>JADRANSKI LUKSUZNI HOTELI D.D. </c:v>
                </c:pt>
                <c:pt idx="8">
                  <c:v>JADRANKA TURIZAM D.O.O. </c:v>
                </c:pt>
                <c:pt idx="9">
                  <c:v>LIBURNIA RIVIERA HOTELI D.D. </c:v>
                </c:pt>
              </c:strCache>
            </c:strRef>
          </c:cat>
          <c:val>
            <c:numRef>
              <c:f>'2023.situacija'!$F$2:$F$11</c:f>
              <c:numCache>
                <c:formatCode>#,##0</c:formatCode>
                <c:ptCount val="10"/>
                <c:pt idx="0">
                  <c:v>25021142</c:v>
                </c:pt>
                <c:pt idx="1">
                  <c:v>53071855</c:v>
                </c:pt>
                <c:pt idx="2">
                  <c:v>28543912</c:v>
                </c:pt>
                <c:pt idx="3">
                  <c:v>13169461</c:v>
                </c:pt>
                <c:pt idx="4">
                  <c:v>33288548</c:v>
                </c:pt>
                <c:pt idx="5" formatCode="General">
                  <c:v>0</c:v>
                </c:pt>
                <c:pt idx="6">
                  <c:v>76598561</c:v>
                </c:pt>
                <c:pt idx="7">
                  <c:v>1104367</c:v>
                </c:pt>
                <c:pt idx="8">
                  <c:v>3303416</c:v>
                </c:pt>
                <c:pt idx="9">
                  <c:v>581265</c:v>
                </c:pt>
              </c:numCache>
            </c:numRef>
          </c:val>
          <c:extLst>
            <c:ext xmlns:c16="http://schemas.microsoft.com/office/drawing/2014/chart" uri="{C3380CC4-5D6E-409C-BE32-E72D297353CC}">
              <c16:uniqueId val="{00000000-B206-4F42-91F8-4D91B287A43F}"/>
            </c:ext>
          </c:extLst>
        </c:ser>
        <c:dLbls>
          <c:showLegendKey val="0"/>
          <c:showVal val="0"/>
          <c:showCatName val="0"/>
          <c:showSerName val="0"/>
          <c:showPercent val="0"/>
          <c:showBubbleSize val="0"/>
        </c:dLbls>
        <c:gapWidth val="219"/>
        <c:overlap val="-27"/>
        <c:axId val="274508800"/>
        <c:axId val="274510976"/>
      </c:barChart>
      <c:catAx>
        <c:axId val="2745088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Hotelska</a:t>
                </a:r>
                <a:r>
                  <a:rPr lang="hr-HR" baseline="0"/>
                  <a:t> poduzeća</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510976"/>
        <c:crosses val="autoZero"/>
        <c:auto val="1"/>
        <c:lblAlgn val="ctr"/>
        <c:lblOffset val="100"/>
        <c:noMultiLvlLbl val="0"/>
      </c:catAx>
      <c:valAx>
        <c:axId val="274510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Iznos</a:t>
                </a:r>
                <a:r>
                  <a:rPr lang="hr-HR" baseline="0"/>
                  <a:t> u Eur</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5088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'2023.situacija'!$G$1</c:f>
              <c:strCache>
                <c:ptCount val="1"/>
                <c:pt idx="0">
                  <c:v>BROJ ZAPOSLENIKA PREMA SATIMA RADA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'2023.situacija'!$B$2:$B$11</c:f>
              <c:strCache>
                <c:ptCount val="10"/>
                <c:pt idx="0">
                  <c:v>VALAMAR RIVIERA D.D.</c:v>
                </c:pt>
                <c:pt idx="1">
                  <c:v>MAISTRA D.D.</c:v>
                </c:pt>
                <c:pt idx="2">
                  <c:v>PLAVA LAGUNA D.D. </c:v>
                </c:pt>
                <c:pt idx="3">
                  <c:v>ARENA HOSPITALITY GROUP D.D. </c:v>
                </c:pt>
                <c:pt idx="4">
                  <c:v>IMPERIAL RIVIERA D.D. </c:v>
                </c:pt>
                <c:pt idx="5">
                  <c:v>SUNCE HOTELI D.D. </c:v>
                </c:pt>
                <c:pt idx="6">
                  <c:v>HUP-ZAGREB D.D. </c:v>
                </c:pt>
                <c:pt idx="7">
                  <c:v>JADRANSKI LUKSUZNI HOTELI D.D. </c:v>
                </c:pt>
                <c:pt idx="8">
                  <c:v>JADRANKA TURIZAM D.O.O. </c:v>
                </c:pt>
                <c:pt idx="9">
                  <c:v>LIBURNIA RIVIERA HOTELI D.D. </c:v>
                </c:pt>
              </c:strCache>
            </c:strRef>
          </c:cat>
          <c:val>
            <c:numRef>
              <c:f>'2023.situacija'!$G$2:$G$11</c:f>
              <c:numCache>
                <c:formatCode>#,##0</c:formatCode>
                <c:ptCount val="10"/>
                <c:pt idx="0">
                  <c:v>3483</c:v>
                </c:pt>
                <c:pt idx="1">
                  <c:v>2400</c:v>
                </c:pt>
                <c:pt idx="2">
                  <c:v>2102</c:v>
                </c:pt>
                <c:pt idx="3">
                  <c:v>867</c:v>
                </c:pt>
                <c:pt idx="4">
                  <c:v>966</c:v>
                </c:pt>
                <c:pt idx="5">
                  <c:v>891</c:v>
                </c:pt>
                <c:pt idx="6">
                  <c:v>868</c:v>
                </c:pt>
                <c:pt idx="7">
                  <c:v>605</c:v>
                </c:pt>
                <c:pt idx="8">
                  <c:v>755</c:v>
                </c:pt>
                <c:pt idx="9">
                  <c:v>624</c:v>
                </c:pt>
              </c:numCache>
            </c:numRef>
          </c:val>
          <c:extLst>
            <c:ext xmlns:c16="http://schemas.microsoft.com/office/drawing/2014/chart" uri="{C3380CC4-5D6E-409C-BE32-E72D297353CC}">
              <c16:uniqueId val="{00000000-162B-43FC-BA7C-30FD03D4A79D}"/>
            </c:ext>
          </c:extLst>
        </c:ser>
        <c:dLbls>
          <c:showLegendKey val="0"/>
          <c:showVal val="0"/>
          <c:showCatName val="0"/>
          <c:showSerName val="0"/>
          <c:showPercent val="0"/>
          <c:showBubbleSize val="0"/>
        </c:dLbls>
        <c:gapWidth val="182"/>
        <c:axId val="274811136"/>
        <c:axId val="274854272"/>
      </c:barChart>
      <c:catAx>
        <c:axId val="27481113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Hotelska</a:t>
                </a:r>
                <a:r>
                  <a:rPr lang="hr-HR" baseline="0"/>
                  <a:t> poduzeća</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854272"/>
        <c:crosses val="autoZero"/>
        <c:auto val="1"/>
        <c:lblAlgn val="ctr"/>
        <c:lblOffset val="100"/>
        <c:noMultiLvlLbl val="0"/>
      </c:catAx>
      <c:valAx>
        <c:axId val="2748542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Broj</a:t>
                </a:r>
                <a:r>
                  <a:rPr lang="hr-HR" baseline="0"/>
                  <a:t> zaposlenika prema satima rada</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8111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'[statistic_id1406839_luxury-hotels_-average-m-a-deal-value-worldwide-2022.xlsx]Data'!$C$4</c:f>
              <c:strCache>
                <c:ptCount val="1"/>
                <c:pt idx="0">
                  <c:v>Prosječna vrijednost transakcije/sklopljenog posla na tržištu luksuznih hotela diljem Svijeta od 2016. do 2022. (u milijunima US dolara)  </c:v>
                </c:pt>
              </c:strCache>
            </c:strRef>
          </c:tx>
          <c:spPr>
            <a:gradFill rotWithShape="1">
              <a:gsLst>
                <a:gs pos="0">
                  <a:schemeClr val="accent1">
                    <a:tint val="100000"/>
                    <a:shade val="100000"/>
                    <a:satMod val="130000"/>
                  </a:schemeClr>
                </a:gs>
                <a:gs pos="100000">
                  <a:schemeClr val="accent1">
                    <a:tint val="50000"/>
                    <a:shade val="100000"/>
                    <a:satMod val="350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name>1</c:name>
            <c:spPr>
              <a:ln w="19050" cap="rnd">
                <a:solidFill>
                  <a:srgbClr val="FF0000"/>
                </a:solidFill>
              </a:ln>
              <a:effectLst/>
            </c:spPr>
            <c:trendlineType val="movingAvg"/>
            <c:period val="2"/>
            <c:dispRSqr val="0"/>
            <c:dispEq val="0"/>
          </c:trendline>
          <c:cat>
            <c:strRef>
              <c:f>'[statistic_id1406839_luxury-hotels_-average-m-a-deal-value-worldwide-2022.xlsx]Data'!$B$5:$B$12</c:f>
              <c:strCache>
                <c:ptCount val="8"/>
                <c:pt idx="1">
                  <c:v>2016</c:v>
                </c:pt>
                <c:pt idx="2">
                  <c:v>2017</c:v>
                </c:pt>
                <c:pt idx="3">
                  <c:v>2018</c:v>
                </c:pt>
                <c:pt idx="4">
                  <c:v>2019</c:v>
                </c:pt>
                <c:pt idx="5">
                  <c:v>2020</c:v>
                </c:pt>
                <c:pt idx="6">
                  <c:v>2021</c:v>
                </c:pt>
                <c:pt idx="7">
                  <c:v>2022</c:v>
                </c:pt>
              </c:strCache>
            </c:strRef>
          </c:cat>
          <c:val>
            <c:numRef>
              <c:f>'[statistic_id1406839_luxury-hotels_-average-m-a-deal-value-worldwide-2022.xlsx]Data'!$C$5:$C$12</c:f>
              <c:numCache>
                <c:formatCode>#,##0</c:formatCode>
                <c:ptCount val="8"/>
                <c:pt idx="1">
                  <c:v>794</c:v>
                </c:pt>
                <c:pt idx="2">
                  <c:v>163</c:v>
                </c:pt>
                <c:pt idx="3">
                  <c:v>266</c:v>
                </c:pt>
                <c:pt idx="4">
                  <c:v>186</c:v>
                </c:pt>
                <c:pt idx="5">
                  <c:v>140</c:v>
                </c:pt>
                <c:pt idx="6">
                  <c:v>376</c:v>
                </c:pt>
                <c:pt idx="7">
                  <c:v>106</c:v>
                </c:pt>
              </c:numCache>
            </c:numRef>
          </c:val>
          <c:extLst>
            <c:ext xmlns:c16="http://schemas.microsoft.com/office/drawing/2014/chart" uri="{C3380CC4-5D6E-409C-BE32-E72D297353CC}">
              <c16:uniqueId val="{00000001-2C0A-4918-9585-660F77DA2F7B}"/>
            </c:ext>
          </c:extLst>
        </c:ser>
        <c:dLbls>
          <c:showLegendKey val="0"/>
          <c:showVal val="0"/>
          <c:showCatName val="0"/>
          <c:showSerName val="0"/>
          <c:showPercent val="0"/>
          <c:showBubbleSize val="0"/>
        </c:dLbls>
        <c:gapWidth val="100"/>
        <c:overlap val="-24"/>
        <c:axId val="274896000"/>
        <c:axId val="274897920"/>
      </c:barChart>
      <c:catAx>
        <c:axId val="274896000"/>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hr-HR"/>
                  <a:t>godine</a:t>
                </a:r>
                <a:endParaRPr lang="en-US"/>
              </a:p>
            </c:rich>
          </c:tx>
          <c:overlay val="0"/>
          <c:spPr>
            <a:noFill/>
            <a:ln>
              <a:noFill/>
            </a:ln>
            <a:effectLst/>
          </c:sp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897920"/>
        <c:crosses val="autoZero"/>
        <c:auto val="1"/>
        <c:lblAlgn val="ctr"/>
        <c:lblOffset val="100"/>
        <c:noMultiLvlLbl val="0"/>
      </c:catAx>
      <c:valAx>
        <c:axId val="274897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hr-HR"/>
                  <a:t>prosječna vrijednost transakcije (u mil. USD)</a:t>
                </a:r>
                <a:endParaRPr lang="en-US"/>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8960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Podaci!$A$2:$A$8</cx:f>
        <cx:lvl ptCount="7">
          <cx:pt idx="0">Hoteli</cx:pt>
          <cx:pt idx="1">Kampovi</cx:pt>
          <cx:pt idx="2">Nekomercijalni 
smještaj</cx:pt>
          <cx:pt idx="3">Domaćinstva i OPG</cx:pt>
          <cx:pt idx="4">Ostali smještaj
 (pravne osobe)</cx:pt>
          <cx:pt idx="5">Ostalo</cx:pt>
          <cx:pt idx="6">UKUPNO</cx:pt>
        </cx:lvl>
      </cx:strDim>
      <cx:numDim type="val">
        <cx:f>Podaci!$B$2:$B$8</cx:f>
        <cx:lvl ptCount="7" formatCode="#.##0">
          <cx:pt idx="0">1475</cx:pt>
          <cx:pt idx="1">-759</cx:pt>
          <cx:pt idx="2">142803</cx:pt>
          <cx:pt idx="3">32043</cx:pt>
          <cx:pt idx="4">19378</cx:pt>
          <cx:pt idx="5">-2780</cx:pt>
          <cx:pt idx="6">192160</cx:pt>
        </cx:lvl>
      </cx:numDim>
    </cx:data>
  </cx:chartData>
  <cx:chart>
    <cx:title pos="t" align="ctr" overlay="0">
      <cx:tx>
        <cx:rich>
          <a:bodyPr spcFirstLastPara="1" vertOverflow="ellipsis" horzOverflow="overflow" wrap="square" lIns="0" tIns="0" rIns="0" bIns="0" anchor="ctr" anchorCtr="1"/>
          <a:lstStyle/>
          <a:p>
            <a:pPr rtl="0"/>
            <a:r>
              <a:rPr lang="en-US" sz="1100" b="0" i="0" baseline="0">
                <a:effectLst/>
                <a:latin typeface="Times New Roman" panose="02020603050405020304" pitchFamily="18" charset="0"/>
                <a:cs typeface="Times New Roman" panose="02020603050405020304" pitchFamily="18" charset="0"/>
              </a:rPr>
              <a:t>Ukupni volumen smještajnih kapaciteta (razlika 2019. - 2023.)</a:t>
            </a:r>
            <a:endParaRPr lang="hr-HR" sz="1000">
              <a:effectLst/>
              <a:latin typeface="Times New Roman" panose="02020603050405020304" pitchFamily="18" charset="0"/>
              <a:cs typeface="Times New Roman" panose="02020603050405020304" pitchFamily="18" charset="0"/>
            </a:endParaRPr>
          </a:p>
        </cx:rich>
      </cx:tx>
    </cx:title>
    <cx:plotArea>
      <cx:plotAreaRegion>
        <cx:series layoutId="waterfall" uniqueId="{92ED7BF8-9022-49F2-9BA2-260103358EA3}">
          <cx:tx>
            <cx:txData>
              <cx:f>Podaci!$B$1</cx:f>
              <cx:v>Promjena kapaciteta (2019–2023)</cx:v>
            </cx:txData>
          </cx:tx>
          <cx:dataLabels>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a:endParaRPr>
              </a:p>
            </cx:txPr>
            <cx:visibility seriesName="0" categoryName="0" value="1"/>
          </cx:dataLabels>
          <cx:dataId val="0"/>
          <cx:layoutPr>
            <cx:subtotals/>
          </cx:layoutPr>
        </cx:series>
      </cx:plotAreaRegion>
      <cx:axis id="0">
        <cx:catScaling gapWidth="0.5"/>
        <cx:title>
          <cx:tx>
            <cx:rich>
              <a:bodyPr spcFirstLastPara="1" vertOverflow="ellipsis" horzOverflow="overflow" wrap="square" lIns="0" tIns="0" rIns="0" bIns="0" anchor="ctr" anchorCtr="1"/>
              <a:lstStyle/>
              <a:p>
                <a:pPr algn="ctr" rtl="0">
                  <a:defRPr/>
                </a:pPr>
                <a:r>
                  <a:rPr lang="hr-HR" sz="900" b="0" i="0" u="none" strike="noStrike" baseline="0">
                    <a:solidFill>
                      <a:sysClr val="windowText" lastClr="000000">
                        <a:lumMod val="65000"/>
                        <a:lumOff val="35000"/>
                      </a:sysClr>
                    </a:solidFill>
                    <a:latin typeface="Calibri"/>
                  </a:rPr>
                  <a:t>Vrsta smještaja</a:t>
                </a:r>
                <a:endParaRPr lang="en-US" sz="900" b="0" i="0" u="none" strike="noStrike" baseline="0">
                  <a:solidFill>
                    <a:sysClr val="windowText" lastClr="000000">
                      <a:lumMod val="65000"/>
                      <a:lumOff val="35000"/>
                    </a:sysClr>
                  </a:solidFill>
                  <a:latin typeface="Calibri"/>
                </a:endParaRPr>
              </a:p>
            </cx:rich>
          </cx:tx>
        </cx:title>
        <cx:tickLabels/>
        <cx:txPr>
          <a:bodyPr spcFirstLastPara="1" vertOverflow="ellipsis" horzOverflow="overflow" wrap="square" lIns="0" tIns="0" rIns="0" bIns="0" anchor="ctr" anchorCtr="1"/>
          <a:lstStyle/>
          <a:p>
            <a:pPr algn="ctr" rtl="0">
              <a:defRPr sz="700" baseline="0"/>
            </a:pPr>
            <a:endParaRPr lang="en-US" sz="700" b="0" i="0" u="none" strike="noStrike" baseline="0">
              <a:solidFill>
                <a:sysClr val="windowText" lastClr="000000">
                  <a:lumMod val="65000"/>
                  <a:lumOff val="35000"/>
                </a:sysClr>
              </a:solidFill>
              <a:latin typeface="Calibri"/>
            </a:endParaRPr>
          </a:p>
        </cx:txPr>
      </cx:axis>
      <cx:axis id="1">
        <cx:valScaling/>
        <cx:title>
          <cx:tx>
            <cx:txData>
              <cx:v/>
            </cx:txData>
          </cx:tx>
          <cx:txPr>
            <a:bodyPr spcFirstLastPara="1" vertOverflow="ellipsis" horzOverflow="overflow" wrap="square" lIns="0" tIns="0" rIns="0" bIns="0" anchor="ctr" anchorCtr="1"/>
            <a:lstStyle/>
            <a:p>
              <a:pPr algn="ctr" rtl="0">
                <a:defRPr/>
              </a:pPr>
              <a:endParaRPr lang="en-US" sz="900" b="0" i="0" u="none" strike="noStrike" baseline="0">
                <a:solidFill>
                  <a:sysClr val="windowText" lastClr="000000">
                    <a:lumMod val="65000"/>
                    <a:lumOff val="35000"/>
                  </a:sysClr>
                </a:solidFill>
                <a:latin typeface="Calibri"/>
              </a:endParaRPr>
            </a:p>
          </cx:txPr>
        </cx:title>
        <cx:majorGridlines/>
        <cx:tickLabels/>
      </cx:axis>
    </cx:plotArea>
  </cx:chart>
  <cx:clrMapOvr bg1="lt1" tx1="dk1" bg2="lt2" tx2="dk2" accent1="accent1" accent2="accent2" accent3="accent3" accent4="accent4" accent5="accent5" accent6="accent6" hlink="hlink" folHlink="folHlink"/>
  <cx:fmtOvrs>
    <cx:fmtOvr idx="2">
      <cx:spPr>
        <a:solidFill>
          <a:schemeClr val="bg1">
            <a:lumMod val="65000"/>
          </a:schemeClr>
        </a:solidFill>
      </cx:spPr>
    </cx:fmtOvr>
    <cx:fmtOvr idx="1">
      <cx:spPr>
        <a:solidFill>
          <a:schemeClr val="accent6"/>
        </a:solidFill>
      </cx:spPr>
    </cx:fmtOvr>
  </cx:fmtOvrs>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95">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colorful5#1">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2">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62F5E2-8342-4C35-A478-0F75EF763EBC}" type="doc">
      <dgm:prSet loTypeId="urn:microsoft.com/office/officeart/2005/8/layout/hProcess11#1" loCatId="process" qsTypeId="urn:microsoft.com/office/officeart/2005/8/quickstyle/3d4#1" qsCatId="3D" csTypeId="urn:microsoft.com/office/officeart/2005/8/colors/colorful5#1" csCatId="colorful" phldr="1"/>
      <dgm:spPr/>
    </dgm:pt>
    <dgm:pt modelId="{168829B0-EF2B-421B-825D-C5561630D857}">
      <dgm:prSet phldrT="[Tekst]"/>
      <dgm:spPr>
        <a:xfrm>
          <a:off x="2471" y="0"/>
          <a:ext cx="1188630" cy="1280160"/>
        </a:xfrm>
        <a:noFill/>
        <a:ln>
          <a:noFill/>
        </a:ln>
        <a:effectLst/>
      </dgm:spPr>
      <dgm:t>
        <a:bodyPr/>
        <a:lstStyle/>
        <a:p>
          <a:pPr>
            <a:buNone/>
          </a:pPr>
          <a:r>
            <a:rPr lang="hr-HR" i="1">
              <a:solidFill>
                <a:sysClr val="windowText" lastClr="000000">
                  <a:hueOff val="0"/>
                  <a:satOff val="0"/>
                  <a:lumOff val="0"/>
                  <a:alphaOff val="0"/>
                </a:sysClr>
              </a:solidFill>
              <a:latin typeface="Calibri" panose="020F0502020204030204"/>
              <a:ea typeface="+mn-ea"/>
              <a:cs typeface="+mn-cs"/>
            </a:rPr>
            <a:t>katagogeiona</a:t>
          </a:r>
          <a:r>
            <a:rPr lang="hr-HR">
              <a:solidFill>
                <a:sysClr val="windowText" lastClr="000000">
                  <a:hueOff val="0"/>
                  <a:satOff val="0"/>
                  <a:lumOff val="0"/>
                  <a:alphaOff val="0"/>
                </a:sysClr>
              </a:solidFill>
              <a:latin typeface="Calibri" panose="020F0502020204030204"/>
              <a:ea typeface="+mn-ea"/>
              <a:cs typeface="+mn-cs"/>
            </a:rPr>
            <a:t> i </a:t>
          </a:r>
          <a:r>
            <a:rPr lang="hr-HR" i="1">
              <a:solidFill>
                <a:sysClr val="windowText" lastClr="000000">
                  <a:hueOff val="0"/>
                  <a:satOff val="0"/>
                  <a:lumOff val="0"/>
                  <a:alphaOff val="0"/>
                </a:sysClr>
              </a:solidFill>
              <a:latin typeface="Calibri" panose="020F0502020204030204"/>
              <a:ea typeface="+mn-ea"/>
              <a:cs typeface="+mn-cs"/>
            </a:rPr>
            <a:t>tabernae</a:t>
          </a:r>
          <a:endParaRPr lang="en-US" i="1">
            <a:solidFill>
              <a:sysClr val="windowText" lastClr="000000">
                <a:hueOff val="0"/>
                <a:satOff val="0"/>
                <a:lumOff val="0"/>
                <a:alphaOff val="0"/>
              </a:sysClr>
            </a:solidFill>
            <a:latin typeface="Calibri" panose="020F0502020204030204"/>
            <a:ea typeface="+mn-ea"/>
            <a:cs typeface="+mn-cs"/>
          </a:endParaRPr>
        </a:p>
      </dgm:t>
    </dgm:pt>
    <dgm:pt modelId="{D0643DB8-2A28-43C3-B4F0-4152809F3429}" type="parTrans" cxnId="{9B1439C3-BAB5-4F61-93DF-B32EC359C55A}">
      <dgm:prSet/>
      <dgm:spPr/>
      <dgm:t>
        <a:bodyPr/>
        <a:lstStyle/>
        <a:p>
          <a:endParaRPr lang="en-US"/>
        </a:p>
      </dgm:t>
    </dgm:pt>
    <dgm:pt modelId="{234475E8-EB5B-4599-BDBA-0251C4E5D6DC}" type="sibTrans" cxnId="{9B1439C3-BAB5-4F61-93DF-B32EC359C55A}">
      <dgm:prSet/>
      <dgm:spPr/>
      <dgm:t>
        <a:bodyPr/>
        <a:lstStyle/>
        <a:p>
          <a:endParaRPr lang="en-US"/>
        </a:p>
      </dgm:t>
    </dgm:pt>
    <dgm:pt modelId="{00368156-244C-4088-B5DE-84A52E99086B}">
      <dgm:prSet phldrT="[Tekst]"/>
      <dgm:spPr>
        <a:xfrm>
          <a:off x="1250533" y="1920240"/>
          <a:ext cx="1188630" cy="1280160"/>
        </a:xfrm>
        <a:noFill/>
        <a:ln>
          <a:noFill/>
        </a:ln>
        <a:effectLst/>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samostani i gostionice</a:t>
          </a:r>
          <a:endParaRPr lang="en-US">
            <a:solidFill>
              <a:sysClr val="windowText" lastClr="000000">
                <a:hueOff val="0"/>
                <a:satOff val="0"/>
                <a:lumOff val="0"/>
                <a:alphaOff val="0"/>
              </a:sysClr>
            </a:solidFill>
            <a:latin typeface="Calibri" panose="020F0502020204030204"/>
            <a:ea typeface="+mn-ea"/>
            <a:cs typeface="+mn-cs"/>
          </a:endParaRPr>
        </a:p>
      </dgm:t>
    </dgm:pt>
    <dgm:pt modelId="{6E0FB094-61F8-407D-9D8F-0D4452B8CABF}" type="parTrans" cxnId="{F5B65A3E-2CE9-4EF5-9551-1683590DE8AE}">
      <dgm:prSet/>
      <dgm:spPr/>
      <dgm:t>
        <a:bodyPr/>
        <a:lstStyle/>
        <a:p>
          <a:endParaRPr lang="en-US"/>
        </a:p>
      </dgm:t>
    </dgm:pt>
    <dgm:pt modelId="{5F2F5369-A7DC-46DA-A848-5EA83D13E28D}" type="sibTrans" cxnId="{F5B65A3E-2CE9-4EF5-9551-1683590DE8AE}">
      <dgm:prSet/>
      <dgm:spPr/>
      <dgm:t>
        <a:bodyPr/>
        <a:lstStyle/>
        <a:p>
          <a:endParaRPr lang="en-US"/>
        </a:p>
      </dgm:t>
    </dgm:pt>
    <dgm:pt modelId="{480F4BA7-0ADF-4563-986A-4E749ECF852B}">
      <dgm:prSet phldrT="[Tekst]"/>
      <dgm:spPr>
        <a:xfrm>
          <a:off x="3746658" y="1920240"/>
          <a:ext cx="1188630" cy="1280160"/>
        </a:xfrm>
        <a:noFill/>
        <a:ln>
          <a:noFill/>
        </a:ln>
        <a:effectLst/>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hoteli s robotskom poslugom</a:t>
          </a:r>
          <a:endParaRPr lang="en-US">
            <a:solidFill>
              <a:sysClr val="windowText" lastClr="000000">
                <a:hueOff val="0"/>
                <a:satOff val="0"/>
                <a:lumOff val="0"/>
                <a:alphaOff val="0"/>
              </a:sysClr>
            </a:solidFill>
            <a:latin typeface="Calibri" panose="020F0502020204030204"/>
            <a:ea typeface="+mn-ea"/>
            <a:cs typeface="+mn-cs"/>
          </a:endParaRPr>
        </a:p>
      </dgm:t>
    </dgm:pt>
    <dgm:pt modelId="{31171741-C025-47E3-AEB8-EC8EF3531382}" type="parTrans" cxnId="{C83F3081-3DBF-4EE2-A216-358134099A58}">
      <dgm:prSet/>
      <dgm:spPr/>
      <dgm:t>
        <a:bodyPr/>
        <a:lstStyle/>
        <a:p>
          <a:endParaRPr lang="en-US"/>
        </a:p>
      </dgm:t>
    </dgm:pt>
    <dgm:pt modelId="{E3EA416D-528F-4D24-BEFF-460680954B1F}" type="sibTrans" cxnId="{C83F3081-3DBF-4EE2-A216-358134099A58}">
      <dgm:prSet/>
      <dgm:spPr/>
      <dgm:t>
        <a:bodyPr/>
        <a:lstStyle/>
        <a:p>
          <a:endParaRPr lang="en-US"/>
        </a:p>
      </dgm:t>
    </dgm:pt>
    <dgm:pt modelId="{F510F941-0AED-412F-9399-72498718937C}">
      <dgm:prSet/>
      <dgm:spPr>
        <a:xfrm>
          <a:off x="2498595" y="0"/>
          <a:ext cx="1188630" cy="1280160"/>
        </a:xfrm>
        <a:noFill/>
        <a:ln>
          <a:noFill/>
        </a:ln>
        <a:effectLst/>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hoteli i hotelski lanci</a:t>
          </a:r>
          <a:endParaRPr lang="en-US">
            <a:solidFill>
              <a:sysClr val="windowText" lastClr="000000">
                <a:hueOff val="0"/>
                <a:satOff val="0"/>
                <a:lumOff val="0"/>
                <a:alphaOff val="0"/>
              </a:sysClr>
            </a:solidFill>
            <a:latin typeface="Calibri" panose="020F0502020204030204"/>
            <a:ea typeface="+mn-ea"/>
            <a:cs typeface="+mn-cs"/>
          </a:endParaRPr>
        </a:p>
      </dgm:t>
    </dgm:pt>
    <dgm:pt modelId="{52A2CF12-1281-4748-BE77-42C08236BE49}" type="parTrans" cxnId="{7C3BF39D-A6AC-4B83-8A8D-86F7C99B4B8C}">
      <dgm:prSet/>
      <dgm:spPr/>
      <dgm:t>
        <a:bodyPr/>
        <a:lstStyle/>
        <a:p>
          <a:endParaRPr lang="en-US"/>
        </a:p>
      </dgm:t>
    </dgm:pt>
    <dgm:pt modelId="{5A19C8AF-78E9-41B2-9C5F-C9D8EB897CC5}" type="sibTrans" cxnId="{7C3BF39D-A6AC-4B83-8A8D-86F7C99B4B8C}">
      <dgm:prSet/>
      <dgm:spPr/>
      <dgm:t>
        <a:bodyPr/>
        <a:lstStyle/>
        <a:p>
          <a:endParaRPr lang="en-US"/>
        </a:p>
      </dgm:t>
    </dgm:pt>
    <dgm:pt modelId="{A33C1606-5B94-4E84-8D94-4DF0F7C9E187}" type="pres">
      <dgm:prSet presAssocID="{4862F5E2-8342-4C35-A478-0F75EF763EBC}" presName="Name0" presStyleCnt="0">
        <dgm:presLayoutVars>
          <dgm:dir/>
          <dgm:resizeHandles val="exact"/>
        </dgm:presLayoutVars>
      </dgm:prSet>
      <dgm:spPr/>
    </dgm:pt>
    <dgm:pt modelId="{F26D69C0-33A0-4BCB-A031-3C890B088D05}" type="pres">
      <dgm:prSet presAssocID="{4862F5E2-8342-4C35-A478-0F75EF763EBC}" presName="arrow" presStyleLbl="bgShp" presStyleIdx="0" presStyleCnt="1"/>
      <dgm:spPr>
        <a:xfrm>
          <a:off x="0" y="960120"/>
          <a:ext cx="5486400" cy="1280160"/>
        </a:xfrm>
        <a:prstGeom prst="notchedRightArrow">
          <a:avLst/>
        </a:prstGeom>
        <a:solidFill>
          <a:srgbClr val="5B9BD5">
            <a:tint val="40000"/>
            <a:hueOff val="0"/>
            <a:satOff val="0"/>
            <a:lumOff val="0"/>
            <a:alphaOff val="0"/>
          </a:srgbClr>
        </a:solidFill>
        <a:ln>
          <a:noFill/>
        </a:ln>
        <a:effectLst/>
        <a:scene3d>
          <a:camera prst="orthographicFront"/>
          <a:lightRig rig="chilly" dir="t"/>
        </a:scene3d>
        <a:sp3d z="-12700" extrusionH="1700" prstMaterial="translucentPowder">
          <a:bevelT w="25400" h="6350" prst="softRound"/>
          <a:bevelB w="0" h="0" prst="convex"/>
        </a:sp3d>
      </dgm:spPr>
    </dgm:pt>
    <dgm:pt modelId="{2E01A730-C397-46FD-88BD-6C819A25501B}" type="pres">
      <dgm:prSet presAssocID="{4862F5E2-8342-4C35-A478-0F75EF763EBC}" presName="points" presStyleCnt="0"/>
      <dgm:spPr/>
    </dgm:pt>
    <dgm:pt modelId="{8FCE89AE-FF96-4219-AF3E-465FBE39DBF1}" type="pres">
      <dgm:prSet presAssocID="{168829B0-EF2B-421B-825D-C5561630D857}" presName="compositeA" presStyleCnt="0"/>
      <dgm:spPr/>
    </dgm:pt>
    <dgm:pt modelId="{F9DC3295-64FF-478D-96B3-AC4847083779}" type="pres">
      <dgm:prSet presAssocID="{168829B0-EF2B-421B-825D-C5561630D857}" presName="textA" presStyleLbl="revTx" presStyleIdx="0" presStyleCnt="4">
        <dgm:presLayoutVars>
          <dgm:bulletEnabled val="1"/>
        </dgm:presLayoutVars>
      </dgm:prSet>
      <dgm:spPr>
        <a:prstGeom prst="rect">
          <a:avLst/>
        </a:prstGeom>
      </dgm:spPr>
    </dgm:pt>
    <dgm:pt modelId="{85F2365A-1888-4E8A-9360-58F739B56D8C}" type="pres">
      <dgm:prSet presAssocID="{168829B0-EF2B-421B-825D-C5561630D857}" presName="circleA" presStyleLbl="node1" presStyleIdx="0" presStyleCnt="4"/>
      <dgm:spPr>
        <a:xfrm>
          <a:off x="436766" y="1440180"/>
          <a:ext cx="320040" cy="320040"/>
        </a:xfrm>
        <a:prstGeom prst="ellipse">
          <a:avLst/>
        </a:prstGeom>
        <a:solidFill>
          <a:srgbClr val="5B9BD5">
            <a:hueOff val="0"/>
            <a:satOff val="0"/>
            <a:lumOff val="0"/>
            <a:alphaOff val="0"/>
          </a:srgbClr>
        </a:solidFill>
        <a:ln>
          <a:noFill/>
        </a:ln>
        <a:effectLst/>
        <a:scene3d>
          <a:camera prst="orthographicFront"/>
          <a:lightRig rig="chilly" dir="t"/>
        </a:scene3d>
        <a:sp3d prstMaterial="translucentPowder">
          <a:bevelT w="127000" h="25400" prst="softRound"/>
        </a:sp3d>
      </dgm:spPr>
    </dgm:pt>
    <dgm:pt modelId="{8C5336FA-D995-48E3-92AE-FA14F91B15FD}" type="pres">
      <dgm:prSet presAssocID="{168829B0-EF2B-421B-825D-C5561630D857}" presName="spaceA" presStyleCnt="0"/>
      <dgm:spPr/>
    </dgm:pt>
    <dgm:pt modelId="{EA36BA91-62C7-4D41-8D92-076BA5EA630F}" type="pres">
      <dgm:prSet presAssocID="{234475E8-EB5B-4599-BDBA-0251C4E5D6DC}" presName="space" presStyleCnt="0"/>
      <dgm:spPr/>
    </dgm:pt>
    <dgm:pt modelId="{ACB8B776-DCCF-41BF-92F0-84CC927ABC5C}" type="pres">
      <dgm:prSet presAssocID="{00368156-244C-4088-B5DE-84A52E99086B}" presName="compositeB" presStyleCnt="0"/>
      <dgm:spPr/>
    </dgm:pt>
    <dgm:pt modelId="{D72B7483-3D18-4367-A85A-476BCBBCC603}" type="pres">
      <dgm:prSet presAssocID="{00368156-244C-4088-B5DE-84A52E99086B}" presName="textB" presStyleLbl="revTx" presStyleIdx="1" presStyleCnt="4">
        <dgm:presLayoutVars>
          <dgm:bulletEnabled val="1"/>
        </dgm:presLayoutVars>
      </dgm:prSet>
      <dgm:spPr>
        <a:prstGeom prst="rect">
          <a:avLst/>
        </a:prstGeom>
      </dgm:spPr>
    </dgm:pt>
    <dgm:pt modelId="{7D2C5AED-3E69-4BA2-B050-DB04B0AFB3C4}" type="pres">
      <dgm:prSet presAssocID="{00368156-244C-4088-B5DE-84A52E99086B}" presName="circleB" presStyleLbl="node1" presStyleIdx="1" presStyleCnt="4"/>
      <dgm:spPr>
        <a:xfrm>
          <a:off x="1684828" y="1440180"/>
          <a:ext cx="320040" cy="320040"/>
        </a:xfrm>
        <a:prstGeom prst="ellipse">
          <a:avLst/>
        </a:prstGeom>
        <a:solidFill>
          <a:srgbClr val="5B9BD5">
            <a:hueOff val="-2252848"/>
            <a:satOff val="-5806"/>
            <a:lumOff val="-3922"/>
            <a:alphaOff val="0"/>
          </a:srgbClr>
        </a:solidFill>
        <a:ln>
          <a:noFill/>
        </a:ln>
        <a:effectLst/>
        <a:scene3d>
          <a:camera prst="orthographicFront"/>
          <a:lightRig rig="chilly" dir="t"/>
        </a:scene3d>
        <a:sp3d prstMaterial="translucentPowder">
          <a:bevelT w="127000" h="25400" prst="softRound"/>
        </a:sp3d>
      </dgm:spPr>
    </dgm:pt>
    <dgm:pt modelId="{7B108C40-1222-4E7D-94F9-FC57BD61B8B8}" type="pres">
      <dgm:prSet presAssocID="{00368156-244C-4088-B5DE-84A52E99086B}" presName="spaceB" presStyleCnt="0"/>
      <dgm:spPr/>
    </dgm:pt>
    <dgm:pt modelId="{5F745A84-4CD3-4C44-B8C6-34E4DCA7A3D6}" type="pres">
      <dgm:prSet presAssocID="{5F2F5369-A7DC-46DA-A848-5EA83D13E28D}" presName="space" presStyleCnt="0"/>
      <dgm:spPr/>
    </dgm:pt>
    <dgm:pt modelId="{C3C276D8-D7B5-49D6-8EE9-80562F32D52F}" type="pres">
      <dgm:prSet presAssocID="{F510F941-0AED-412F-9399-72498718937C}" presName="compositeA" presStyleCnt="0"/>
      <dgm:spPr/>
    </dgm:pt>
    <dgm:pt modelId="{D2E4F8A9-AC46-461E-B737-389F9C271175}" type="pres">
      <dgm:prSet presAssocID="{F510F941-0AED-412F-9399-72498718937C}" presName="textA" presStyleLbl="revTx" presStyleIdx="2" presStyleCnt="4">
        <dgm:presLayoutVars>
          <dgm:bulletEnabled val="1"/>
        </dgm:presLayoutVars>
      </dgm:prSet>
      <dgm:spPr>
        <a:prstGeom prst="rect">
          <a:avLst/>
        </a:prstGeom>
      </dgm:spPr>
    </dgm:pt>
    <dgm:pt modelId="{288FE176-0B34-4E8B-9BA5-5A6134772A61}" type="pres">
      <dgm:prSet presAssocID="{F510F941-0AED-412F-9399-72498718937C}" presName="circleA" presStyleLbl="node1" presStyleIdx="2" presStyleCnt="4"/>
      <dgm:spPr>
        <a:xfrm>
          <a:off x="2932891" y="1440180"/>
          <a:ext cx="320040" cy="320040"/>
        </a:xfrm>
        <a:prstGeom prst="ellipse">
          <a:avLst/>
        </a:prstGeom>
        <a:solidFill>
          <a:srgbClr val="5B9BD5">
            <a:hueOff val="-4505695"/>
            <a:satOff val="-11613"/>
            <a:lumOff val="-7843"/>
            <a:alphaOff val="0"/>
          </a:srgbClr>
        </a:solidFill>
        <a:ln>
          <a:noFill/>
        </a:ln>
        <a:effectLst/>
        <a:scene3d>
          <a:camera prst="orthographicFront"/>
          <a:lightRig rig="chilly" dir="t"/>
        </a:scene3d>
        <a:sp3d prstMaterial="translucentPowder">
          <a:bevelT w="127000" h="25400" prst="softRound"/>
        </a:sp3d>
      </dgm:spPr>
    </dgm:pt>
    <dgm:pt modelId="{58607119-95A4-4CCA-82C0-026F2F42BD98}" type="pres">
      <dgm:prSet presAssocID="{F510F941-0AED-412F-9399-72498718937C}" presName="spaceA" presStyleCnt="0"/>
      <dgm:spPr/>
    </dgm:pt>
    <dgm:pt modelId="{38BD5511-F283-4BA7-8F49-A0999F1718B6}" type="pres">
      <dgm:prSet presAssocID="{5A19C8AF-78E9-41B2-9C5F-C9D8EB897CC5}" presName="space" presStyleCnt="0"/>
      <dgm:spPr/>
    </dgm:pt>
    <dgm:pt modelId="{4F9684AE-A9EA-4DD5-A55B-C6A96C356558}" type="pres">
      <dgm:prSet presAssocID="{480F4BA7-0ADF-4563-986A-4E749ECF852B}" presName="compositeB" presStyleCnt="0"/>
      <dgm:spPr/>
    </dgm:pt>
    <dgm:pt modelId="{A923DC5F-1EA9-4A83-A5A5-9A2097658F74}" type="pres">
      <dgm:prSet presAssocID="{480F4BA7-0ADF-4563-986A-4E749ECF852B}" presName="textB" presStyleLbl="revTx" presStyleIdx="3" presStyleCnt="4">
        <dgm:presLayoutVars>
          <dgm:bulletEnabled val="1"/>
        </dgm:presLayoutVars>
      </dgm:prSet>
      <dgm:spPr>
        <a:prstGeom prst="rect">
          <a:avLst/>
        </a:prstGeom>
      </dgm:spPr>
    </dgm:pt>
    <dgm:pt modelId="{A7442BED-7CCD-45C4-877B-4EA2E211B669}" type="pres">
      <dgm:prSet presAssocID="{480F4BA7-0ADF-4563-986A-4E749ECF852B}" presName="circleB" presStyleLbl="node1" presStyleIdx="3" presStyleCnt="4"/>
      <dgm:spPr>
        <a:xfrm>
          <a:off x="4180953" y="1440180"/>
          <a:ext cx="320040" cy="320040"/>
        </a:xfrm>
        <a:prstGeom prst="ellipse">
          <a:avLst/>
        </a:prstGeom>
        <a:solidFill>
          <a:srgbClr val="5B9BD5">
            <a:hueOff val="-6758543"/>
            <a:satOff val="-17419"/>
            <a:lumOff val="-11765"/>
            <a:alphaOff val="0"/>
          </a:srgbClr>
        </a:solidFill>
        <a:ln>
          <a:noFill/>
        </a:ln>
        <a:effectLst/>
        <a:scene3d>
          <a:camera prst="orthographicFront"/>
          <a:lightRig rig="chilly" dir="t"/>
        </a:scene3d>
        <a:sp3d prstMaterial="translucentPowder">
          <a:bevelT w="127000" h="25400" prst="softRound"/>
        </a:sp3d>
      </dgm:spPr>
    </dgm:pt>
    <dgm:pt modelId="{EA9954B3-A345-4F83-94D3-AB8C5852EAF3}" type="pres">
      <dgm:prSet presAssocID="{480F4BA7-0ADF-4563-986A-4E749ECF852B}" presName="spaceB" presStyleCnt="0"/>
      <dgm:spPr/>
    </dgm:pt>
  </dgm:ptLst>
  <dgm:cxnLst>
    <dgm:cxn modelId="{A3616F01-8078-4CD3-B553-FE53847FC87E}" type="presOf" srcId="{F510F941-0AED-412F-9399-72498718937C}" destId="{D2E4F8A9-AC46-461E-B737-389F9C271175}" srcOrd="0" destOrd="0" presId="urn:microsoft.com/office/officeart/2005/8/layout/hProcess11#1"/>
    <dgm:cxn modelId="{84E35C1F-2849-4886-929B-1014F42E795A}" type="presOf" srcId="{4862F5E2-8342-4C35-A478-0F75EF763EBC}" destId="{A33C1606-5B94-4E84-8D94-4DF0F7C9E187}" srcOrd="0" destOrd="0" presId="urn:microsoft.com/office/officeart/2005/8/layout/hProcess11#1"/>
    <dgm:cxn modelId="{F5B65A3E-2CE9-4EF5-9551-1683590DE8AE}" srcId="{4862F5E2-8342-4C35-A478-0F75EF763EBC}" destId="{00368156-244C-4088-B5DE-84A52E99086B}" srcOrd="1" destOrd="0" parTransId="{6E0FB094-61F8-407D-9D8F-0D4452B8CABF}" sibTransId="{5F2F5369-A7DC-46DA-A848-5EA83D13E28D}"/>
    <dgm:cxn modelId="{F1C5456E-AC1F-4C10-8A2F-B3D053230D59}" type="presOf" srcId="{00368156-244C-4088-B5DE-84A52E99086B}" destId="{D72B7483-3D18-4367-A85A-476BCBBCC603}" srcOrd="0" destOrd="0" presId="urn:microsoft.com/office/officeart/2005/8/layout/hProcess11#1"/>
    <dgm:cxn modelId="{C83F3081-3DBF-4EE2-A216-358134099A58}" srcId="{4862F5E2-8342-4C35-A478-0F75EF763EBC}" destId="{480F4BA7-0ADF-4563-986A-4E749ECF852B}" srcOrd="3" destOrd="0" parTransId="{31171741-C025-47E3-AEB8-EC8EF3531382}" sibTransId="{E3EA416D-528F-4D24-BEFF-460680954B1F}"/>
    <dgm:cxn modelId="{7C3BF39D-A6AC-4B83-8A8D-86F7C99B4B8C}" srcId="{4862F5E2-8342-4C35-A478-0F75EF763EBC}" destId="{F510F941-0AED-412F-9399-72498718937C}" srcOrd="2" destOrd="0" parTransId="{52A2CF12-1281-4748-BE77-42C08236BE49}" sibTransId="{5A19C8AF-78E9-41B2-9C5F-C9D8EB897CC5}"/>
    <dgm:cxn modelId="{9A29EEA7-8B3A-4F8A-AB78-11EB94591E33}" type="presOf" srcId="{480F4BA7-0ADF-4563-986A-4E749ECF852B}" destId="{A923DC5F-1EA9-4A83-A5A5-9A2097658F74}" srcOrd="0" destOrd="0" presId="urn:microsoft.com/office/officeart/2005/8/layout/hProcess11#1"/>
    <dgm:cxn modelId="{9B1439C3-BAB5-4F61-93DF-B32EC359C55A}" srcId="{4862F5E2-8342-4C35-A478-0F75EF763EBC}" destId="{168829B0-EF2B-421B-825D-C5561630D857}" srcOrd="0" destOrd="0" parTransId="{D0643DB8-2A28-43C3-B4F0-4152809F3429}" sibTransId="{234475E8-EB5B-4599-BDBA-0251C4E5D6DC}"/>
    <dgm:cxn modelId="{26E580C4-A4A6-4ECF-AB5D-DB283B7C8190}" type="presOf" srcId="{168829B0-EF2B-421B-825D-C5561630D857}" destId="{F9DC3295-64FF-478D-96B3-AC4847083779}" srcOrd="0" destOrd="0" presId="urn:microsoft.com/office/officeart/2005/8/layout/hProcess11#1"/>
    <dgm:cxn modelId="{2A18F2BD-C6D4-4BBF-B27C-1CDEFE11336F}" type="presParOf" srcId="{A33C1606-5B94-4E84-8D94-4DF0F7C9E187}" destId="{F26D69C0-33A0-4BCB-A031-3C890B088D05}" srcOrd="0" destOrd="0" presId="urn:microsoft.com/office/officeart/2005/8/layout/hProcess11#1"/>
    <dgm:cxn modelId="{C8B15E76-5CEF-429F-AC2B-CA91CC339369}" type="presParOf" srcId="{A33C1606-5B94-4E84-8D94-4DF0F7C9E187}" destId="{2E01A730-C397-46FD-88BD-6C819A25501B}" srcOrd="1" destOrd="0" presId="urn:microsoft.com/office/officeart/2005/8/layout/hProcess11#1"/>
    <dgm:cxn modelId="{69C305CC-6406-4CDB-AB19-9E235ECF5DB0}" type="presParOf" srcId="{2E01A730-C397-46FD-88BD-6C819A25501B}" destId="{8FCE89AE-FF96-4219-AF3E-465FBE39DBF1}" srcOrd="0" destOrd="0" presId="urn:microsoft.com/office/officeart/2005/8/layout/hProcess11#1"/>
    <dgm:cxn modelId="{0A0F34C6-6538-4C03-9950-78F81C2B8173}" type="presParOf" srcId="{8FCE89AE-FF96-4219-AF3E-465FBE39DBF1}" destId="{F9DC3295-64FF-478D-96B3-AC4847083779}" srcOrd="0" destOrd="0" presId="urn:microsoft.com/office/officeart/2005/8/layout/hProcess11#1"/>
    <dgm:cxn modelId="{04C1BB6A-03B1-4CEF-B895-8C4E54155276}" type="presParOf" srcId="{8FCE89AE-FF96-4219-AF3E-465FBE39DBF1}" destId="{85F2365A-1888-4E8A-9360-58F739B56D8C}" srcOrd="1" destOrd="0" presId="urn:microsoft.com/office/officeart/2005/8/layout/hProcess11#1"/>
    <dgm:cxn modelId="{E5B7661B-CC22-4DBD-B6FC-A161B35D8815}" type="presParOf" srcId="{8FCE89AE-FF96-4219-AF3E-465FBE39DBF1}" destId="{8C5336FA-D995-48E3-92AE-FA14F91B15FD}" srcOrd="2" destOrd="0" presId="urn:microsoft.com/office/officeart/2005/8/layout/hProcess11#1"/>
    <dgm:cxn modelId="{231AF548-4048-4714-8443-74C1AB9C435E}" type="presParOf" srcId="{2E01A730-C397-46FD-88BD-6C819A25501B}" destId="{EA36BA91-62C7-4D41-8D92-076BA5EA630F}" srcOrd="1" destOrd="0" presId="urn:microsoft.com/office/officeart/2005/8/layout/hProcess11#1"/>
    <dgm:cxn modelId="{D874EBAA-B49C-40F4-908C-81C6EAFB976D}" type="presParOf" srcId="{2E01A730-C397-46FD-88BD-6C819A25501B}" destId="{ACB8B776-DCCF-41BF-92F0-84CC927ABC5C}" srcOrd="2" destOrd="0" presId="urn:microsoft.com/office/officeart/2005/8/layout/hProcess11#1"/>
    <dgm:cxn modelId="{13C00973-0583-4889-823F-6A6BC9CA7AE2}" type="presParOf" srcId="{ACB8B776-DCCF-41BF-92F0-84CC927ABC5C}" destId="{D72B7483-3D18-4367-A85A-476BCBBCC603}" srcOrd="0" destOrd="0" presId="urn:microsoft.com/office/officeart/2005/8/layout/hProcess11#1"/>
    <dgm:cxn modelId="{8FD3743D-1412-4C45-969C-55551FE2D2B0}" type="presParOf" srcId="{ACB8B776-DCCF-41BF-92F0-84CC927ABC5C}" destId="{7D2C5AED-3E69-4BA2-B050-DB04B0AFB3C4}" srcOrd="1" destOrd="0" presId="urn:microsoft.com/office/officeart/2005/8/layout/hProcess11#1"/>
    <dgm:cxn modelId="{1C089E14-536D-4C99-9F92-75CE41F40A86}" type="presParOf" srcId="{ACB8B776-DCCF-41BF-92F0-84CC927ABC5C}" destId="{7B108C40-1222-4E7D-94F9-FC57BD61B8B8}" srcOrd="2" destOrd="0" presId="urn:microsoft.com/office/officeart/2005/8/layout/hProcess11#1"/>
    <dgm:cxn modelId="{3377B513-BD8B-4A69-B527-EA3AF1CA7A4F}" type="presParOf" srcId="{2E01A730-C397-46FD-88BD-6C819A25501B}" destId="{5F745A84-4CD3-4C44-B8C6-34E4DCA7A3D6}" srcOrd="3" destOrd="0" presId="urn:microsoft.com/office/officeart/2005/8/layout/hProcess11#1"/>
    <dgm:cxn modelId="{E1FC1C22-35D3-46D7-8B56-BB6A8CB9B788}" type="presParOf" srcId="{2E01A730-C397-46FD-88BD-6C819A25501B}" destId="{C3C276D8-D7B5-49D6-8EE9-80562F32D52F}" srcOrd="4" destOrd="0" presId="urn:microsoft.com/office/officeart/2005/8/layout/hProcess11#1"/>
    <dgm:cxn modelId="{62178178-D8E0-4558-A4B1-DA846E91A91B}" type="presParOf" srcId="{C3C276D8-D7B5-49D6-8EE9-80562F32D52F}" destId="{D2E4F8A9-AC46-461E-B737-389F9C271175}" srcOrd="0" destOrd="0" presId="urn:microsoft.com/office/officeart/2005/8/layout/hProcess11#1"/>
    <dgm:cxn modelId="{775F5DC8-0ECB-45A0-A314-07CD435FE1B3}" type="presParOf" srcId="{C3C276D8-D7B5-49D6-8EE9-80562F32D52F}" destId="{288FE176-0B34-4E8B-9BA5-5A6134772A61}" srcOrd="1" destOrd="0" presId="urn:microsoft.com/office/officeart/2005/8/layout/hProcess11#1"/>
    <dgm:cxn modelId="{6EA4E603-7017-4FD6-8C3E-411D70F5DE08}" type="presParOf" srcId="{C3C276D8-D7B5-49D6-8EE9-80562F32D52F}" destId="{58607119-95A4-4CCA-82C0-026F2F42BD98}" srcOrd="2" destOrd="0" presId="urn:microsoft.com/office/officeart/2005/8/layout/hProcess11#1"/>
    <dgm:cxn modelId="{57419377-2CBE-465E-BBD1-6C264D4C2B68}" type="presParOf" srcId="{2E01A730-C397-46FD-88BD-6C819A25501B}" destId="{38BD5511-F283-4BA7-8F49-A0999F1718B6}" srcOrd="5" destOrd="0" presId="urn:microsoft.com/office/officeart/2005/8/layout/hProcess11#1"/>
    <dgm:cxn modelId="{73AD0A5F-752C-482F-990E-5E8A6694C99B}" type="presParOf" srcId="{2E01A730-C397-46FD-88BD-6C819A25501B}" destId="{4F9684AE-A9EA-4DD5-A55B-C6A96C356558}" srcOrd="6" destOrd="0" presId="urn:microsoft.com/office/officeart/2005/8/layout/hProcess11#1"/>
    <dgm:cxn modelId="{2D63A8EF-6555-4A4C-A9CD-4101F3903148}" type="presParOf" srcId="{4F9684AE-A9EA-4DD5-A55B-C6A96C356558}" destId="{A923DC5F-1EA9-4A83-A5A5-9A2097658F74}" srcOrd="0" destOrd="0" presId="urn:microsoft.com/office/officeart/2005/8/layout/hProcess11#1"/>
    <dgm:cxn modelId="{034B6865-2F37-44D0-9BD1-9E41B073E79E}" type="presParOf" srcId="{4F9684AE-A9EA-4DD5-A55B-C6A96C356558}" destId="{A7442BED-7CCD-45C4-877B-4EA2E211B669}" srcOrd="1" destOrd="0" presId="urn:microsoft.com/office/officeart/2005/8/layout/hProcess11#1"/>
    <dgm:cxn modelId="{D190B845-04C4-4897-8351-05E87E074BFE}" type="presParOf" srcId="{4F9684AE-A9EA-4DD5-A55B-C6A96C356558}" destId="{EA9954B3-A345-4F83-94D3-AB8C5852EAF3}" srcOrd="2" destOrd="0" presId="urn:microsoft.com/office/officeart/2005/8/layout/hProcess11#1"/>
  </dgm:cxnLst>
  <dgm:bg/>
  <dgm:whole>
    <a:ln>
      <a:solidFill>
        <a:srgbClr val="0070C0"/>
      </a:solidFill>
    </a:ln>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E813EA7-F02F-4993-B972-DA3AD99E23B1}" type="doc">
      <dgm:prSet loTypeId="urn:microsoft.com/office/officeart/2005/8/layout/lProcess3" loCatId="process" qsTypeId="urn:microsoft.com/office/officeart/2005/8/quickstyle/3d1#1" qsCatId="3D" csTypeId="urn:microsoft.com/office/officeart/2005/8/colors/colorful5#2" csCatId="colorful" phldr="1"/>
      <dgm:spPr/>
      <dgm:t>
        <a:bodyPr/>
        <a:lstStyle/>
        <a:p>
          <a:endParaRPr lang="en-US"/>
        </a:p>
      </dgm:t>
    </dgm:pt>
    <dgm:pt modelId="{1A322986-BD2F-4B6A-9896-07D1A14A3636}">
      <dgm:prSet phldrT="[Tekst]"/>
      <dgm:spPr>
        <a:xfrm>
          <a:off x="2891559" y="83288"/>
          <a:ext cx="1980056" cy="792022"/>
        </a:xfrm>
        <a:solidFill>
          <a:srgbClr val="5B9BD5">
            <a:tint val="40000"/>
            <a:alpha val="90000"/>
            <a:hueOff val="0"/>
            <a:satOff val="0"/>
            <a:lumOff val="0"/>
            <a:alphaOff val="0"/>
          </a:srgbClr>
        </a:solidFill>
        <a:ln w="6350" cap="flat" cmpd="sng" algn="ctr">
          <a:solidFill>
            <a:srgbClr val="5B9BD5">
              <a:tint val="40000"/>
              <a:alpha val="90000"/>
              <a:hueOff val="0"/>
              <a:satOff val="0"/>
              <a:lumOff val="0"/>
              <a:alphaOff val="0"/>
            </a:srgbClr>
          </a:solidFill>
          <a:prstDash val="solid"/>
          <a:miter lim="800000"/>
        </a:ln>
        <a:effectLst/>
        <a:scene3d>
          <a:camera prst="orthographicFront"/>
          <a:lightRig rig="flat" dir="t"/>
        </a:scene3d>
        <a:sp3d extrusionH="12700" prstMaterial="plastic">
          <a:bevelT w="50800" h="50800"/>
        </a:sp3d>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MISIJA</a:t>
          </a:r>
          <a:endParaRPr lang="en-US">
            <a:solidFill>
              <a:sysClr val="windowText" lastClr="000000">
                <a:hueOff val="0"/>
                <a:satOff val="0"/>
                <a:lumOff val="0"/>
                <a:alphaOff val="0"/>
              </a:sysClr>
            </a:solidFill>
            <a:latin typeface="Calibri" panose="020F0502020204030204"/>
            <a:ea typeface="+mn-ea"/>
            <a:cs typeface="+mn-cs"/>
          </a:endParaRPr>
        </a:p>
      </dgm:t>
    </dgm:pt>
    <dgm:pt modelId="{31B33C40-55AF-4DF9-97A9-9E6E0258784A}" type="parTrans" cxnId="{D1761DF4-762D-45C7-9948-27AF60AF8B40}">
      <dgm:prSet/>
      <dgm:spPr/>
      <dgm:t>
        <a:bodyPr/>
        <a:lstStyle/>
        <a:p>
          <a:endParaRPr lang="en-US"/>
        </a:p>
      </dgm:t>
    </dgm:pt>
    <dgm:pt modelId="{A5EE667A-5DCE-425D-8B70-EE5AD34BA6A4}" type="sibTrans" cxnId="{D1761DF4-762D-45C7-9948-27AF60AF8B40}">
      <dgm:prSet/>
      <dgm:spPr/>
      <dgm:t>
        <a:bodyPr/>
        <a:lstStyle/>
        <a:p>
          <a:endParaRPr lang="en-US"/>
        </a:p>
      </dgm:t>
    </dgm:pt>
    <dgm:pt modelId="{2C3C794B-4EC1-4649-BE8F-D68A6EC97104}">
      <dgm:prSet phldrT="[Tekst]"/>
      <dgm:spPr>
        <a:xfrm>
          <a:off x="816078" y="1090016"/>
          <a:ext cx="2385610" cy="954244"/>
        </a:xfrm>
        <a:gradFill rotWithShape="0">
          <a:gsLst>
            <a:gs pos="0">
              <a:srgbClr val="5B9BD5">
                <a:hueOff val="-2252848"/>
                <a:satOff val="-5806"/>
                <a:lumOff val="-3922"/>
                <a:alphaOff val="0"/>
                <a:satMod val="103000"/>
                <a:lumMod val="102000"/>
                <a:tint val="94000"/>
              </a:srgbClr>
            </a:gs>
            <a:gs pos="50000">
              <a:srgbClr val="5B9BD5">
                <a:hueOff val="-2252848"/>
                <a:satOff val="-5806"/>
                <a:lumOff val="-3922"/>
                <a:alphaOff val="0"/>
                <a:satMod val="110000"/>
                <a:lumMod val="100000"/>
                <a:shade val="100000"/>
              </a:srgbClr>
            </a:gs>
            <a:gs pos="100000">
              <a:srgbClr val="5B9BD5">
                <a:hueOff val="-2252848"/>
                <a:satOff val="-5806"/>
                <a:lumOff val="-3922"/>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hr-HR">
              <a:solidFill>
                <a:sysClr val="window" lastClr="FFFFFF"/>
              </a:solidFill>
              <a:latin typeface="Calibri" panose="020F0502020204030204"/>
              <a:ea typeface="+mn-ea"/>
              <a:cs typeface="+mn-cs"/>
            </a:rPr>
            <a:t>Gdje poduzeće želi stići?</a:t>
          </a:r>
          <a:endParaRPr lang="en-US">
            <a:solidFill>
              <a:sysClr val="window" lastClr="FFFFFF"/>
            </a:solidFill>
            <a:latin typeface="Calibri" panose="020F0502020204030204"/>
            <a:ea typeface="+mn-ea"/>
            <a:cs typeface="+mn-cs"/>
          </a:endParaRPr>
        </a:p>
      </dgm:t>
    </dgm:pt>
    <dgm:pt modelId="{B2D9702F-2486-43FB-B967-6930A04DAA14}" type="parTrans" cxnId="{AD0130B0-EBFD-4826-BBB7-76F7B2D3A3DB}">
      <dgm:prSet/>
      <dgm:spPr/>
      <dgm:t>
        <a:bodyPr/>
        <a:lstStyle/>
        <a:p>
          <a:endParaRPr lang="en-US"/>
        </a:p>
      </dgm:t>
    </dgm:pt>
    <dgm:pt modelId="{14E1B148-9C41-46F1-9E58-9267813EB45C}" type="sibTrans" cxnId="{AD0130B0-EBFD-4826-BBB7-76F7B2D3A3DB}">
      <dgm:prSet/>
      <dgm:spPr/>
      <dgm:t>
        <a:bodyPr/>
        <a:lstStyle/>
        <a:p>
          <a:endParaRPr lang="en-US"/>
        </a:p>
      </dgm:t>
    </dgm:pt>
    <dgm:pt modelId="{36AF9BF5-627A-417B-96CF-C37EBFB24B25}">
      <dgm:prSet phldrT="[Tekst]"/>
      <dgm:spPr>
        <a:xfrm>
          <a:off x="2891559" y="1171127"/>
          <a:ext cx="1980056" cy="792022"/>
        </a:xfrm>
        <a:solidFill>
          <a:srgbClr val="5B9BD5">
            <a:tint val="40000"/>
            <a:alpha val="90000"/>
            <a:hueOff val="-2246587"/>
            <a:satOff val="-7611"/>
            <a:lumOff val="-976"/>
            <a:alphaOff val="0"/>
          </a:srgbClr>
        </a:solidFill>
        <a:ln w="6350" cap="flat" cmpd="sng" algn="ctr">
          <a:solidFill>
            <a:srgbClr val="5B9BD5">
              <a:tint val="40000"/>
              <a:alpha val="90000"/>
              <a:hueOff val="-2246587"/>
              <a:satOff val="-7611"/>
              <a:lumOff val="-976"/>
              <a:alphaOff val="0"/>
            </a:srgbClr>
          </a:solidFill>
          <a:prstDash val="solid"/>
          <a:miter lim="800000"/>
        </a:ln>
        <a:effectLst/>
        <a:scene3d>
          <a:camera prst="orthographicFront"/>
          <a:lightRig rig="flat" dir="t"/>
        </a:scene3d>
        <a:sp3d extrusionH="12700" prstMaterial="plastic">
          <a:bevelT w="50800" h="50800"/>
        </a:sp3d>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CILJEVI</a:t>
          </a:r>
          <a:endParaRPr lang="en-US">
            <a:solidFill>
              <a:sysClr val="windowText" lastClr="000000">
                <a:hueOff val="0"/>
                <a:satOff val="0"/>
                <a:lumOff val="0"/>
                <a:alphaOff val="0"/>
              </a:sysClr>
            </a:solidFill>
            <a:latin typeface="Calibri" panose="020F0502020204030204"/>
            <a:ea typeface="+mn-ea"/>
            <a:cs typeface="+mn-cs"/>
          </a:endParaRPr>
        </a:p>
      </dgm:t>
    </dgm:pt>
    <dgm:pt modelId="{3DAB026E-5B8F-48D8-B367-3A5E2094BC5A}" type="parTrans" cxnId="{02366F15-1AB8-4495-A1E3-FF7C036063FD}">
      <dgm:prSet/>
      <dgm:spPr/>
      <dgm:t>
        <a:bodyPr/>
        <a:lstStyle/>
        <a:p>
          <a:endParaRPr lang="en-US"/>
        </a:p>
      </dgm:t>
    </dgm:pt>
    <dgm:pt modelId="{E3C7AD1D-0B95-4E75-9321-924C369836B7}" type="sibTrans" cxnId="{02366F15-1AB8-4495-A1E3-FF7C036063FD}">
      <dgm:prSet/>
      <dgm:spPr/>
      <dgm:t>
        <a:bodyPr/>
        <a:lstStyle/>
        <a:p>
          <a:endParaRPr lang="en-US"/>
        </a:p>
      </dgm:t>
    </dgm:pt>
    <dgm:pt modelId="{44991405-FA09-4AB9-82C4-996A13114836}">
      <dgm:prSet phldrT="[Tekst]"/>
      <dgm:spPr>
        <a:xfrm>
          <a:off x="816078" y="2177854"/>
          <a:ext cx="2385610" cy="954244"/>
        </a:xfrm>
        <a:gradFill rotWithShape="0">
          <a:gsLst>
            <a:gs pos="0">
              <a:srgbClr val="5B9BD5">
                <a:hueOff val="-4505695"/>
                <a:satOff val="-11613"/>
                <a:lumOff val="-7843"/>
                <a:alphaOff val="0"/>
                <a:satMod val="103000"/>
                <a:lumMod val="102000"/>
                <a:tint val="94000"/>
              </a:srgbClr>
            </a:gs>
            <a:gs pos="50000">
              <a:srgbClr val="5B9BD5">
                <a:hueOff val="-4505695"/>
                <a:satOff val="-11613"/>
                <a:lumOff val="-7843"/>
                <a:alphaOff val="0"/>
                <a:satMod val="110000"/>
                <a:lumMod val="100000"/>
                <a:shade val="100000"/>
              </a:srgbClr>
            </a:gs>
            <a:gs pos="100000">
              <a:srgbClr val="5B9BD5">
                <a:hueOff val="-4505695"/>
                <a:satOff val="-11613"/>
                <a:lumOff val="-7843"/>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hr-HR">
              <a:solidFill>
                <a:sysClr val="window" lastClr="FFFFFF"/>
              </a:solidFill>
              <a:latin typeface="Calibri" panose="020F0502020204030204"/>
              <a:ea typeface="+mn-ea"/>
              <a:cs typeface="+mn-cs"/>
            </a:rPr>
            <a:t>Kako tamo stići?</a:t>
          </a:r>
          <a:endParaRPr lang="en-US">
            <a:solidFill>
              <a:sysClr val="window" lastClr="FFFFFF"/>
            </a:solidFill>
            <a:latin typeface="Calibri" panose="020F0502020204030204"/>
            <a:ea typeface="+mn-ea"/>
            <a:cs typeface="+mn-cs"/>
          </a:endParaRPr>
        </a:p>
      </dgm:t>
    </dgm:pt>
    <dgm:pt modelId="{B09FF1BD-CB4E-4A29-A4F2-155D5BAF0139}" type="parTrans" cxnId="{6B8D1909-1D60-43B5-A4BD-FF60812049D9}">
      <dgm:prSet/>
      <dgm:spPr/>
      <dgm:t>
        <a:bodyPr/>
        <a:lstStyle/>
        <a:p>
          <a:endParaRPr lang="en-US"/>
        </a:p>
      </dgm:t>
    </dgm:pt>
    <dgm:pt modelId="{FCC351E1-AC79-477E-966F-6CEB7048BF7D}" type="sibTrans" cxnId="{6B8D1909-1D60-43B5-A4BD-FF60812049D9}">
      <dgm:prSet/>
      <dgm:spPr/>
      <dgm:t>
        <a:bodyPr/>
        <a:lstStyle/>
        <a:p>
          <a:endParaRPr lang="en-US"/>
        </a:p>
      </dgm:t>
    </dgm:pt>
    <dgm:pt modelId="{49EB5762-174F-4313-B7FC-FAC58465C53B}">
      <dgm:prSet phldrT="[Tekst]"/>
      <dgm:spPr>
        <a:xfrm>
          <a:off x="2891559" y="2258965"/>
          <a:ext cx="1980056" cy="792022"/>
        </a:xfrm>
        <a:solidFill>
          <a:srgbClr val="5B9BD5">
            <a:tint val="40000"/>
            <a:alpha val="90000"/>
            <a:hueOff val="-4493175"/>
            <a:satOff val="-15221"/>
            <a:lumOff val="-1952"/>
            <a:alphaOff val="0"/>
          </a:srgbClr>
        </a:solidFill>
        <a:ln w="6350" cap="flat" cmpd="sng" algn="ctr">
          <a:solidFill>
            <a:srgbClr val="5B9BD5">
              <a:tint val="40000"/>
              <a:alpha val="90000"/>
              <a:hueOff val="-4493175"/>
              <a:satOff val="-15221"/>
              <a:lumOff val="-1952"/>
              <a:alphaOff val="0"/>
            </a:srgbClr>
          </a:solidFill>
          <a:prstDash val="solid"/>
          <a:miter lim="800000"/>
        </a:ln>
        <a:effectLst/>
        <a:scene3d>
          <a:camera prst="orthographicFront"/>
          <a:lightRig rig="flat" dir="t"/>
        </a:scene3d>
        <a:sp3d extrusionH="12700" prstMaterial="plastic">
          <a:bevelT w="50800" h="50800"/>
        </a:sp3d>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STRATEGIJE</a:t>
          </a:r>
        </a:p>
        <a:p>
          <a:pPr>
            <a:buNone/>
          </a:pPr>
          <a:endParaRPr lang="en-US">
            <a:solidFill>
              <a:sysClr val="windowText" lastClr="000000">
                <a:hueOff val="0"/>
                <a:satOff val="0"/>
                <a:lumOff val="0"/>
                <a:alphaOff val="0"/>
              </a:sysClr>
            </a:solidFill>
            <a:latin typeface="Calibri" panose="020F0502020204030204"/>
            <a:ea typeface="+mn-ea"/>
            <a:cs typeface="+mn-cs"/>
          </a:endParaRPr>
        </a:p>
      </dgm:t>
    </dgm:pt>
    <dgm:pt modelId="{DC8EE291-4A0D-4B6E-B096-13575FAC7BA1}" type="parTrans" cxnId="{FC62F493-97BE-4585-B41C-E109E59F8119}">
      <dgm:prSet/>
      <dgm:spPr/>
      <dgm:t>
        <a:bodyPr/>
        <a:lstStyle/>
        <a:p>
          <a:endParaRPr lang="en-US"/>
        </a:p>
      </dgm:t>
    </dgm:pt>
    <dgm:pt modelId="{14B8C3A5-6746-455C-94BF-99FACB958644}" type="sibTrans" cxnId="{FC62F493-97BE-4585-B41C-E109E59F8119}">
      <dgm:prSet/>
      <dgm:spPr/>
      <dgm:t>
        <a:bodyPr/>
        <a:lstStyle/>
        <a:p>
          <a:endParaRPr lang="en-US"/>
        </a:p>
      </dgm:t>
    </dgm:pt>
    <dgm:pt modelId="{015885BE-8AAF-42BD-BA24-E5A96F0A652A}">
      <dgm:prSet/>
      <dgm:spPr>
        <a:xfrm>
          <a:off x="816078" y="3265692"/>
          <a:ext cx="2385610" cy="954244"/>
        </a:xfr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hr-HR">
              <a:solidFill>
                <a:sysClr val="window" lastClr="FFFFFF"/>
              </a:solidFill>
              <a:latin typeface="Calibri" panose="020F0502020204030204"/>
              <a:ea typeface="+mn-ea"/>
              <a:cs typeface="+mn-cs"/>
            </a:rPr>
            <a:t>Koje aktivnosti i akcije poduzeti?</a:t>
          </a:r>
          <a:endParaRPr lang="en-US">
            <a:solidFill>
              <a:sysClr val="window" lastClr="FFFFFF"/>
            </a:solidFill>
            <a:latin typeface="Calibri" panose="020F0502020204030204"/>
            <a:ea typeface="+mn-ea"/>
            <a:cs typeface="+mn-cs"/>
          </a:endParaRPr>
        </a:p>
      </dgm:t>
    </dgm:pt>
    <dgm:pt modelId="{792A9D4A-C25E-4E67-A498-638B04829E5A}" type="parTrans" cxnId="{16873420-B32A-4D8B-B55C-3685B79BE2D6}">
      <dgm:prSet/>
      <dgm:spPr/>
      <dgm:t>
        <a:bodyPr/>
        <a:lstStyle/>
        <a:p>
          <a:endParaRPr lang="en-US"/>
        </a:p>
      </dgm:t>
    </dgm:pt>
    <dgm:pt modelId="{8C27B5BC-64FD-4B06-BC50-D2A4CF66B56F}" type="sibTrans" cxnId="{16873420-B32A-4D8B-B55C-3685B79BE2D6}">
      <dgm:prSet/>
      <dgm:spPr/>
      <dgm:t>
        <a:bodyPr/>
        <a:lstStyle/>
        <a:p>
          <a:endParaRPr lang="en-US"/>
        </a:p>
      </dgm:t>
    </dgm:pt>
    <dgm:pt modelId="{5300825D-7841-4CC2-A08C-FE45F4E78396}">
      <dgm:prSet/>
      <dgm:spPr>
        <a:xfrm>
          <a:off x="2891559" y="3346803"/>
          <a:ext cx="1980056" cy="792022"/>
        </a:xfrm>
        <a:solidFill>
          <a:srgbClr val="5B9BD5">
            <a:tint val="40000"/>
            <a:alpha val="90000"/>
            <a:hueOff val="-6739762"/>
            <a:satOff val="-22832"/>
            <a:lumOff val="-2928"/>
            <a:alphaOff val="0"/>
          </a:srgbClr>
        </a:solidFill>
        <a:ln w="6350" cap="flat" cmpd="sng" algn="ctr">
          <a:solidFill>
            <a:srgbClr val="5B9BD5">
              <a:tint val="40000"/>
              <a:alpha val="90000"/>
              <a:hueOff val="-6739762"/>
              <a:satOff val="-22832"/>
              <a:lumOff val="-2928"/>
              <a:alphaOff val="0"/>
            </a:srgbClr>
          </a:solidFill>
          <a:prstDash val="solid"/>
          <a:miter lim="800000"/>
        </a:ln>
        <a:effectLst/>
        <a:scene3d>
          <a:camera prst="orthographicFront"/>
          <a:lightRig rig="flat" dir="t"/>
        </a:scene3d>
        <a:sp3d extrusionH="12700" prstMaterial="plastic">
          <a:bevelT w="50800" h="50800"/>
        </a:sp3d>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PLANOVI</a:t>
          </a:r>
          <a:endParaRPr lang="en-US">
            <a:solidFill>
              <a:sysClr val="windowText" lastClr="000000">
                <a:hueOff val="0"/>
                <a:satOff val="0"/>
                <a:lumOff val="0"/>
                <a:alphaOff val="0"/>
              </a:sysClr>
            </a:solidFill>
            <a:latin typeface="Calibri" panose="020F0502020204030204"/>
            <a:ea typeface="+mn-ea"/>
            <a:cs typeface="+mn-cs"/>
          </a:endParaRPr>
        </a:p>
      </dgm:t>
    </dgm:pt>
    <dgm:pt modelId="{C32455AD-7592-4A57-8B12-754BB86BB3F3}" type="parTrans" cxnId="{6D816EA3-381B-4E2D-8582-9E67E0FDF0C0}">
      <dgm:prSet/>
      <dgm:spPr/>
      <dgm:t>
        <a:bodyPr/>
        <a:lstStyle/>
        <a:p>
          <a:endParaRPr lang="en-US"/>
        </a:p>
      </dgm:t>
    </dgm:pt>
    <dgm:pt modelId="{369F3246-3FAF-4251-ACFF-785FF9FFF6F0}" type="sibTrans" cxnId="{6D816EA3-381B-4E2D-8582-9E67E0FDF0C0}">
      <dgm:prSet/>
      <dgm:spPr/>
      <dgm:t>
        <a:bodyPr/>
        <a:lstStyle/>
        <a:p>
          <a:endParaRPr lang="en-US"/>
        </a:p>
      </dgm:t>
    </dgm:pt>
    <dgm:pt modelId="{57DC6708-CE15-412B-B30E-7183F98A81BC}">
      <dgm:prSet phldrT="[Tekst]"/>
      <dgm:spPr>
        <a:xfrm>
          <a:off x="816078" y="2177"/>
          <a:ext cx="2385610" cy="954244"/>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hr-HR">
              <a:solidFill>
                <a:sysClr val="window" lastClr="FFFFFF"/>
              </a:solidFill>
              <a:latin typeface="Calibri" panose="020F0502020204030204"/>
              <a:ea typeface="+mn-ea"/>
              <a:cs typeface="+mn-cs"/>
            </a:rPr>
            <a:t>Što poduzeće želi postati?</a:t>
          </a:r>
          <a:endParaRPr lang="en-US">
            <a:solidFill>
              <a:sysClr val="window" lastClr="FFFFFF"/>
            </a:solidFill>
            <a:latin typeface="Calibri" panose="020F0502020204030204"/>
            <a:ea typeface="+mn-ea"/>
            <a:cs typeface="+mn-cs"/>
          </a:endParaRPr>
        </a:p>
      </dgm:t>
    </dgm:pt>
    <dgm:pt modelId="{25B8DBE4-7A54-43CD-944E-919388E8C112}" type="parTrans" cxnId="{74950914-986A-4D79-A1A7-539838DAECDE}">
      <dgm:prSet/>
      <dgm:spPr/>
      <dgm:t>
        <a:bodyPr/>
        <a:lstStyle/>
        <a:p>
          <a:endParaRPr lang="hr-HR"/>
        </a:p>
      </dgm:t>
    </dgm:pt>
    <dgm:pt modelId="{E85F76F6-9254-4205-A310-2A7477F6DCE2}" type="sibTrans" cxnId="{74950914-986A-4D79-A1A7-539838DAECDE}">
      <dgm:prSet/>
      <dgm:spPr/>
      <dgm:t>
        <a:bodyPr/>
        <a:lstStyle/>
        <a:p>
          <a:endParaRPr lang="hr-HR"/>
        </a:p>
      </dgm:t>
    </dgm:pt>
    <dgm:pt modelId="{E5EC6BAA-6D1D-4600-B4AE-9A0006BFC646}">
      <dgm:prSet phldrT="[Tekst]"/>
      <dgm:spPr>
        <a:xfrm>
          <a:off x="816078" y="2177"/>
          <a:ext cx="2385610" cy="954244"/>
        </a:xfr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gm:spPr>
      <dgm:t>
        <a:bodyPr/>
        <a:lstStyle/>
        <a:p>
          <a:pPr>
            <a:buNone/>
          </a:pPr>
          <a:r>
            <a:rPr lang="hr-HR">
              <a:solidFill>
                <a:sysClr val="window" lastClr="FFFFFF"/>
              </a:solidFill>
              <a:latin typeface="Calibri" panose="020F0502020204030204"/>
              <a:ea typeface="+mn-ea"/>
              <a:cs typeface="+mn-cs"/>
            </a:rPr>
            <a:t>Kamo poduzeće želi ići?</a:t>
          </a:r>
          <a:endParaRPr lang="en-US">
            <a:solidFill>
              <a:sysClr val="window" lastClr="FFFFFF"/>
            </a:solidFill>
            <a:latin typeface="Calibri" panose="020F0502020204030204"/>
            <a:ea typeface="+mn-ea"/>
            <a:cs typeface="+mn-cs"/>
          </a:endParaRPr>
        </a:p>
      </dgm:t>
    </dgm:pt>
    <dgm:pt modelId="{C23A0CDC-7F1F-4C8B-8B89-ACBC4A67F72A}" type="parTrans" cxnId="{DDF18AFE-E0AF-46A0-854B-BE11AEF120DA}">
      <dgm:prSet/>
      <dgm:spPr/>
      <dgm:t>
        <a:bodyPr/>
        <a:lstStyle/>
        <a:p>
          <a:endParaRPr lang="hr-HR"/>
        </a:p>
      </dgm:t>
    </dgm:pt>
    <dgm:pt modelId="{52C9276E-2A0A-43AB-987F-4CAD13A84B08}" type="sibTrans" cxnId="{DDF18AFE-E0AF-46A0-854B-BE11AEF120DA}">
      <dgm:prSet/>
      <dgm:spPr/>
      <dgm:t>
        <a:bodyPr/>
        <a:lstStyle/>
        <a:p>
          <a:endParaRPr lang="hr-HR"/>
        </a:p>
      </dgm:t>
    </dgm:pt>
    <dgm:pt modelId="{CA8DE1CD-68AC-4E06-B04C-D872CF8CA1EE}">
      <dgm:prSet phldrT="[Tekst]"/>
      <dgm:spPr>
        <a:xfrm>
          <a:off x="2891559" y="83288"/>
          <a:ext cx="1980056" cy="792022"/>
        </a:xfrm>
        <a:solidFill>
          <a:srgbClr val="5B9BD5">
            <a:tint val="40000"/>
            <a:alpha val="90000"/>
            <a:hueOff val="0"/>
            <a:satOff val="0"/>
            <a:lumOff val="0"/>
            <a:alphaOff val="0"/>
          </a:srgbClr>
        </a:solidFill>
        <a:ln w="6350" cap="flat" cmpd="sng" algn="ctr">
          <a:solidFill>
            <a:srgbClr val="5B9BD5">
              <a:tint val="40000"/>
              <a:alpha val="90000"/>
              <a:hueOff val="0"/>
              <a:satOff val="0"/>
              <a:lumOff val="0"/>
              <a:alphaOff val="0"/>
            </a:srgbClr>
          </a:solidFill>
          <a:prstDash val="solid"/>
          <a:miter lim="800000"/>
        </a:ln>
        <a:effectLst/>
        <a:scene3d>
          <a:camera prst="orthographicFront"/>
          <a:lightRig rig="flat" dir="t"/>
        </a:scene3d>
        <a:sp3d extrusionH="12700" prstMaterial="plastic">
          <a:bevelT w="50800" h="50800"/>
        </a:sp3d>
      </dgm:spPr>
      <dgm:t>
        <a:bodyPr/>
        <a:lstStyle/>
        <a:p>
          <a:pPr>
            <a:buNone/>
          </a:pPr>
          <a:r>
            <a:rPr lang="hr-HR">
              <a:solidFill>
                <a:sysClr val="windowText" lastClr="000000">
                  <a:hueOff val="0"/>
                  <a:satOff val="0"/>
                  <a:lumOff val="0"/>
                  <a:alphaOff val="0"/>
                </a:sysClr>
              </a:solidFill>
              <a:latin typeface="Calibri" panose="020F0502020204030204"/>
              <a:ea typeface="+mn-ea"/>
              <a:cs typeface="+mn-cs"/>
            </a:rPr>
            <a:t>VIZIJA</a:t>
          </a:r>
          <a:endParaRPr lang="en-US">
            <a:solidFill>
              <a:sysClr val="windowText" lastClr="000000">
                <a:hueOff val="0"/>
                <a:satOff val="0"/>
                <a:lumOff val="0"/>
                <a:alphaOff val="0"/>
              </a:sysClr>
            </a:solidFill>
            <a:latin typeface="Calibri" panose="020F0502020204030204"/>
            <a:ea typeface="+mn-ea"/>
            <a:cs typeface="+mn-cs"/>
          </a:endParaRPr>
        </a:p>
      </dgm:t>
    </dgm:pt>
    <dgm:pt modelId="{AC0FB778-FE7A-4069-A4D3-F359E28BFF73}" type="parTrans" cxnId="{E26D6188-0FFE-476B-92EF-C40328C54840}">
      <dgm:prSet/>
      <dgm:spPr/>
      <dgm:t>
        <a:bodyPr/>
        <a:lstStyle/>
        <a:p>
          <a:endParaRPr lang="hr-HR"/>
        </a:p>
      </dgm:t>
    </dgm:pt>
    <dgm:pt modelId="{643C28B8-9377-4CA3-88E2-544D90C055E7}" type="sibTrans" cxnId="{E26D6188-0FFE-476B-92EF-C40328C54840}">
      <dgm:prSet/>
      <dgm:spPr/>
      <dgm:t>
        <a:bodyPr/>
        <a:lstStyle/>
        <a:p>
          <a:endParaRPr lang="hr-HR"/>
        </a:p>
      </dgm:t>
    </dgm:pt>
    <dgm:pt modelId="{21BFC156-0E72-46E5-BB59-7EAAAC85FC88}" type="pres">
      <dgm:prSet presAssocID="{EE813EA7-F02F-4993-B972-DA3AD99E23B1}" presName="Name0" presStyleCnt="0">
        <dgm:presLayoutVars>
          <dgm:chPref val="3"/>
          <dgm:dir/>
          <dgm:animLvl val="lvl"/>
          <dgm:resizeHandles/>
        </dgm:presLayoutVars>
      </dgm:prSet>
      <dgm:spPr/>
    </dgm:pt>
    <dgm:pt modelId="{84380FFE-9C3E-4951-93FD-A53204875198}" type="pres">
      <dgm:prSet presAssocID="{57DC6708-CE15-412B-B30E-7183F98A81BC}" presName="horFlow" presStyleCnt="0"/>
      <dgm:spPr/>
    </dgm:pt>
    <dgm:pt modelId="{731331B5-ACD4-460F-9526-BCA571DBE528}" type="pres">
      <dgm:prSet presAssocID="{57DC6708-CE15-412B-B30E-7183F98A81BC}" presName="bigChev" presStyleLbl="node1" presStyleIdx="0" presStyleCnt="5"/>
      <dgm:spPr>
        <a:prstGeom prst="chevron">
          <a:avLst/>
        </a:prstGeom>
      </dgm:spPr>
    </dgm:pt>
    <dgm:pt modelId="{149C95DA-395B-4594-9900-82FA2C023C7F}" type="pres">
      <dgm:prSet presAssocID="{57DC6708-CE15-412B-B30E-7183F98A81BC}" presName="vSp" presStyleCnt="0"/>
      <dgm:spPr/>
    </dgm:pt>
    <dgm:pt modelId="{13C1247B-7EA1-4B87-9043-4CA3481DDE27}" type="pres">
      <dgm:prSet presAssocID="{E5EC6BAA-6D1D-4600-B4AE-9A0006BFC646}" presName="horFlow" presStyleCnt="0"/>
      <dgm:spPr/>
    </dgm:pt>
    <dgm:pt modelId="{D0411519-33FE-4D2C-A0F6-516653458889}" type="pres">
      <dgm:prSet presAssocID="{E5EC6BAA-6D1D-4600-B4AE-9A0006BFC646}" presName="bigChev" presStyleLbl="node1" presStyleIdx="1" presStyleCnt="5"/>
      <dgm:spPr/>
    </dgm:pt>
    <dgm:pt modelId="{323E785B-090E-45B3-8E3A-77A8F8C85F07}" type="pres">
      <dgm:prSet presAssocID="{31B33C40-55AF-4DF9-97A9-9E6E0258784A}" presName="parTrans" presStyleCnt="0"/>
      <dgm:spPr/>
    </dgm:pt>
    <dgm:pt modelId="{1105EF71-3E68-4C47-99A8-CF30EF63D30C}" type="pres">
      <dgm:prSet presAssocID="{1A322986-BD2F-4B6A-9896-07D1A14A3636}" presName="node" presStyleLbl="alignAccFollowNode1" presStyleIdx="0" presStyleCnt="5">
        <dgm:presLayoutVars>
          <dgm:bulletEnabled val="1"/>
        </dgm:presLayoutVars>
      </dgm:prSet>
      <dgm:spPr>
        <a:prstGeom prst="chevron">
          <a:avLst/>
        </a:prstGeom>
      </dgm:spPr>
    </dgm:pt>
    <dgm:pt modelId="{DE0A920C-8328-4CFF-99AF-8D280B7847F8}" type="pres">
      <dgm:prSet presAssocID="{A5EE667A-5DCE-425D-8B70-EE5AD34BA6A4}" presName="sibTrans" presStyleCnt="0"/>
      <dgm:spPr/>
    </dgm:pt>
    <dgm:pt modelId="{8684ABE4-22C3-43BC-81BF-0B60B8284D85}" type="pres">
      <dgm:prSet presAssocID="{CA8DE1CD-68AC-4E06-B04C-D872CF8CA1EE}" presName="node" presStyleLbl="alignAccFollowNode1" presStyleIdx="1" presStyleCnt="5" custLinFactX="-73115" custLinFactY="-34437" custLinFactNeighborX="-100000" custLinFactNeighborY="-100000">
        <dgm:presLayoutVars>
          <dgm:bulletEnabled val="1"/>
        </dgm:presLayoutVars>
      </dgm:prSet>
      <dgm:spPr/>
    </dgm:pt>
    <dgm:pt modelId="{59498D09-0959-471A-8A49-7CD38B7B71E5}" type="pres">
      <dgm:prSet presAssocID="{E5EC6BAA-6D1D-4600-B4AE-9A0006BFC646}" presName="vSp" presStyleCnt="0"/>
      <dgm:spPr/>
    </dgm:pt>
    <dgm:pt modelId="{02BC60D5-4221-43AF-AF5E-9A9E6DE533F4}" type="pres">
      <dgm:prSet presAssocID="{2C3C794B-4EC1-4649-BE8F-D68A6EC97104}" presName="horFlow" presStyleCnt="0"/>
      <dgm:spPr/>
    </dgm:pt>
    <dgm:pt modelId="{EA5D7C3A-864C-4AFC-93D9-3B803B0C443C}" type="pres">
      <dgm:prSet presAssocID="{2C3C794B-4EC1-4649-BE8F-D68A6EC97104}" presName="bigChev" presStyleLbl="node1" presStyleIdx="2" presStyleCnt="5"/>
      <dgm:spPr>
        <a:prstGeom prst="chevron">
          <a:avLst/>
        </a:prstGeom>
      </dgm:spPr>
    </dgm:pt>
    <dgm:pt modelId="{ED24AF5B-51DF-4761-8130-724584896598}" type="pres">
      <dgm:prSet presAssocID="{3DAB026E-5B8F-48D8-B367-3A5E2094BC5A}" presName="parTrans" presStyleCnt="0"/>
      <dgm:spPr/>
    </dgm:pt>
    <dgm:pt modelId="{501DDC82-D796-407F-96F4-81B36B6E3F9C}" type="pres">
      <dgm:prSet presAssocID="{36AF9BF5-627A-417B-96CF-C37EBFB24B25}" presName="node" presStyleLbl="alignAccFollowNode1" presStyleIdx="2" presStyleCnt="5">
        <dgm:presLayoutVars>
          <dgm:bulletEnabled val="1"/>
        </dgm:presLayoutVars>
      </dgm:prSet>
      <dgm:spPr>
        <a:prstGeom prst="chevron">
          <a:avLst/>
        </a:prstGeom>
      </dgm:spPr>
    </dgm:pt>
    <dgm:pt modelId="{50B2DCB8-5B8F-4205-92B2-5D4C1E58AF4E}" type="pres">
      <dgm:prSet presAssocID="{2C3C794B-4EC1-4649-BE8F-D68A6EC97104}" presName="vSp" presStyleCnt="0"/>
      <dgm:spPr/>
    </dgm:pt>
    <dgm:pt modelId="{F5D09C20-D46C-4707-BC17-79E658E70975}" type="pres">
      <dgm:prSet presAssocID="{44991405-FA09-4AB9-82C4-996A13114836}" presName="horFlow" presStyleCnt="0"/>
      <dgm:spPr/>
    </dgm:pt>
    <dgm:pt modelId="{5E044110-2991-48E0-AF3A-3236DCB2DE54}" type="pres">
      <dgm:prSet presAssocID="{44991405-FA09-4AB9-82C4-996A13114836}" presName="bigChev" presStyleLbl="node1" presStyleIdx="3" presStyleCnt="5"/>
      <dgm:spPr>
        <a:prstGeom prst="chevron">
          <a:avLst/>
        </a:prstGeom>
      </dgm:spPr>
    </dgm:pt>
    <dgm:pt modelId="{8D6893B3-E8F3-4252-82B2-EB4AFAD02EC6}" type="pres">
      <dgm:prSet presAssocID="{DC8EE291-4A0D-4B6E-B096-13575FAC7BA1}" presName="parTrans" presStyleCnt="0"/>
      <dgm:spPr/>
    </dgm:pt>
    <dgm:pt modelId="{50CA9D1B-0757-4D1B-89A7-BBD076D4424A}" type="pres">
      <dgm:prSet presAssocID="{49EB5762-174F-4313-B7FC-FAC58465C53B}" presName="node" presStyleLbl="alignAccFollowNode1" presStyleIdx="3" presStyleCnt="5">
        <dgm:presLayoutVars>
          <dgm:bulletEnabled val="1"/>
        </dgm:presLayoutVars>
      </dgm:prSet>
      <dgm:spPr>
        <a:prstGeom prst="chevron">
          <a:avLst/>
        </a:prstGeom>
      </dgm:spPr>
    </dgm:pt>
    <dgm:pt modelId="{C33E1781-1A8D-429B-9039-CE3CBC8CE8A9}" type="pres">
      <dgm:prSet presAssocID="{44991405-FA09-4AB9-82C4-996A13114836}" presName="vSp" presStyleCnt="0"/>
      <dgm:spPr/>
    </dgm:pt>
    <dgm:pt modelId="{D0F84FB4-F433-45E5-9253-442B5C0EED71}" type="pres">
      <dgm:prSet presAssocID="{015885BE-8AAF-42BD-BA24-E5A96F0A652A}" presName="horFlow" presStyleCnt="0"/>
      <dgm:spPr/>
    </dgm:pt>
    <dgm:pt modelId="{5D8162BA-0797-4C0E-8617-8BF42B731A34}" type="pres">
      <dgm:prSet presAssocID="{015885BE-8AAF-42BD-BA24-E5A96F0A652A}" presName="bigChev" presStyleLbl="node1" presStyleIdx="4" presStyleCnt="5"/>
      <dgm:spPr>
        <a:prstGeom prst="chevron">
          <a:avLst/>
        </a:prstGeom>
      </dgm:spPr>
    </dgm:pt>
    <dgm:pt modelId="{3E5C1B92-E86E-43DF-BE5C-4C032079658A}" type="pres">
      <dgm:prSet presAssocID="{C32455AD-7592-4A57-8B12-754BB86BB3F3}" presName="parTrans" presStyleCnt="0"/>
      <dgm:spPr/>
    </dgm:pt>
    <dgm:pt modelId="{37B29528-9D52-4814-81B8-C107B85513ED}" type="pres">
      <dgm:prSet presAssocID="{5300825D-7841-4CC2-A08C-FE45F4E78396}" presName="node" presStyleLbl="alignAccFollowNode1" presStyleIdx="4" presStyleCnt="5">
        <dgm:presLayoutVars>
          <dgm:bulletEnabled val="1"/>
        </dgm:presLayoutVars>
      </dgm:prSet>
      <dgm:spPr>
        <a:prstGeom prst="chevron">
          <a:avLst/>
        </a:prstGeom>
      </dgm:spPr>
    </dgm:pt>
  </dgm:ptLst>
  <dgm:cxnLst>
    <dgm:cxn modelId="{6B8D1909-1D60-43B5-A4BD-FF60812049D9}" srcId="{EE813EA7-F02F-4993-B972-DA3AD99E23B1}" destId="{44991405-FA09-4AB9-82C4-996A13114836}" srcOrd="3" destOrd="0" parTransId="{B09FF1BD-CB4E-4A29-A4F2-155D5BAF0139}" sibTransId="{FCC351E1-AC79-477E-966F-6CEB7048BF7D}"/>
    <dgm:cxn modelId="{CDC6B90B-848C-42E0-ADE8-EB862404F229}" type="presOf" srcId="{1A322986-BD2F-4B6A-9896-07D1A14A3636}" destId="{1105EF71-3E68-4C47-99A8-CF30EF63D30C}" srcOrd="0" destOrd="0" presId="urn:microsoft.com/office/officeart/2005/8/layout/lProcess3"/>
    <dgm:cxn modelId="{74950914-986A-4D79-A1A7-539838DAECDE}" srcId="{EE813EA7-F02F-4993-B972-DA3AD99E23B1}" destId="{57DC6708-CE15-412B-B30E-7183F98A81BC}" srcOrd="0" destOrd="0" parTransId="{25B8DBE4-7A54-43CD-944E-919388E8C112}" sibTransId="{E85F76F6-9254-4205-A310-2A7477F6DCE2}"/>
    <dgm:cxn modelId="{02366F15-1AB8-4495-A1E3-FF7C036063FD}" srcId="{2C3C794B-4EC1-4649-BE8F-D68A6EC97104}" destId="{36AF9BF5-627A-417B-96CF-C37EBFB24B25}" srcOrd="0" destOrd="0" parTransId="{3DAB026E-5B8F-48D8-B367-3A5E2094BC5A}" sibTransId="{E3C7AD1D-0B95-4E75-9321-924C369836B7}"/>
    <dgm:cxn modelId="{16873420-B32A-4D8B-B55C-3685B79BE2D6}" srcId="{EE813EA7-F02F-4993-B972-DA3AD99E23B1}" destId="{015885BE-8AAF-42BD-BA24-E5A96F0A652A}" srcOrd="4" destOrd="0" parTransId="{792A9D4A-C25E-4E67-A498-638B04829E5A}" sibTransId="{8C27B5BC-64FD-4B06-BC50-D2A4CF66B56F}"/>
    <dgm:cxn modelId="{F39CF265-D5B9-4306-B44E-3BF58A274CB0}" type="presOf" srcId="{49EB5762-174F-4313-B7FC-FAC58465C53B}" destId="{50CA9D1B-0757-4D1B-89A7-BBD076D4424A}" srcOrd="0" destOrd="0" presId="urn:microsoft.com/office/officeart/2005/8/layout/lProcess3"/>
    <dgm:cxn modelId="{0B861F4E-D384-47C7-9105-9E234F69AD9E}" type="presOf" srcId="{57DC6708-CE15-412B-B30E-7183F98A81BC}" destId="{731331B5-ACD4-460F-9526-BCA571DBE528}" srcOrd="0" destOrd="0" presId="urn:microsoft.com/office/officeart/2005/8/layout/lProcess3"/>
    <dgm:cxn modelId="{16E4EF4F-37F1-4F28-95EF-5F22E77ACB3C}" type="presOf" srcId="{015885BE-8AAF-42BD-BA24-E5A96F0A652A}" destId="{5D8162BA-0797-4C0E-8617-8BF42B731A34}" srcOrd="0" destOrd="0" presId="urn:microsoft.com/office/officeart/2005/8/layout/lProcess3"/>
    <dgm:cxn modelId="{84B47B71-A5FC-488C-9564-03FC570E2DCA}" type="presOf" srcId="{36AF9BF5-627A-417B-96CF-C37EBFB24B25}" destId="{501DDC82-D796-407F-96F4-81B36B6E3F9C}" srcOrd="0" destOrd="0" presId="urn:microsoft.com/office/officeart/2005/8/layout/lProcess3"/>
    <dgm:cxn modelId="{C4581055-CD81-4549-9370-9039DEF45527}" type="presOf" srcId="{2C3C794B-4EC1-4649-BE8F-D68A6EC97104}" destId="{EA5D7C3A-864C-4AFC-93D9-3B803B0C443C}" srcOrd="0" destOrd="0" presId="urn:microsoft.com/office/officeart/2005/8/layout/lProcess3"/>
    <dgm:cxn modelId="{98B3E57F-7A35-4B73-A075-D6760A2C8B2F}" type="presOf" srcId="{EE813EA7-F02F-4993-B972-DA3AD99E23B1}" destId="{21BFC156-0E72-46E5-BB59-7EAAAC85FC88}" srcOrd="0" destOrd="0" presId="urn:microsoft.com/office/officeart/2005/8/layout/lProcess3"/>
    <dgm:cxn modelId="{E26D6188-0FFE-476B-92EF-C40328C54840}" srcId="{E5EC6BAA-6D1D-4600-B4AE-9A0006BFC646}" destId="{CA8DE1CD-68AC-4E06-B04C-D872CF8CA1EE}" srcOrd="1" destOrd="0" parTransId="{AC0FB778-FE7A-4069-A4D3-F359E28BFF73}" sibTransId="{643C28B8-9377-4CA3-88E2-544D90C055E7}"/>
    <dgm:cxn modelId="{FC62F493-97BE-4585-B41C-E109E59F8119}" srcId="{44991405-FA09-4AB9-82C4-996A13114836}" destId="{49EB5762-174F-4313-B7FC-FAC58465C53B}" srcOrd="0" destOrd="0" parTransId="{DC8EE291-4A0D-4B6E-B096-13575FAC7BA1}" sibTransId="{14B8C3A5-6746-455C-94BF-99FACB958644}"/>
    <dgm:cxn modelId="{6D816EA3-381B-4E2D-8582-9E67E0FDF0C0}" srcId="{015885BE-8AAF-42BD-BA24-E5A96F0A652A}" destId="{5300825D-7841-4CC2-A08C-FE45F4E78396}" srcOrd="0" destOrd="0" parTransId="{C32455AD-7592-4A57-8B12-754BB86BB3F3}" sibTransId="{369F3246-3FAF-4251-ACFF-785FF9FFF6F0}"/>
    <dgm:cxn modelId="{32406EAC-A5D5-4CEF-9F0B-F73E80D58A15}" type="presOf" srcId="{CA8DE1CD-68AC-4E06-B04C-D872CF8CA1EE}" destId="{8684ABE4-22C3-43BC-81BF-0B60B8284D85}" srcOrd="0" destOrd="0" presId="urn:microsoft.com/office/officeart/2005/8/layout/lProcess3"/>
    <dgm:cxn modelId="{AD0130B0-EBFD-4826-BBB7-76F7B2D3A3DB}" srcId="{EE813EA7-F02F-4993-B972-DA3AD99E23B1}" destId="{2C3C794B-4EC1-4649-BE8F-D68A6EC97104}" srcOrd="2" destOrd="0" parTransId="{B2D9702F-2486-43FB-B967-6930A04DAA14}" sibTransId="{14E1B148-9C41-46F1-9E58-9267813EB45C}"/>
    <dgm:cxn modelId="{C3AAE0EB-43B7-4772-81BB-0D968BC88033}" type="presOf" srcId="{E5EC6BAA-6D1D-4600-B4AE-9A0006BFC646}" destId="{D0411519-33FE-4D2C-A0F6-516653458889}" srcOrd="0" destOrd="0" presId="urn:microsoft.com/office/officeart/2005/8/layout/lProcess3"/>
    <dgm:cxn modelId="{D1761DF4-762D-45C7-9948-27AF60AF8B40}" srcId="{E5EC6BAA-6D1D-4600-B4AE-9A0006BFC646}" destId="{1A322986-BD2F-4B6A-9896-07D1A14A3636}" srcOrd="0" destOrd="0" parTransId="{31B33C40-55AF-4DF9-97A9-9E6E0258784A}" sibTransId="{A5EE667A-5DCE-425D-8B70-EE5AD34BA6A4}"/>
    <dgm:cxn modelId="{F078C5F5-AF5C-4BCD-89AF-01A3BCD7F3B1}" type="presOf" srcId="{5300825D-7841-4CC2-A08C-FE45F4E78396}" destId="{37B29528-9D52-4814-81B8-C107B85513ED}" srcOrd="0" destOrd="0" presId="urn:microsoft.com/office/officeart/2005/8/layout/lProcess3"/>
    <dgm:cxn modelId="{95DCA3F8-D2F1-479B-BA1F-0962C9E4B55F}" type="presOf" srcId="{44991405-FA09-4AB9-82C4-996A13114836}" destId="{5E044110-2991-48E0-AF3A-3236DCB2DE54}" srcOrd="0" destOrd="0" presId="urn:microsoft.com/office/officeart/2005/8/layout/lProcess3"/>
    <dgm:cxn modelId="{DDF18AFE-E0AF-46A0-854B-BE11AEF120DA}" srcId="{EE813EA7-F02F-4993-B972-DA3AD99E23B1}" destId="{E5EC6BAA-6D1D-4600-B4AE-9A0006BFC646}" srcOrd="1" destOrd="0" parTransId="{C23A0CDC-7F1F-4C8B-8B89-ACBC4A67F72A}" sibTransId="{52C9276E-2A0A-43AB-987F-4CAD13A84B08}"/>
    <dgm:cxn modelId="{88973417-E548-47CA-81DC-B69A8E9C6818}" type="presParOf" srcId="{21BFC156-0E72-46E5-BB59-7EAAAC85FC88}" destId="{84380FFE-9C3E-4951-93FD-A53204875198}" srcOrd="0" destOrd="0" presId="urn:microsoft.com/office/officeart/2005/8/layout/lProcess3"/>
    <dgm:cxn modelId="{2ECD1D0A-7E81-498F-8036-B3C2E95902FA}" type="presParOf" srcId="{84380FFE-9C3E-4951-93FD-A53204875198}" destId="{731331B5-ACD4-460F-9526-BCA571DBE528}" srcOrd="0" destOrd="0" presId="urn:microsoft.com/office/officeart/2005/8/layout/lProcess3"/>
    <dgm:cxn modelId="{0281FC11-3C39-41B1-B505-FC886F03499F}" type="presParOf" srcId="{21BFC156-0E72-46E5-BB59-7EAAAC85FC88}" destId="{149C95DA-395B-4594-9900-82FA2C023C7F}" srcOrd="1" destOrd="0" presId="urn:microsoft.com/office/officeart/2005/8/layout/lProcess3"/>
    <dgm:cxn modelId="{6B87B417-0EE4-4EBF-9F1B-A0F48F96651F}" type="presParOf" srcId="{21BFC156-0E72-46E5-BB59-7EAAAC85FC88}" destId="{13C1247B-7EA1-4B87-9043-4CA3481DDE27}" srcOrd="2" destOrd="0" presId="urn:microsoft.com/office/officeart/2005/8/layout/lProcess3"/>
    <dgm:cxn modelId="{F34C51B3-DEA0-4777-AFF4-A4FDD06EC995}" type="presParOf" srcId="{13C1247B-7EA1-4B87-9043-4CA3481DDE27}" destId="{D0411519-33FE-4D2C-A0F6-516653458889}" srcOrd="0" destOrd="0" presId="urn:microsoft.com/office/officeart/2005/8/layout/lProcess3"/>
    <dgm:cxn modelId="{FC355AE7-FF4F-4FB1-B7BC-D6FB609E10C2}" type="presParOf" srcId="{13C1247B-7EA1-4B87-9043-4CA3481DDE27}" destId="{323E785B-090E-45B3-8E3A-77A8F8C85F07}" srcOrd="1" destOrd="0" presId="urn:microsoft.com/office/officeart/2005/8/layout/lProcess3"/>
    <dgm:cxn modelId="{474D3E3A-7B18-4B41-AA35-B5339CFE3055}" type="presParOf" srcId="{13C1247B-7EA1-4B87-9043-4CA3481DDE27}" destId="{1105EF71-3E68-4C47-99A8-CF30EF63D30C}" srcOrd="2" destOrd="0" presId="urn:microsoft.com/office/officeart/2005/8/layout/lProcess3"/>
    <dgm:cxn modelId="{9830EA7D-E2A9-4F5B-A1D7-6322C6D1D363}" type="presParOf" srcId="{13C1247B-7EA1-4B87-9043-4CA3481DDE27}" destId="{DE0A920C-8328-4CFF-99AF-8D280B7847F8}" srcOrd="3" destOrd="0" presId="urn:microsoft.com/office/officeart/2005/8/layout/lProcess3"/>
    <dgm:cxn modelId="{B95141E8-EF84-451A-B07E-1D1A8D4B69E1}" type="presParOf" srcId="{13C1247B-7EA1-4B87-9043-4CA3481DDE27}" destId="{8684ABE4-22C3-43BC-81BF-0B60B8284D85}" srcOrd="4" destOrd="0" presId="urn:microsoft.com/office/officeart/2005/8/layout/lProcess3"/>
    <dgm:cxn modelId="{522FD8A9-5F4E-46D4-A0AE-33FD5E29C911}" type="presParOf" srcId="{21BFC156-0E72-46E5-BB59-7EAAAC85FC88}" destId="{59498D09-0959-471A-8A49-7CD38B7B71E5}" srcOrd="3" destOrd="0" presId="urn:microsoft.com/office/officeart/2005/8/layout/lProcess3"/>
    <dgm:cxn modelId="{FA546FA5-A300-48DB-8F9F-8B1F8CD639DC}" type="presParOf" srcId="{21BFC156-0E72-46E5-BB59-7EAAAC85FC88}" destId="{02BC60D5-4221-43AF-AF5E-9A9E6DE533F4}" srcOrd="4" destOrd="0" presId="urn:microsoft.com/office/officeart/2005/8/layout/lProcess3"/>
    <dgm:cxn modelId="{55AAEAD6-3503-45E3-853A-C4CCA9FCD4DC}" type="presParOf" srcId="{02BC60D5-4221-43AF-AF5E-9A9E6DE533F4}" destId="{EA5D7C3A-864C-4AFC-93D9-3B803B0C443C}" srcOrd="0" destOrd="0" presId="urn:microsoft.com/office/officeart/2005/8/layout/lProcess3"/>
    <dgm:cxn modelId="{2932BA63-3924-45A7-8AE7-03608AB15554}" type="presParOf" srcId="{02BC60D5-4221-43AF-AF5E-9A9E6DE533F4}" destId="{ED24AF5B-51DF-4761-8130-724584896598}" srcOrd="1" destOrd="0" presId="urn:microsoft.com/office/officeart/2005/8/layout/lProcess3"/>
    <dgm:cxn modelId="{037F15B8-6F8D-4AD8-BA42-A3B98E06B5C3}" type="presParOf" srcId="{02BC60D5-4221-43AF-AF5E-9A9E6DE533F4}" destId="{501DDC82-D796-407F-96F4-81B36B6E3F9C}" srcOrd="2" destOrd="0" presId="urn:microsoft.com/office/officeart/2005/8/layout/lProcess3"/>
    <dgm:cxn modelId="{20DB11F3-BD57-4B80-B060-8789BB5C491B}" type="presParOf" srcId="{21BFC156-0E72-46E5-BB59-7EAAAC85FC88}" destId="{50B2DCB8-5B8F-4205-92B2-5D4C1E58AF4E}" srcOrd="5" destOrd="0" presId="urn:microsoft.com/office/officeart/2005/8/layout/lProcess3"/>
    <dgm:cxn modelId="{8452D61D-C92F-4548-8443-16BD4CFE7BF2}" type="presParOf" srcId="{21BFC156-0E72-46E5-BB59-7EAAAC85FC88}" destId="{F5D09C20-D46C-4707-BC17-79E658E70975}" srcOrd="6" destOrd="0" presId="urn:microsoft.com/office/officeart/2005/8/layout/lProcess3"/>
    <dgm:cxn modelId="{29F33924-723F-4104-B7B6-5614A89F7B6E}" type="presParOf" srcId="{F5D09C20-D46C-4707-BC17-79E658E70975}" destId="{5E044110-2991-48E0-AF3A-3236DCB2DE54}" srcOrd="0" destOrd="0" presId="urn:microsoft.com/office/officeart/2005/8/layout/lProcess3"/>
    <dgm:cxn modelId="{DDB5C650-44E1-49D3-BB2E-03C07D83A75E}" type="presParOf" srcId="{F5D09C20-D46C-4707-BC17-79E658E70975}" destId="{8D6893B3-E8F3-4252-82B2-EB4AFAD02EC6}" srcOrd="1" destOrd="0" presId="urn:microsoft.com/office/officeart/2005/8/layout/lProcess3"/>
    <dgm:cxn modelId="{87F8B8A7-712C-44A5-81B0-E579E4D50D19}" type="presParOf" srcId="{F5D09C20-D46C-4707-BC17-79E658E70975}" destId="{50CA9D1B-0757-4D1B-89A7-BBD076D4424A}" srcOrd="2" destOrd="0" presId="urn:microsoft.com/office/officeart/2005/8/layout/lProcess3"/>
    <dgm:cxn modelId="{7FE6F4A8-BFA3-4610-9ADF-838645828ADE}" type="presParOf" srcId="{21BFC156-0E72-46E5-BB59-7EAAAC85FC88}" destId="{C33E1781-1A8D-429B-9039-CE3CBC8CE8A9}" srcOrd="7" destOrd="0" presId="urn:microsoft.com/office/officeart/2005/8/layout/lProcess3"/>
    <dgm:cxn modelId="{740EF17C-1C5A-4165-BA7F-DA6B97401839}" type="presParOf" srcId="{21BFC156-0E72-46E5-BB59-7EAAAC85FC88}" destId="{D0F84FB4-F433-45E5-9253-442B5C0EED71}" srcOrd="8" destOrd="0" presId="urn:microsoft.com/office/officeart/2005/8/layout/lProcess3"/>
    <dgm:cxn modelId="{80307C91-0212-43F2-B8E2-5B04A93BE5C7}" type="presParOf" srcId="{D0F84FB4-F433-45E5-9253-442B5C0EED71}" destId="{5D8162BA-0797-4C0E-8617-8BF42B731A34}" srcOrd="0" destOrd="0" presId="urn:microsoft.com/office/officeart/2005/8/layout/lProcess3"/>
    <dgm:cxn modelId="{662B4D93-4774-479B-9CD9-DD0AA4DD6CA6}" type="presParOf" srcId="{D0F84FB4-F433-45E5-9253-442B5C0EED71}" destId="{3E5C1B92-E86E-43DF-BE5C-4C032079658A}" srcOrd="1" destOrd="0" presId="urn:microsoft.com/office/officeart/2005/8/layout/lProcess3"/>
    <dgm:cxn modelId="{64B1A248-E905-4C43-9DEA-D8ECF005FA97}" type="presParOf" srcId="{D0F84FB4-F433-45E5-9253-442B5C0EED71}" destId="{37B29528-9D52-4814-81B8-C107B85513ED}" srcOrd="2" destOrd="0" presId="urn:microsoft.com/office/officeart/2005/8/layout/lProcess3"/>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5EAFB71-8E14-4BB6-8586-0DD40EC2A8F0}" type="doc">
      <dgm:prSet loTypeId="urn:microsoft.com/office/officeart/2005/8/layout/orgChart1" loCatId="hierarchy" qsTypeId="urn:microsoft.com/office/officeart/2005/8/quickstyle/3d3#1" qsCatId="3D" csTypeId="urn:microsoft.com/office/officeart/2005/8/colors/colorful4#1" csCatId="colorful" phldr="1"/>
      <dgm:spPr/>
      <dgm:t>
        <a:bodyPr/>
        <a:lstStyle/>
        <a:p>
          <a:endParaRPr lang="en-US"/>
        </a:p>
      </dgm:t>
    </dgm:pt>
    <dgm:pt modelId="{A20D8E7B-9481-462B-8FE9-50B2E1A68011}">
      <dgm:prSet phldrT="[Tekst]">
        <dgm:style>
          <a:lnRef idx="0">
            <a:scrgbClr r="0" g="0" b="0"/>
          </a:lnRef>
          <a:fillRef idx="0">
            <a:scrgbClr r="0" g="0" b="0"/>
          </a:fillRef>
          <a:effectRef idx="0">
            <a:scrgbClr r="0" g="0" b="0"/>
          </a:effectRef>
          <a:fontRef idx="minor">
            <a:schemeClr val="lt1"/>
          </a:fontRef>
        </dgm:style>
      </dgm:prSet>
      <dgm:spPr>
        <a:xfrm>
          <a:off x="1941202" y="629782"/>
          <a:ext cx="1603995" cy="801997"/>
        </a:xfrm>
        <a:solidFill>
          <a:srgbClr val="A5A5A5"/>
        </a:solidFill>
        <a:ln>
          <a:noFill/>
        </a:ln>
        <a:effectLst/>
        <a:scene3d>
          <a:camera prst="orthographicFront">
            <a:rot lat="0" lon="0" rev="0"/>
          </a:camera>
          <a:lightRig rig="contrasting" dir="t">
            <a:rot lat="0" lon="0" rev="1200000"/>
          </a:lightRig>
        </a:scene3d>
        <a:sp3d/>
      </dgm:spPr>
      <dgm:t>
        <a:bodyPr/>
        <a:lstStyle/>
        <a:p>
          <a:pPr>
            <a:buNone/>
          </a:pPr>
          <a:r>
            <a:rPr lang="hr-HR">
              <a:solidFill>
                <a:sysClr val="window" lastClr="FFFFFF"/>
              </a:solidFill>
              <a:latin typeface="Calibri" panose="020F0502020204030204"/>
              <a:ea typeface="+mn-ea"/>
              <a:cs typeface="+mn-cs"/>
            </a:rPr>
            <a:t>SINERGIJSKI UČINCI</a:t>
          </a:r>
          <a:endParaRPr lang="en-US">
            <a:solidFill>
              <a:sysClr val="window" lastClr="FFFFFF"/>
            </a:solidFill>
            <a:latin typeface="Calibri" panose="020F0502020204030204"/>
            <a:ea typeface="+mn-ea"/>
            <a:cs typeface="+mn-cs"/>
          </a:endParaRPr>
        </a:p>
      </dgm:t>
    </dgm:pt>
    <dgm:pt modelId="{2C72EE91-5D8D-4FEE-A804-6BAA7625F7D3}" type="parTrans" cxnId="{3E322B9E-442C-4BB0-9810-B49CA0A32C82}">
      <dgm:prSet/>
      <dgm:spPr/>
      <dgm:t>
        <a:bodyPr/>
        <a:lstStyle/>
        <a:p>
          <a:endParaRPr lang="en-US"/>
        </a:p>
      </dgm:t>
    </dgm:pt>
    <dgm:pt modelId="{50D8BD7C-A8CC-4F0D-BC1F-EFF69E09BB0A}" type="sibTrans" cxnId="{3E322B9E-442C-4BB0-9810-B49CA0A32C82}">
      <dgm:prSet/>
      <dgm:spPr/>
      <dgm:t>
        <a:bodyPr/>
        <a:lstStyle/>
        <a:p>
          <a:endParaRPr lang="en-US"/>
        </a:p>
      </dgm:t>
    </dgm:pt>
    <dgm:pt modelId="{C78E2C6C-C9E5-41B0-A61F-2E34B5B25BC6}">
      <dgm:prSet phldrT="[Tekst]">
        <dgm:style>
          <a:lnRef idx="0">
            <a:scrgbClr r="0" g="0" b="0"/>
          </a:lnRef>
          <a:fillRef idx="0">
            <a:scrgbClr r="0" g="0" b="0"/>
          </a:fillRef>
          <a:effectRef idx="0">
            <a:scrgbClr r="0" g="0" b="0"/>
          </a:effectRef>
          <a:fontRef idx="minor">
            <a:schemeClr val="lt1"/>
          </a:fontRef>
        </dgm:style>
      </dgm:prSet>
      <dgm:spPr>
        <a:xfrm>
          <a:off x="368" y="1768619"/>
          <a:ext cx="1603995" cy="801997"/>
        </a:xfrm>
        <a:solidFill>
          <a:srgbClr val="70AD47"/>
        </a:solidFill>
        <a:ln>
          <a:noFill/>
        </a:ln>
        <a:effectLst/>
        <a:scene3d>
          <a:camera prst="orthographicFront">
            <a:rot lat="0" lon="0" rev="0"/>
          </a:camera>
          <a:lightRig rig="contrasting" dir="t">
            <a:rot lat="0" lon="0" rev="1200000"/>
          </a:lightRig>
        </a:scene3d>
        <a:sp3d/>
      </dgm:spPr>
      <dgm:t>
        <a:bodyPr/>
        <a:lstStyle/>
        <a:p>
          <a:pPr>
            <a:buNone/>
          </a:pPr>
          <a:r>
            <a:rPr lang="hr-HR">
              <a:solidFill>
                <a:sysClr val="window" lastClr="FFFFFF"/>
              </a:solidFill>
              <a:latin typeface="Calibri" panose="020F0502020204030204"/>
              <a:ea typeface="+mn-ea"/>
              <a:cs typeface="+mn-cs"/>
            </a:rPr>
            <a:t>OPERATIVNI UČINCI</a:t>
          </a:r>
          <a:endParaRPr lang="en-US">
            <a:solidFill>
              <a:sysClr val="window" lastClr="FFFFFF"/>
            </a:solidFill>
            <a:latin typeface="Calibri" panose="020F0502020204030204"/>
            <a:ea typeface="+mn-ea"/>
            <a:cs typeface="+mn-cs"/>
          </a:endParaRPr>
        </a:p>
      </dgm:t>
    </dgm:pt>
    <dgm:pt modelId="{ABD4B731-E85D-4E00-98D9-A43A6F96E72F}" type="parTrans" cxnId="{2C474BD6-204D-4C6B-A275-72FB39ACE91D}">
      <dgm:prSet/>
      <dgm:spPr>
        <a:xfrm>
          <a:off x="802365" y="1431780"/>
          <a:ext cx="1940834" cy="336838"/>
        </a:xfr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4C042B3F-ED0F-47D0-B067-51361A3F0604}" type="sibTrans" cxnId="{2C474BD6-204D-4C6B-A275-72FB39ACE91D}">
      <dgm:prSet/>
      <dgm:spPr/>
      <dgm:t>
        <a:bodyPr/>
        <a:lstStyle/>
        <a:p>
          <a:endParaRPr lang="en-US"/>
        </a:p>
      </dgm:t>
    </dgm:pt>
    <dgm:pt modelId="{D1A7C973-0CE7-4EF2-AAAD-11897FE6B644}">
      <dgm:prSet phldrT="[Tekst]">
        <dgm:style>
          <a:lnRef idx="0">
            <a:scrgbClr r="0" g="0" b="0"/>
          </a:lnRef>
          <a:fillRef idx="0">
            <a:scrgbClr r="0" g="0" b="0"/>
          </a:fillRef>
          <a:effectRef idx="0">
            <a:scrgbClr r="0" g="0" b="0"/>
          </a:effectRef>
          <a:fontRef idx="minor">
            <a:schemeClr val="lt1"/>
          </a:fontRef>
        </dgm:style>
      </dgm:prSet>
      <dgm:spPr>
        <a:xfrm>
          <a:off x="1941202" y="1768619"/>
          <a:ext cx="1603995" cy="801997"/>
        </a:xfrm>
        <a:solidFill>
          <a:srgbClr val="ED7D31"/>
        </a:solidFill>
        <a:ln>
          <a:noFill/>
        </a:ln>
        <a:effectLst/>
        <a:scene3d>
          <a:camera prst="orthographicFront">
            <a:rot lat="0" lon="0" rev="0"/>
          </a:camera>
          <a:lightRig rig="contrasting" dir="t">
            <a:rot lat="0" lon="0" rev="1200000"/>
          </a:lightRig>
        </a:scene3d>
        <a:sp3d/>
      </dgm:spPr>
      <dgm:t>
        <a:bodyPr/>
        <a:lstStyle/>
        <a:p>
          <a:pPr>
            <a:buNone/>
          </a:pPr>
          <a:r>
            <a:rPr lang="hr-HR">
              <a:solidFill>
                <a:sysClr val="window" lastClr="FFFFFF"/>
              </a:solidFill>
              <a:latin typeface="Calibri" panose="020F0502020204030204"/>
              <a:ea typeface="+mn-ea"/>
              <a:cs typeface="+mn-cs"/>
            </a:rPr>
            <a:t>FINANCIJSKI UČINCI</a:t>
          </a:r>
          <a:endParaRPr lang="en-US">
            <a:solidFill>
              <a:sysClr val="window" lastClr="FFFFFF"/>
            </a:solidFill>
            <a:latin typeface="Calibri" panose="020F0502020204030204"/>
            <a:ea typeface="+mn-ea"/>
            <a:cs typeface="+mn-cs"/>
          </a:endParaRPr>
        </a:p>
      </dgm:t>
    </dgm:pt>
    <dgm:pt modelId="{79C4D811-35C9-4A25-A14C-AA16DB7704DE}" type="parTrans" cxnId="{29AFDB57-E61E-4B9B-B0AA-6E103AD3DBA2}">
      <dgm:prSet/>
      <dgm:spPr>
        <a:xfrm>
          <a:off x="2697479" y="1431780"/>
          <a:ext cx="91440" cy="336838"/>
        </a:xfr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150DDEDD-5B32-4181-94AA-8E4E434F7E24}" type="sibTrans" cxnId="{29AFDB57-E61E-4B9B-B0AA-6E103AD3DBA2}">
      <dgm:prSet/>
      <dgm:spPr/>
      <dgm:t>
        <a:bodyPr/>
        <a:lstStyle/>
        <a:p>
          <a:endParaRPr lang="en-US"/>
        </a:p>
      </dgm:t>
    </dgm:pt>
    <dgm:pt modelId="{42BDD452-E27D-4E9F-B60E-C7F76B3B15E9}">
      <dgm:prSet phldrT="[Tekst]"/>
      <dgm:spPr>
        <a:xfrm>
          <a:off x="3882036" y="1768619"/>
          <a:ext cx="1603995" cy="801997"/>
        </a:xfrm>
        <a:solidFill>
          <a:srgbClr val="5B9BD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hr-HR">
              <a:solidFill>
                <a:sysClr val="window" lastClr="FFFFFF"/>
              </a:solidFill>
              <a:latin typeface="Calibri" panose="020F0502020204030204"/>
              <a:ea typeface="+mn-ea"/>
              <a:cs typeface="+mn-cs"/>
            </a:rPr>
            <a:t>UPRAVLJAČKI UČINCI</a:t>
          </a:r>
          <a:endParaRPr lang="en-US">
            <a:solidFill>
              <a:sysClr val="window" lastClr="FFFFFF"/>
            </a:solidFill>
            <a:latin typeface="Calibri" panose="020F0502020204030204"/>
            <a:ea typeface="+mn-ea"/>
            <a:cs typeface="+mn-cs"/>
          </a:endParaRPr>
        </a:p>
      </dgm:t>
    </dgm:pt>
    <dgm:pt modelId="{14965A0B-A4D9-4F45-A9B8-65562A65E3BD}" type="parTrans" cxnId="{B090E2D1-98BA-4691-B4B0-29E0E85007E4}">
      <dgm:prSet/>
      <dgm:spPr>
        <a:xfrm>
          <a:off x="2743200" y="1431780"/>
          <a:ext cx="1940834" cy="336838"/>
        </a:xfr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gm:spPr>
      <dgm:t>
        <a:bodyPr/>
        <a:lstStyle/>
        <a:p>
          <a:endParaRPr lang="en-US"/>
        </a:p>
      </dgm:t>
    </dgm:pt>
    <dgm:pt modelId="{E6E69D37-7EF1-4D8B-845D-FC2B442A571A}" type="sibTrans" cxnId="{B090E2D1-98BA-4691-B4B0-29E0E85007E4}">
      <dgm:prSet/>
      <dgm:spPr/>
      <dgm:t>
        <a:bodyPr/>
        <a:lstStyle/>
        <a:p>
          <a:endParaRPr lang="en-US"/>
        </a:p>
      </dgm:t>
    </dgm:pt>
    <dgm:pt modelId="{4E6826D5-03AB-4538-ACD2-35CF85FF4D39}" type="pres">
      <dgm:prSet presAssocID="{15EAFB71-8E14-4BB6-8586-0DD40EC2A8F0}" presName="hierChild1" presStyleCnt="0">
        <dgm:presLayoutVars>
          <dgm:orgChart val="1"/>
          <dgm:chPref val="1"/>
          <dgm:dir/>
          <dgm:animOne val="branch"/>
          <dgm:animLvl val="lvl"/>
          <dgm:resizeHandles/>
        </dgm:presLayoutVars>
      </dgm:prSet>
      <dgm:spPr/>
    </dgm:pt>
    <dgm:pt modelId="{74FE1131-0646-407D-A714-6BA33728DF51}" type="pres">
      <dgm:prSet presAssocID="{A20D8E7B-9481-462B-8FE9-50B2E1A68011}" presName="hierRoot1" presStyleCnt="0">
        <dgm:presLayoutVars>
          <dgm:hierBranch val="init"/>
        </dgm:presLayoutVars>
      </dgm:prSet>
      <dgm:spPr/>
    </dgm:pt>
    <dgm:pt modelId="{8E43479A-A8BD-4C26-A14E-75975095E6A5}" type="pres">
      <dgm:prSet presAssocID="{A20D8E7B-9481-462B-8FE9-50B2E1A68011}" presName="rootComposite1" presStyleCnt="0"/>
      <dgm:spPr/>
    </dgm:pt>
    <dgm:pt modelId="{B625A323-4DAE-4179-989C-8A4A66ABE4B3}" type="pres">
      <dgm:prSet presAssocID="{A20D8E7B-9481-462B-8FE9-50B2E1A68011}" presName="rootText1" presStyleLbl="node0" presStyleIdx="0" presStyleCnt="1">
        <dgm:presLayoutVars>
          <dgm:chPref val="3"/>
        </dgm:presLayoutVars>
      </dgm:prSet>
      <dgm:spPr>
        <a:prstGeom prst="rect">
          <a:avLst/>
        </a:prstGeom>
      </dgm:spPr>
    </dgm:pt>
    <dgm:pt modelId="{2EF81581-AC68-4132-9083-CCA7ED7C7EA5}" type="pres">
      <dgm:prSet presAssocID="{A20D8E7B-9481-462B-8FE9-50B2E1A68011}" presName="rootConnector1" presStyleLbl="node1" presStyleIdx="0" presStyleCnt="0"/>
      <dgm:spPr/>
    </dgm:pt>
    <dgm:pt modelId="{5E4C409B-63F5-41FB-AF6F-FFD7C46741F0}" type="pres">
      <dgm:prSet presAssocID="{A20D8E7B-9481-462B-8FE9-50B2E1A68011}" presName="hierChild2" presStyleCnt="0"/>
      <dgm:spPr/>
    </dgm:pt>
    <dgm:pt modelId="{DBA3BFB0-E554-46C4-AC35-1CFB777FA56B}" type="pres">
      <dgm:prSet presAssocID="{ABD4B731-E85D-4E00-98D9-A43A6F96E72F}" presName="Name37" presStyleLbl="parChTrans1D2" presStyleIdx="0" presStyleCnt="3"/>
      <dgm:spPr>
        <a:custGeom>
          <a:avLst/>
          <a:gdLst/>
          <a:ahLst/>
          <a:cxnLst/>
          <a:rect l="0" t="0" r="0" b="0"/>
          <a:pathLst>
            <a:path>
              <a:moveTo>
                <a:pt x="1940834" y="0"/>
              </a:moveTo>
              <a:lnTo>
                <a:pt x="1940834" y="168419"/>
              </a:lnTo>
              <a:lnTo>
                <a:pt x="0" y="168419"/>
              </a:lnTo>
              <a:lnTo>
                <a:pt x="0" y="336838"/>
              </a:lnTo>
            </a:path>
          </a:pathLst>
        </a:custGeom>
      </dgm:spPr>
    </dgm:pt>
    <dgm:pt modelId="{794E4FA0-BD47-4687-A35A-E07CA505D274}" type="pres">
      <dgm:prSet presAssocID="{C78E2C6C-C9E5-41B0-A61F-2E34B5B25BC6}" presName="hierRoot2" presStyleCnt="0">
        <dgm:presLayoutVars>
          <dgm:hierBranch val="init"/>
        </dgm:presLayoutVars>
      </dgm:prSet>
      <dgm:spPr/>
    </dgm:pt>
    <dgm:pt modelId="{4AD89A80-DD64-4215-B92B-F9B68B9DA4AE}" type="pres">
      <dgm:prSet presAssocID="{C78E2C6C-C9E5-41B0-A61F-2E34B5B25BC6}" presName="rootComposite" presStyleCnt="0"/>
      <dgm:spPr/>
    </dgm:pt>
    <dgm:pt modelId="{47F0C054-A4A8-44DC-A981-917B522C74AE}" type="pres">
      <dgm:prSet presAssocID="{C78E2C6C-C9E5-41B0-A61F-2E34B5B25BC6}" presName="rootText" presStyleLbl="node2" presStyleIdx="0" presStyleCnt="3">
        <dgm:presLayoutVars>
          <dgm:chPref val="3"/>
        </dgm:presLayoutVars>
      </dgm:prSet>
      <dgm:spPr>
        <a:prstGeom prst="rect">
          <a:avLst/>
        </a:prstGeom>
      </dgm:spPr>
    </dgm:pt>
    <dgm:pt modelId="{3109900C-4F6D-4E44-92D6-9AB1D7D0F93F}" type="pres">
      <dgm:prSet presAssocID="{C78E2C6C-C9E5-41B0-A61F-2E34B5B25BC6}" presName="rootConnector" presStyleLbl="node2" presStyleIdx="0" presStyleCnt="3"/>
      <dgm:spPr/>
    </dgm:pt>
    <dgm:pt modelId="{46A9A0EA-8178-4AFF-81F7-BB8300F12546}" type="pres">
      <dgm:prSet presAssocID="{C78E2C6C-C9E5-41B0-A61F-2E34B5B25BC6}" presName="hierChild4" presStyleCnt="0"/>
      <dgm:spPr/>
    </dgm:pt>
    <dgm:pt modelId="{747CC529-3678-418E-9CEB-CB5AF7D14FB1}" type="pres">
      <dgm:prSet presAssocID="{C78E2C6C-C9E5-41B0-A61F-2E34B5B25BC6}" presName="hierChild5" presStyleCnt="0"/>
      <dgm:spPr/>
    </dgm:pt>
    <dgm:pt modelId="{26E97282-F9EC-4D32-BD4E-9E0A0130C2D5}" type="pres">
      <dgm:prSet presAssocID="{79C4D811-35C9-4A25-A14C-AA16DB7704DE}" presName="Name37" presStyleLbl="parChTrans1D2" presStyleIdx="1" presStyleCnt="3"/>
      <dgm:spPr>
        <a:custGeom>
          <a:avLst/>
          <a:gdLst/>
          <a:ahLst/>
          <a:cxnLst/>
          <a:rect l="0" t="0" r="0" b="0"/>
          <a:pathLst>
            <a:path>
              <a:moveTo>
                <a:pt x="45720" y="0"/>
              </a:moveTo>
              <a:lnTo>
                <a:pt x="45720" y="336838"/>
              </a:lnTo>
            </a:path>
          </a:pathLst>
        </a:custGeom>
      </dgm:spPr>
    </dgm:pt>
    <dgm:pt modelId="{5BC43CAC-AF22-4C84-B7B0-213C02BECACE}" type="pres">
      <dgm:prSet presAssocID="{D1A7C973-0CE7-4EF2-AAAD-11897FE6B644}" presName="hierRoot2" presStyleCnt="0">
        <dgm:presLayoutVars>
          <dgm:hierBranch val="init"/>
        </dgm:presLayoutVars>
      </dgm:prSet>
      <dgm:spPr/>
    </dgm:pt>
    <dgm:pt modelId="{70442067-DE3B-4FB2-BF78-C29CA7838159}" type="pres">
      <dgm:prSet presAssocID="{D1A7C973-0CE7-4EF2-AAAD-11897FE6B644}" presName="rootComposite" presStyleCnt="0"/>
      <dgm:spPr/>
    </dgm:pt>
    <dgm:pt modelId="{4B94527C-5237-4BD5-899F-FBA68A87E1AB}" type="pres">
      <dgm:prSet presAssocID="{D1A7C973-0CE7-4EF2-AAAD-11897FE6B644}" presName="rootText" presStyleLbl="node2" presStyleIdx="1" presStyleCnt="3">
        <dgm:presLayoutVars>
          <dgm:chPref val="3"/>
        </dgm:presLayoutVars>
      </dgm:prSet>
      <dgm:spPr>
        <a:prstGeom prst="rect">
          <a:avLst/>
        </a:prstGeom>
      </dgm:spPr>
    </dgm:pt>
    <dgm:pt modelId="{8B7D651E-5B00-4CB5-9377-A9EE7241E93E}" type="pres">
      <dgm:prSet presAssocID="{D1A7C973-0CE7-4EF2-AAAD-11897FE6B644}" presName="rootConnector" presStyleLbl="node2" presStyleIdx="1" presStyleCnt="3"/>
      <dgm:spPr/>
    </dgm:pt>
    <dgm:pt modelId="{7172225A-8028-414D-84BA-1AC8C07F49E3}" type="pres">
      <dgm:prSet presAssocID="{D1A7C973-0CE7-4EF2-AAAD-11897FE6B644}" presName="hierChild4" presStyleCnt="0"/>
      <dgm:spPr/>
    </dgm:pt>
    <dgm:pt modelId="{A6B5EE3C-6547-42BA-8355-BB71BC55A46F}" type="pres">
      <dgm:prSet presAssocID="{D1A7C973-0CE7-4EF2-AAAD-11897FE6B644}" presName="hierChild5" presStyleCnt="0"/>
      <dgm:spPr/>
    </dgm:pt>
    <dgm:pt modelId="{F0FE6787-CB0B-448B-A501-1B050D9E1F01}" type="pres">
      <dgm:prSet presAssocID="{14965A0B-A4D9-4F45-A9B8-65562A65E3BD}" presName="Name37" presStyleLbl="parChTrans1D2" presStyleIdx="2" presStyleCnt="3"/>
      <dgm:spPr>
        <a:custGeom>
          <a:avLst/>
          <a:gdLst/>
          <a:ahLst/>
          <a:cxnLst/>
          <a:rect l="0" t="0" r="0" b="0"/>
          <a:pathLst>
            <a:path>
              <a:moveTo>
                <a:pt x="0" y="0"/>
              </a:moveTo>
              <a:lnTo>
                <a:pt x="0" y="168419"/>
              </a:lnTo>
              <a:lnTo>
                <a:pt x="1940834" y="168419"/>
              </a:lnTo>
              <a:lnTo>
                <a:pt x="1940834" y="336838"/>
              </a:lnTo>
            </a:path>
          </a:pathLst>
        </a:custGeom>
      </dgm:spPr>
    </dgm:pt>
    <dgm:pt modelId="{F5645344-101A-4A60-A4B1-CE3A1221BAC2}" type="pres">
      <dgm:prSet presAssocID="{42BDD452-E27D-4E9F-B60E-C7F76B3B15E9}" presName="hierRoot2" presStyleCnt="0">
        <dgm:presLayoutVars>
          <dgm:hierBranch val="init"/>
        </dgm:presLayoutVars>
      </dgm:prSet>
      <dgm:spPr/>
    </dgm:pt>
    <dgm:pt modelId="{3F968A2C-5C0F-48F6-9D55-06F6A909AEB5}" type="pres">
      <dgm:prSet presAssocID="{42BDD452-E27D-4E9F-B60E-C7F76B3B15E9}" presName="rootComposite" presStyleCnt="0"/>
      <dgm:spPr/>
    </dgm:pt>
    <dgm:pt modelId="{C46E65EC-74EC-4237-BEA6-6C8F780B6E60}" type="pres">
      <dgm:prSet presAssocID="{42BDD452-E27D-4E9F-B60E-C7F76B3B15E9}" presName="rootText" presStyleLbl="node2" presStyleIdx="2" presStyleCnt="3">
        <dgm:presLayoutVars>
          <dgm:chPref val="3"/>
        </dgm:presLayoutVars>
      </dgm:prSet>
      <dgm:spPr>
        <a:prstGeom prst="rect">
          <a:avLst/>
        </a:prstGeom>
      </dgm:spPr>
    </dgm:pt>
    <dgm:pt modelId="{3C5FB459-7BC0-4CCB-AB0F-0664C035AAF9}" type="pres">
      <dgm:prSet presAssocID="{42BDD452-E27D-4E9F-B60E-C7F76B3B15E9}" presName="rootConnector" presStyleLbl="node2" presStyleIdx="2" presStyleCnt="3"/>
      <dgm:spPr/>
    </dgm:pt>
    <dgm:pt modelId="{80232D84-9525-46CA-87B7-FB96AB5B0AC3}" type="pres">
      <dgm:prSet presAssocID="{42BDD452-E27D-4E9F-B60E-C7F76B3B15E9}" presName="hierChild4" presStyleCnt="0"/>
      <dgm:spPr/>
    </dgm:pt>
    <dgm:pt modelId="{15E7E363-09CE-4EA7-8300-23FAC69D469C}" type="pres">
      <dgm:prSet presAssocID="{42BDD452-E27D-4E9F-B60E-C7F76B3B15E9}" presName="hierChild5" presStyleCnt="0"/>
      <dgm:spPr/>
    </dgm:pt>
    <dgm:pt modelId="{FB756B23-B4D6-4E92-9798-ECDC168AF164}" type="pres">
      <dgm:prSet presAssocID="{A20D8E7B-9481-462B-8FE9-50B2E1A68011}" presName="hierChild3" presStyleCnt="0"/>
      <dgm:spPr/>
    </dgm:pt>
  </dgm:ptLst>
  <dgm:cxnLst>
    <dgm:cxn modelId="{E498FF06-78B0-43D9-B3A1-13E05C530376}" type="presOf" srcId="{A20D8E7B-9481-462B-8FE9-50B2E1A68011}" destId="{B625A323-4DAE-4179-989C-8A4A66ABE4B3}" srcOrd="0" destOrd="0" presId="urn:microsoft.com/office/officeart/2005/8/layout/orgChart1"/>
    <dgm:cxn modelId="{02D6C20C-8509-44EF-A34A-DFA8E3A5E178}" type="presOf" srcId="{15EAFB71-8E14-4BB6-8586-0DD40EC2A8F0}" destId="{4E6826D5-03AB-4538-ACD2-35CF85FF4D39}" srcOrd="0" destOrd="0" presId="urn:microsoft.com/office/officeart/2005/8/layout/orgChart1"/>
    <dgm:cxn modelId="{0FC3C40D-D710-4168-88E0-BC017332F71B}" type="presOf" srcId="{D1A7C973-0CE7-4EF2-AAAD-11897FE6B644}" destId="{8B7D651E-5B00-4CB5-9377-A9EE7241E93E}" srcOrd="1" destOrd="0" presId="urn:microsoft.com/office/officeart/2005/8/layout/orgChart1"/>
    <dgm:cxn modelId="{DB879D20-B428-4A47-8F5F-27B25B47AE88}" type="presOf" srcId="{D1A7C973-0CE7-4EF2-AAAD-11897FE6B644}" destId="{4B94527C-5237-4BD5-899F-FBA68A87E1AB}" srcOrd="0" destOrd="0" presId="urn:microsoft.com/office/officeart/2005/8/layout/orgChart1"/>
    <dgm:cxn modelId="{A6B8F04C-22DA-423F-9358-6C32C3E2A258}" type="presOf" srcId="{C78E2C6C-C9E5-41B0-A61F-2E34B5B25BC6}" destId="{3109900C-4F6D-4E44-92D6-9AB1D7D0F93F}" srcOrd="1" destOrd="0" presId="urn:microsoft.com/office/officeart/2005/8/layout/orgChart1"/>
    <dgm:cxn modelId="{789BF852-7BDB-4D3A-9C80-EF6352E31AEC}" type="presOf" srcId="{42BDD452-E27D-4E9F-B60E-C7F76B3B15E9}" destId="{C46E65EC-74EC-4237-BEA6-6C8F780B6E60}" srcOrd="0" destOrd="0" presId="urn:microsoft.com/office/officeart/2005/8/layout/orgChart1"/>
    <dgm:cxn modelId="{5862C476-E6D5-4770-825E-B61C5309E40D}" type="presOf" srcId="{C78E2C6C-C9E5-41B0-A61F-2E34B5B25BC6}" destId="{47F0C054-A4A8-44DC-A981-917B522C74AE}" srcOrd="0" destOrd="0" presId="urn:microsoft.com/office/officeart/2005/8/layout/orgChart1"/>
    <dgm:cxn modelId="{29AFDB57-E61E-4B9B-B0AA-6E103AD3DBA2}" srcId="{A20D8E7B-9481-462B-8FE9-50B2E1A68011}" destId="{D1A7C973-0CE7-4EF2-AAAD-11897FE6B644}" srcOrd="1" destOrd="0" parTransId="{79C4D811-35C9-4A25-A14C-AA16DB7704DE}" sibTransId="{150DDEDD-5B32-4181-94AA-8E4E434F7E24}"/>
    <dgm:cxn modelId="{64F1B69A-DC69-4B78-A3F3-9C4EC0C19107}" type="presOf" srcId="{79C4D811-35C9-4A25-A14C-AA16DB7704DE}" destId="{26E97282-F9EC-4D32-BD4E-9E0A0130C2D5}" srcOrd="0" destOrd="0" presId="urn:microsoft.com/office/officeart/2005/8/layout/orgChart1"/>
    <dgm:cxn modelId="{3E322B9E-442C-4BB0-9810-B49CA0A32C82}" srcId="{15EAFB71-8E14-4BB6-8586-0DD40EC2A8F0}" destId="{A20D8E7B-9481-462B-8FE9-50B2E1A68011}" srcOrd="0" destOrd="0" parTransId="{2C72EE91-5D8D-4FEE-A804-6BAA7625F7D3}" sibTransId="{50D8BD7C-A8CC-4F0D-BC1F-EFF69E09BB0A}"/>
    <dgm:cxn modelId="{242439A2-0A04-4999-BEF6-535108C044C0}" type="presOf" srcId="{42BDD452-E27D-4E9F-B60E-C7F76B3B15E9}" destId="{3C5FB459-7BC0-4CCB-AB0F-0664C035AAF9}" srcOrd="1" destOrd="0" presId="urn:microsoft.com/office/officeart/2005/8/layout/orgChart1"/>
    <dgm:cxn modelId="{C2CA18CB-377C-4C45-BF2A-02C627C2B47E}" type="presOf" srcId="{14965A0B-A4D9-4F45-A9B8-65562A65E3BD}" destId="{F0FE6787-CB0B-448B-A501-1B050D9E1F01}" srcOrd="0" destOrd="0" presId="urn:microsoft.com/office/officeart/2005/8/layout/orgChart1"/>
    <dgm:cxn modelId="{B090E2D1-98BA-4691-B4B0-29E0E85007E4}" srcId="{A20D8E7B-9481-462B-8FE9-50B2E1A68011}" destId="{42BDD452-E27D-4E9F-B60E-C7F76B3B15E9}" srcOrd="2" destOrd="0" parTransId="{14965A0B-A4D9-4F45-A9B8-65562A65E3BD}" sibTransId="{E6E69D37-7EF1-4D8B-845D-FC2B442A571A}"/>
    <dgm:cxn modelId="{2C474BD6-204D-4C6B-A275-72FB39ACE91D}" srcId="{A20D8E7B-9481-462B-8FE9-50B2E1A68011}" destId="{C78E2C6C-C9E5-41B0-A61F-2E34B5B25BC6}" srcOrd="0" destOrd="0" parTransId="{ABD4B731-E85D-4E00-98D9-A43A6F96E72F}" sibTransId="{4C042B3F-ED0F-47D0-B067-51361A3F0604}"/>
    <dgm:cxn modelId="{357C52DD-90DE-4D4C-A0B7-4A8D89EB9C55}" type="presOf" srcId="{A20D8E7B-9481-462B-8FE9-50B2E1A68011}" destId="{2EF81581-AC68-4132-9083-CCA7ED7C7EA5}" srcOrd="1" destOrd="0" presId="urn:microsoft.com/office/officeart/2005/8/layout/orgChart1"/>
    <dgm:cxn modelId="{E3B96CED-4CA4-42E6-9658-D7B2710C1B58}" type="presOf" srcId="{ABD4B731-E85D-4E00-98D9-A43A6F96E72F}" destId="{DBA3BFB0-E554-46C4-AC35-1CFB777FA56B}" srcOrd="0" destOrd="0" presId="urn:microsoft.com/office/officeart/2005/8/layout/orgChart1"/>
    <dgm:cxn modelId="{03102C13-C00E-4290-AD0A-0C2822596417}" type="presParOf" srcId="{4E6826D5-03AB-4538-ACD2-35CF85FF4D39}" destId="{74FE1131-0646-407D-A714-6BA33728DF51}" srcOrd="0" destOrd="0" presId="urn:microsoft.com/office/officeart/2005/8/layout/orgChart1"/>
    <dgm:cxn modelId="{10A5A7DA-BAD3-40D2-8E98-0A94049ADF69}" type="presParOf" srcId="{74FE1131-0646-407D-A714-6BA33728DF51}" destId="{8E43479A-A8BD-4C26-A14E-75975095E6A5}" srcOrd="0" destOrd="0" presId="urn:microsoft.com/office/officeart/2005/8/layout/orgChart1"/>
    <dgm:cxn modelId="{E1606477-809F-41B1-BB8A-A1E230759919}" type="presParOf" srcId="{8E43479A-A8BD-4C26-A14E-75975095E6A5}" destId="{B625A323-4DAE-4179-989C-8A4A66ABE4B3}" srcOrd="0" destOrd="0" presId="urn:microsoft.com/office/officeart/2005/8/layout/orgChart1"/>
    <dgm:cxn modelId="{E7C46348-F3CC-47FE-A292-4E9CFD0194CF}" type="presParOf" srcId="{8E43479A-A8BD-4C26-A14E-75975095E6A5}" destId="{2EF81581-AC68-4132-9083-CCA7ED7C7EA5}" srcOrd="1" destOrd="0" presId="urn:microsoft.com/office/officeart/2005/8/layout/orgChart1"/>
    <dgm:cxn modelId="{C5B18D00-28C1-48A3-80EA-70EC790877FA}" type="presParOf" srcId="{74FE1131-0646-407D-A714-6BA33728DF51}" destId="{5E4C409B-63F5-41FB-AF6F-FFD7C46741F0}" srcOrd="1" destOrd="0" presId="urn:microsoft.com/office/officeart/2005/8/layout/orgChart1"/>
    <dgm:cxn modelId="{F7D5D008-3782-4D03-9463-A4A00E64A664}" type="presParOf" srcId="{5E4C409B-63F5-41FB-AF6F-FFD7C46741F0}" destId="{DBA3BFB0-E554-46C4-AC35-1CFB777FA56B}" srcOrd="0" destOrd="0" presId="urn:microsoft.com/office/officeart/2005/8/layout/orgChart1"/>
    <dgm:cxn modelId="{001AEABC-656C-492A-92B9-075A07BD6730}" type="presParOf" srcId="{5E4C409B-63F5-41FB-AF6F-FFD7C46741F0}" destId="{794E4FA0-BD47-4687-A35A-E07CA505D274}" srcOrd="1" destOrd="0" presId="urn:microsoft.com/office/officeart/2005/8/layout/orgChart1"/>
    <dgm:cxn modelId="{4D219421-2E65-4483-9F1E-ED33E0B3C936}" type="presParOf" srcId="{794E4FA0-BD47-4687-A35A-E07CA505D274}" destId="{4AD89A80-DD64-4215-B92B-F9B68B9DA4AE}" srcOrd="0" destOrd="0" presId="urn:microsoft.com/office/officeart/2005/8/layout/orgChart1"/>
    <dgm:cxn modelId="{D0174360-5B89-4211-BEE8-DF1B2F058D51}" type="presParOf" srcId="{4AD89A80-DD64-4215-B92B-F9B68B9DA4AE}" destId="{47F0C054-A4A8-44DC-A981-917B522C74AE}" srcOrd="0" destOrd="0" presId="urn:microsoft.com/office/officeart/2005/8/layout/orgChart1"/>
    <dgm:cxn modelId="{D1F2BE79-88D6-4E1B-B2A0-BB523F0E6F74}" type="presParOf" srcId="{4AD89A80-DD64-4215-B92B-F9B68B9DA4AE}" destId="{3109900C-4F6D-4E44-92D6-9AB1D7D0F93F}" srcOrd="1" destOrd="0" presId="urn:microsoft.com/office/officeart/2005/8/layout/orgChart1"/>
    <dgm:cxn modelId="{590FF01E-EBDE-4DF7-8E9F-C3F1F3277145}" type="presParOf" srcId="{794E4FA0-BD47-4687-A35A-E07CA505D274}" destId="{46A9A0EA-8178-4AFF-81F7-BB8300F12546}" srcOrd="1" destOrd="0" presId="urn:microsoft.com/office/officeart/2005/8/layout/orgChart1"/>
    <dgm:cxn modelId="{83770DFE-5334-4CA6-AA4E-5FD899AF5D78}" type="presParOf" srcId="{794E4FA0-BD47-4687-A35A-E07CA505D274}" destId="{747CC529-3678-418E-9CEB-CB5AF7D14FB1}" srcOrd="2" destOrd="0" presId="urn:microsoft.com/office/officeart/2005/8/layout/orgChart1"/>
    <dgm:cxn modelId="{4FA3C088-FC20-4EBC-AD23-B05C077921B5}" type="presParOf" srcId="{5E4C409B-63F5-41FB-AF6F-FFD7C46741F0}" destId="{26E97282-F9EC-4D32-BD4E-9E0A0130C2D5}" srcOrd="2" destOrd="0" presId="urn:microsoft.com/office/officeart/2005/8/layout/orgChart1"/>
    <dgm:cxn modelId="{37271704-7699-4BBD-807C-C208772FEB96}" type="presParOf" srcId="{5E4C409B-63F5-41FB-AF6F-FFD7C46741F0}" destId="{5BC43CAC-AF22-4C84-B7B0-213C02BECACE}" srcOrd="3" destOrd="0" presId="urn:microsoft.com/office/officeart/2005/8/layout/orgChart1"/>
    <dgm:cxn modelId="{59AE739A-D35B-48B6-99D4-D489C8015F94}" type="presParOf" srcId="{5BC43CAC-AF22-4C84-B7B0-213C02BECACE}" destId="{70442067-DE3B-4FB2-BF78-C29CA7838159}" srcOrd="0" destOrd="0" presId="urn:microsoft.com/office/officeart/2005/8/layout/orgChart1"/>
    <dgm:cxn modelId="{98CD9BCB-7A61-4CA3-9198-6A6E73F88791}" type="presParOf" srcId="{70442067-DE3B-4FB2-BF78-C29CA7838159}" destId="{4B94527C-5237-4BD5-899F-FBA68A87E1AB}" srcOrd="0" destOrd="0" presId="urn:microsoft.com/office/officeart/2005/8/layout/orgChart1"/>
    <dgm:cxn modelId="{1A52F7EB-5643-4256-8D2C-819576D14C1D}" type="presParOf" srcId="{70442067-DE3B-4FB2-BF78-C29CA7838159}" destId="{8B7D651E-5B00-4CB5-9377-A9EE7241E93E}" srcOrd="1" destOrd="0" presId="urn:microsoft.com/office/officeart/2005/8/layout/orgChart1"/>
    <dgm:cxn modelId="{106FD61B-21CB-4B46-B60B-2DD8E158C38D}" type="presParOf" srcId="{5BC43CAC-AF22-4C84-B7B0-213C02BECACE}" destId="{7172225A-8028-414D-84BA-1AC8C07F49E3}" srcOrd="1" destOrd="0" presId="urn:microsoft.com/office/officeart/2005/8/layout/orgChart1"/>
    <dgm:cxn modelId="{12E138BF-1DBD-4B7F-8F0E-A478B82FDF80}" type="presParOf" srcId="{5BC43CAC-AF22-4C84-B7B0-213C02BECACE}" destId="{A6B5EE3C-6547-42BA-8355-BB71BC55A46F}" srcOrd="2" destOrd="0" presId="urn:microsoft.com/office/officeart/2005/8/layout/orgChart1"/>
    <dgm:cxn modelId="{3A59181F-59C9-458C-80DB-DF1FBD8B17E4}" type="presParOf" srcId="{5E4C409B-63F5-41FB-AF6F-FFD7C46741F0}" destId="{F0FE6787-CB0B-448B-A501-1B050D9E1F01}" srcOrd="4" destOrd="0" presId="urn:microsoft.com/office/officeart/2005/8/layout/orgChart1"/>
    <dgm:cxn modelId="{DB7D4C3C-AE84-44C9-8F66-004E0C553CDA}" type="presParOf" srcId="{5E4C409B-63F5-41FB-AF6F-FFD7C46741F0}" destId="{F5645344-101A-4A60-A4B1-CE3A1221BAC2}" srcOrd="5" destOrd="0" presId="urn:microsoft.com/office/officeart/2005/8/layout/orgChart1"/>
    <dgm:cxn modelId="{DD6777C5-3BD2-4CCE-87BF-B8B7ACC39310}" type="presParOf" srcId="{F5645344-101A-4A60-A4B1-CE3A1221BAC2}" destId="{3F968A2C-5C0F-48F6-9D55-06F6A909AEB5}" srcOrd="0" destOrd="0" presId="urn:microsoft.com/office/officeart/2005/8/layout/orgChart1"/>
    <dgm:cxn modelId="{6FF6F473-3BBB-4344-BD3D-A70569E6EBFF}" type="presParOf" srcId="{3F968A2C-5C0F-48F6-9D55-06F6A909AEB5}" destId="{C46E65EC-74EC-4237-BEA6-6C8F780B6E60}" srcOrd="0" destOrd="0" presId="urn:microsoft.com/office/officeart/2005/8/layout/orgChart1"/>
    <dgm:cxn modelId="{BF9379E8-5625-49F4-B15F-56E2D94AF369}" type="presParOf" srcId="{3F968A2C-5C0F-48F6-9D55-06F6A909AEB5}" destId="{3C5FB459-7BC0-4CCB-AB0F-0664C035AAF9}" srcOrd="1" destOrd="0" presId="urn:microsoft.com/office/officeart/2005/8/layout/orgChart1"/>
    <dgm:cxn modelId="{B4C41FC5-BB8A-4C61-A271-04C93CE69054}" type="presParOf" srcId="{F5645344-101A-4A60-A4B1-CE3A1221BAC2}" destId="{80232D84-9525-46CA-87B7-FB96AB5B0AC3}" srcOrd="1" destOrd="0" presId="urn:microsoft.com/office/officeart/2005/8/layout/orgChart1"/>
    <dgm:cxn modelId="{8FF252E4-D5DE-4287-B80D-CA6DB333F862}" type="presParOf" srcId="{F5645344-101A-4A60-A4B1-CE3A1221BAC2}" destId="{15E7E363-09CE-4EA7-8300-23FAC69D469C}" srcOrd="2" destOrd="0" presId="urn:microsoft.com/office/officeart/2005/8/layout/orgChart1"/>
    <dgm:cxn modelId="{98CBA7B4-2A16-4987-9F52-D003DFD23AF4}" type="presParOf" srcId="{74FE1131-0646-407D-A714-6BA33728DF51}" destId="{FB756B23-B4D6-4E92-9798-ECDC168AF164}" srcOrd="2" destOrd="0" presId="urn:microsoft.com/office/officeart/2005/8/layout/orgChart1"/>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6D69C0-33A0-4BCB-A031-3C890B088D05}">
      <dsp:nvSpPr>
        <dsp:cNvPr id="0" name=""/>
        <dsp:cNvSpPr/>
      </dsp:nvSpPr>
      <dsp:spPr>
        <a:xfrm>
          <a:off x="0" y="960120"/>
          <a:ext cx="5486400" cy="1280160"/>
        </a:xfrm>
        <a:prstGeom prst="notchedRightArrow">
          <a:avLst/>
        </a:prstGeom>
        <a:solidFill>
          <a:srgbClr val="5B9BD5">
            <a:tint val="40000"/>
            <a:hueOff val="0"/>
            <a:satOff val="0"/>
            <a:lumOff val="0"/>
            <a:alphaOff val="0"/>
          </a:srgbClr>
        </a:solidFill>
        <a:ln>
          <a:noFill/>
        </a:ln>
        <a:effectLst/>
        <a:scene3d>
          <a:camera prst="orthographicFront"/>
          <a:lightRig rig="chilly" dir="t"/>
        </a:scene3d>
        <a:sp3d z="-12700" extrusionH="1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F9DC3295-64FF-478D-96B3-AC4847083779}">
      <dsp:nvSpPr>
        <dsp:cNvPr id="0" name=""/>
        <dsp:cNvSpPr/>
      </dsp:nvSpPr>
      <dsp:spPr>
        <a:xfrm>
          <a:off x="2471" y="0"/>
          <a:ext cx="11886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b" anchorCtr="0">
          <a:noAutofit/>
        </a:bodyPr>
        <a:lstStyle/>
        <a:p>
          <a:pPr marL="0" lvl="0" indent="0" algn="ctr" defTabSz="622300">
            <a:lnSpc>
              <a:spcPct val="90000"/>
            </a:lnSpc>
            <a:spcBef>
              <a:spcPct val="0"/>
            </a:spcBef>
            <a:spcAft>
              <a:spcPct val="35000"/>
            </a:spcAft>
            <a:buNone/>
          </a:pPr>
          <a:r>
            <a:rPr lang="hr-HR" sz="1400" i="1" kern="1200">
              <a:solidFill>
                <a:sysClr val="windowText" lastClr="000000">
                  <a:hueOff val="0"/>
                  <a:satOff val="0"/>
                  <a:lumOff val="0"/>
                  <a:alphaOff val="0"/>
                </a:sysClr>
              </a:solidFill>
              <a:latin typeface="Calibri" panose="020F0502020204030204"/>
              <a:ea typeface="+mn-ea"/>
              <a:cs typeface="+mn-cs"/>
            </a:rPr>
            <a:t>katagogeiona</a:t>
          </a:r>
          <a:r>
            <a:rPr lang="hr-HR" sz="1400" kern="1200">
              <a:solidFill>
                <a:sysClr val="windowText" lastClr="000000">
                  <a:hueOff val="0"/>
                  <a:satOff val="0"/>
                  <a:lumOff val="0"/>
                  <a:alphaOff val="0"/>
                </a:sysClr>
              </a:solidFill>
              <a:latin typeface="Calibri" panose="020F0502020204030204"/>
              <a:ea typeface="+mn-ea"/>
              <a:cs typeface="+mn-cs"/>
            </a:rPr>
            <a:t> i </a:t>
          </a:r>
          <a:r>
            <a:rPr lang="hr-HR" sz="1400" i="1" kern="1200">
              <a:solidFill>
                <a:sysClr val="windowText" lastClr="000000">
                  <a:hueOff val="0"/>
                  <a:satOff val="0"/>
                  <a:lumOff val="0"/>
                  <a:alphaOff val="0"/>
                </a:sysClr>
              </a:solidFill>
              <a:latin typeface="Calibri" panose="020F0502020204030204"/>
              <a:ea typeface="+mn-ea"/>
              <a:cs typeface="+mn-cs"/>
            </a:rPr>
            <a:t>tabernae</a:t>
          </a:r>
          <a:endParaRPr lang="en-US" sz="1400" i="1" kern="1200">
            <a:solidFill>
              <a:sysClr val="windowText" lastClr="000000">
                <a:hueOff val="0"/>
                <a:satOff val="0"/>
                <a:lumOff val="0"/>
                <a:alphaOff val="0"/>
              </a:sysClr>
            </a:solidFill>
            <a:latin typeface="Calibri" panose="020F0502020204030204"/>
            <a:ea typeface="+mn-ea"/>
            <a:cs typeface="+mn-cs"/>
          </a:endParaRPr>
        </a:p>
      </dsp:txBody>
      <dsp:txXfrm>
        <a:off x="2471" y="0"/>
        <a:ext cx="1188630" cy="1280160"/>
      </dsp:txXfrm>
    </dsp:sp>
    <dsp:sp modelId="{85F2365A-1888-4E8A-9360-58F739B56D8C}">
      <dsp:nvSpPr>
        <dsp:cNvPr id="0" name=""/>
        <dsp:cNvSpPr/>
      </dsp:nvSpPr>
      <dsp:spPr>
        <a:xfrm>
          <a:off x="436766" y="1440180"/>
          <a:ext cx="320040" cy="320040"/>
        </a:xfrm>
        <a:prstGeom prst="ellipse">
          <a:avLst/>
        </a:prstGeom>
        <a:solidFill>
          <a:srgbClr val="5B9BD5">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D72B7483-3D18-4367-A85A-476BCBBCC603}">
      <dsp:nvSpPr>
        <dsp:cNvPr id="0" name=""/>
        <dsp:cNvSpPr/>
      </dsp:nvSpPr>
      <dsp:spPr>
        <a:xfrm>
          <a:off x="1250533" y="1920240"/>
          <a:ext cx="11886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hr-HR" sz="1400" kern="1200">
              <a:solidFill>
                <a:sysClr val="windowText" lastClr="000000">
                  <a:hueOff val="0"/>
                  <a:satOff val="0"/>
                  <a:lumOff val="0"/>
                  <a:alphaOff val="0"/>
                </a:sysClr>
              </a:solidFill>
              <a:latin typeface="Calibri" panose="020F0502020204030204"/>
              <a:ea typeface="+mn-ea"/>
              <a:cs typeface="+mn-cs"/>
            </a:rPr>
            <a:t>samostani i gostionice</a:t>
          </a:r>
          <a:endParaRPr lang="en-US" sz="1400" kern="1200">
            <a:solidFill>
              <a:sysClr val="windowText" lastClr="000000">
                <a:hueOff val="0"/>
                <a:satOff val="0"/>
                <a:lumOff val="0"/>
                <a:alphaOff val="0"/>
              </a:sysClr>
            </a:solidFill>
            <a:latin typeface="Calibri" panose="020F0502020204030204"/>
            <a:ea typeface="+mn-ea"/>
            <a:cs typeface="+mn-cs"/>
          </a:endParaRPr>
        </a:p>
      </dsp:txBody>
      <dsp:txXfrm>
        <a:off x="1250533" y="1920240"/>
        <a:ext cx="1188630" cy="1280160"/>
      </dsp:txXfrm>
    </dsp:sp>
    <dsp:sp modelId="{7D2C5AED-3E69-4BA2-B050-DB04B0AFB3C4}">
      <dsp:nvSpPr>
        <dsp:cNvPr id="0" name=""/>
        <dsp:cNvSpPr/>
      </dsp:nvSpPr>
      <dsp:spPr>
        <a:xfrm>
          <a:off x="1684828" y="1440180"/>
          <a:ext cx="320040" cy="320040"/>
        </a:xfrm>
        <a:prstGeom prst="ellipse">
          <a:avLst/>
        </a:prstGeom>
        <a:solidFill>
          <a:srgbClr val="5B9BD5">
            <a:hueOff val="-2252848"/>
            <a:satOff val="-5806"/>
            <a:lumOff val="-3922"/>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D2E4F8A9-AC46-461E-B737-389F9C271175}">
      <dsp:nvSpPr>
        <dsp:cNvPr id="0" name=""/>
        <dsp:cNvSpPr/>
      </dsp:nvSpPr>
      <dsp:spPr>
        <a:xfrm>
          <a:off x="2498595" y="0"/>
          <a:ext cx="11886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b" anchorCtr="0">
          <a:noAutofit/>
        </a:bodyPr>
        <a:lstStyle/>
        <a:p>
          <a:pPr marL="0" lvl="0" indent="0" algn="ctr" defTabSz="622300">
            <a:lnSpc>
              <a:spcPct val="90000"/>
            </a:lnSpc>
            <a:spcBef>
              <a:spcPct val="0"/>
            </a:spcBef>
            <a:spcAft>
              <a:spcPct val="35000"/>
            </a:spcAft>
            <a:buNone/>
          </a:pPr>
          <a:r>
            <a:rPr lang="hr-HR" sz="1400" kern="1200">
              <a:solidFill>
                <a:sysClr val="windowText" lastClr="000000">
                  <a:hueOff val="0"/>
                  <a:satOff val="0"/>
                  <a:lumOff val="0"/>
                  <a:alphaOff val="0"/>
                </a:sysClr>
              </a:solidFill>
              <a:latin typeface="Calibri" panose="020F0502020204030204"/>
              <a:ea typeface="+mn-ea"/>
              <a:cs typeface="+mn-cs"/>
            </a:rPr>
            <a:t>hoteli i hotelski lanci</a:t>
          </a:r>
          <a:endParaRPr lang="en-US" sz="1400" kern="1200">
            <a:solidFill>
              <a:sysClr val="windowText" lastClr="000000">
                <a:hueOff val="0"/>
                <a:satOff val="0"/>
                <a:lumOff val="0"/>
                <a:alphaOff val="0"/>
              </a:sysClr>
            </a:solidFill>
            <a:latin typeface="Calibri" panose="020F0502020204030204"/>
            <a:ea typeface="+mn-ea"/>
            <a:cs typeface="+mn-cs"/>
          </a:endParaRPr>
        </a:p>
      </dsp:txBody>
      <dsp:txXfrm>
        <a:off x="2498595" y="0"/>
        <a:ext cx="1188630" cy="1280160"/>
      </dsp:txXfrm>
    </dsp:sp>
    <dsp:sp modelId="{288FE176-0B34-4E8B-9BA5-5A6134772A61}">
      <dsp:nvSpPr>
        <dsp:cNvPr id="0" name=""/>
        <dsp:cNvSpPr/>
      </dsp:nvSpPr>
      <dsp:spPr>
        <a:xfrm>
          <a:off x="2932891" y="1440180"/>
          <a:ext cx="320040" cy="320040"/>
        </a:xfrm>
        <a:prstGeom prst="ellipse">
          <a:avLst/>
        </a:prstGeom>
        <a:solidFill>
          <a:srgbClr val="5B9BD5">
            <a:hueOff val="-4505695"/>
            <a:satOff val="-11613"/>
            <a:lumOff val="-7843"/>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A923DC5F-1EA9-4A83-A5A5-9A2097658F74}">
      <dsp:nvSpPr>
        <dsp:cNvPr id="0" name=""/>
        <dsp:cNvSpPr/>
      </dsp:nvSpPr>
      <dsp:spPr>
        <a:xfrm>
          <a:off x="3746658" y="1920240"/>
          <a:ext cx="1188630" cy="12801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t" anchorCtr="0">
          <a:noAutofit/>
        </a:bodyPr>
        <a:lstStyle/>
        <a:p>
          <a:pPr marL="0" lvl="0" indent="0" algn="ctr" defTabSz="622300">
            <a:lnSpc>
              <a:spcPct val="90000"/>
            </a:lnSpc>
            <a:spcBef>
              <a:spcPct val="0"/>
            </a:spcBef>
            <a:spcAft>
              <a:spcPct val="35000"/>
            </a:spcAft>
            <a:buNone/>
          </a:pPr>
          <a:r>
            <a:rPr lang="hr-HR" sz="1400" kern="1200">
              <a:solidFill>
                <a:sysClr val="windowText" lastClr="000000">
                  <a:hueOff val="0"/>
                  <a:satOff val="0"/>
                  <a:lumOff val="0"/>
                  <a:alphaOff val="0"/>
                </a:sysClr>
              </a:solidFill>
              <a:latin typeface="Calibri" panose="020F0502020204030204"/>
              <a:ea typeface="+mn-ea"/>
              <a:cs typeface="+mn-cs"/>
            </a:rPr>
            <a:t>hoteli s robotskom poslugom</a:t>
          </a:r>
          <a:endParaRPr lang="en-US" sz="1400" kern="1200">
            <a:solidFill>
              <a:sysClr val="windowText" lastClr="000000">
                <a:hueOff val="0"/>
                <a:satOff val="0"/>
                <a:lumOff val="0"/>
                <a:alphaOff val="0"/>
              </a:sysClr>
            </a:solidFill>
            <a:latin typeface="Calibri" panose="020F0502020204030204"/>
            <a:ea typeface="+mn-ea"/>
            <a:cs typeface="+mn-cs"/>
          </a:endParaRPr>
        </a:p>
      </dsp:txBody>
      <dsp:txXfrm>
        <a:off x="3746658" y="1920240"/>
        <a:ext cx="1188630" cy="1280160"/>
      </dsp:txXfrm>
    </dsp:sp>
    <dsp:sp modelId="{A7442BED-7CCD-45C4-877B-4EA2E211B669}">
      <dsp:nvSpPr>
        <dsp:cNvPr id="0" name=""/>
        <dsp:cNvSpPr/>
      </dsp:nvSpPr>
      <dsp:spPr>
        <a:xfrm>
          <a:off x="4180953" y="1440180"/>
          <a:ext cx="320040" cy="320040"/>
        </a:xfrm>
        <a:prstGeom prst="ellipse">
          <a:avLst/>
        </a:prstGeom>
        <a:solidFill>
          <a:srgbClr val="5B9BD5">
            <a:hueOff val="-6758543"/>
            <a:satOff val="-17419"/>
            <a:lumOff val="-11765"/>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31331B5-ACD4-460F-9526-BCA571DBE528}">
      <dsp:nvSpPr>
        <dsp:cNvPr id="0" name=""/>
        <dsp:cNvSpPr/>
      </dsp:nvSpPr>
      <dsp:spPr>
        <a:xfrm>
          <a:off x="592000" y="6"/>
          <a:ext cx="1841608" cy="736643"/>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8890" rIns="0" bIns="8890" numCol="1" spcCol="1270" anchor="ctr" anchorCtr="0">
          <a:noAutofit/>
        </a:bodyPr>
        <a:lstStyle/>
        <a:p>
          <a:pPr marL="0" lvl="0" indent="0" algn="ctr" defTabSz="622300">
            <a:lnSpc>
              <a:spcPct val="90000"/>
            </a:lnSpc>
            <a:spcBef>
              <a:spcPct val="0"/>
            </a:spcBef>
            <a:spcAft>
              <a:spcPct val="35000"/>
            </a:spcAft>
            <a:buNone/>
          </a:pPr>
          <a:r>
            <a:rPr lang="hr-HR" sz="1400" kern="1200">
              <a:solidFill>
                <a:sysClr val="window" lastClr="FFFFFF"/>
              </a:solidFill>
              <a:latin typeface="Calibri" panose="020F0502020204030204"/>
              <a:ea typeface="+mn-ea"/>
              <a:cs typeface="+mn-cs"/>
            </a:rPr>
            <a:t>Što poduzeće želi postati?</a:t>
          </a:r>
          <a:endParaRPr lang="en-US" sz="1400" kern="1200">
            <a:solidFill>
              <a:sysClr val="window" lastClr="FFFFFF"/>
            </a:solidFill>
            <a:latin typeface="Calibri" panose="020F0502020204030204"/>
            <a:ea typeface="+mn-ea"/>
            <a:cs typeface="+mn-cs"/>
          </a:endParaRPr>
        </a:p>
      </dsp:txBody>
      <dsp:txXfrm>
        <a:off x="960322" y="6"/>
        <a:ext cx="1104965" cy="736643"/>
      </dsp:txXfrm>
    </dsp:sp>
    <dsp:sp modelId="{D0411519-33FE-4D2C-A0F6-516653458889}">
      <dsp:nvSpPr>
        <dsp:cNvPr id="0" name=""/>
        <dsp:cNvSpPr/>
      </dsp:nvSpPr>
      <dsp:spPr>
        <a:xfrm>
          <a:off x="592000" y="839779"/>
          <a:ext cx="1841608" cy="736643"/>
        </a:xfrm>
        <a:prstGeom prst="chevron">
          <a:avLst/>
        </a:prstGeom>
        <a:gradFill rotWithShape="0">
          <a:gsLst>
            <a:gs pos="0">
              <a:srgbClr val="5B9BD5">
                <a:hueOff val="0"/>
                <a:satOff val="0"/>
                <a:lumOff val="0"/>
                <a:alphaOff val="0"/>
                <a:satMod val="103000"/>
                <a:lumMod val="102000"/>
                <a:tint val="94000"/>
              </a:srgbClr>
            </a:gs>
            <a:gs pos="50000">
              <a:srgbClr val="5B9BD5">
                <a:hueOff val="0"/>
                <a:satOff val="0"/>
                <a:lumOff val="0"/>
                <a:alphaOff val="0"/>
                <a:satMod val="110000"/>
                <a:lumMod val="100000"/>
                <a:shade val="100000"/>
              </a:srgbClr>
            </a:gs>
            <a:gs pos="100000">
              <a:srgbClr val="5B9BD5">
                <a:hueOff val="0"/>
                <a:satOff val="0"/>
                <a:lumOff val="0"/>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8890" rIns="0" bIns="8890" numCol="1" spcCol="1270" anchor="ctr" anchorCtr="0">
          <a:noAutofit/>
        </a:bodyPr>
        <a:lstStyle/>
        <a:p>
          <a:pPr marL="0" lvl="0" indent="0" algn="ctr" defTabSz="622300">
            <a:lnSpc>
              <a:spcPct val="90000"/>
            </a:lnSpc>
            <a:spcBef>
              <a:spcPct val="0"/>
            </a:spcBef>
            <a:spcAft>
              <a:spcPct val="35000"/>
            </a:spcAft>
            <a:buNone/>
          </a:pPr>
          <a:r>
            <a:rPr lang="hr-HR" sz="1400" kern="1200">
              <a:solidFill>
                <a:sysClr val="window" lastClr="FFFFFF"/>
              </a:solidFill>
              <a:latin typeface="Calibri" panose="020F0502020204030204"/>
              <a:ea typeface="+mn-ea"/>
              <a:cs typeface="+mn-cs"/>
            </a:rPr>
            <a:t>Kamo poduzeće želi ići?</a:t>
          </a:r>
          <a:endParaRPr lang="en-US" sz="1400" kern="1200">
            <a:solidFill>
              <a:sysClr val="window" lastClr="FFFFFF"/>
            </a:solidFill>
            <a:latin typeface="Calibri" panose="020F0502020204030204"/>
            <a:ea typeface="+mn-ea"/>
            <a:cs typeface="+mn-cs"/>
          </a:endParaRPr>
        </a:p>
      </dsp:txBody>
      <dsp:txXfrm>
        <a:off x="960322" y="839779"/>
        <a:ext cx="1104965" cy="736643"/>
      </dsp:txXfrm>
    </dsp:sp>
    <dsp:sp modelId="{1105EF71-3E68-4C47-99A8-CF30EF63D30C}">
      <dsp:nvSpPr>
        <dsp:cNvPr id="0" name=""/>
        <dsp:cNvSpPr/>
      </dsp:nvSpPr>
      <dsp:spPr>
        <a:xfrm>
          <a:off x="2194199" y="902394"/>
          <a:ext cx="1528535" cy="611414"/>
        </a:xfrm>
        <a:prstGeom prst="chevron">
          <a:avLst/>
        </a:prstGeom>
        <a:solidFill>
          <a:srgbClr val="5B9BD5">
            <a:tint val="40000"/>
            <a:alpha val="90000"/>
            <a:hueOff val="0"/>
            <a:satOff val="0"/>
            <a:lumOff val="0"/>
            <a:alphaOff val="0"/>
          </a:srgbClr>
        </a:solidFill>
        <a:ln w="6350" cap="flat" cmpd="sng" algn="ctr">
          <a:solidFill>
            <a:srgbClr val="5B9BD5">
              <a:tint val="40000"/>
              <a:alpha val="90000"/>
              <a:hueOff val="0"/>
              <a:satOff val="0"/>
              <a:lumOff val="0"/>
              <a:alphaOff val="0"/>
            </a:srgb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hr-HR" sz="1500" kern="1200">
              <a:solidFill>
                <a:sysClr val="windowText" lastClr="000000">
                  <a:hueOff val="0"/>
                  <a:satOff val="0"/>
                  <a:lumOff val="0"/>
                  <a:alphaOff val="0"/>
                </a:sysClr>
              </a:solidFill>
              <a:latin typeface="Calibri" panose="020F0502020204030204"/>
              <a:ea typeface="+mn-ea"/>
              <a:cs typeface="+mn-cs"/>
            </a:rPr>
            <a:t>MISIJA</a:t>
          </a:r>
          <a:endParaRPr lang="en-US" sz="1500" kern="1200">
            <a:solidFill>
              <a:sysClr val="windowText" lastClr="000000">
                <a:hueOff val="0"/>
                <a:satOff val="0"/>
                <a:lumOff val="0"/>
                <a:alphaOff val="0"/>
              </a:sysClr>
            </a:solidFill>
            <a:latin typeface="Calibri" panose="020F0502020204030204"/>
            <a:ea typeface="+mn-ea"/>
            <a:cs typeface="+mn-cs"/>
          </a:endParaRPr>
        </a:p>
      </dsp:txBody>
      <dsp:txXfrm>
        <a:off x="2499906" y="902394"/>
        <a:ext cx="917121" cy="611414"/>
      </dsp:txXfrm>
    </dsp:sp>
    <dsp:sp modelId="{8684ABE4-22C3-43BC-81BF-0B60B8284D85}">
      <dsp:nvSpPr>
        <dsp:cNvPr id="0" name=""/>
        <dsp:cNvSpPr/>
      </dsp:nvSpPr>
      <dsp:spPr>
        <a:xfrm>
          <a:off x="2177156" y="80427"/>
          <a:ext cx="1528535" cy="611414"/>
        </a:xfrm>
        <a:prstGeom prst="chevron">
          <a:avLst/>
        </a:prstGeom>
        <a:solidFill>
          <a:srgbClr val="5B9BD5">
            <a:tint val="40000"/>
            <a:alpha val="90000"/>
            <a:hueOff val="0"/>
            <a:satOff val="0"/>
            <a:lumOff val="0"/>
            <a:alphaOff val="0"/>
          </a:srgbClr>
        </a:solidFill>
        <a:ln w="6350" cap="flat" cmpd="sng" algn="ctr">
          <a:solidFill>
            <a:srgbClr val="5B9BD5">
              <a:tint val="40000"/>
              <a:alpha val="90000"/>
              <a:hueOff val="0"/>
              <a:satOff val="0"/>
              <a:lumOff val="0"/>
              <a:alphaOff val="0"/>
            </a:srgb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hr-HR" sz="1500" kern="1200">
              <a:solidFill>
                <a:sysClr val="windowText" lastClr="000000">
                  <a:hueOff val="0"/>
                  <a:satOff val="0"/>
                  <a:lumOff val="0"/>
                  <a:alphaOff val="0"/>
                </a:sysClr>
              </a:solidFill>
              <a:latin typeface="Calibri" panose="020F0502020204030204"/>
              <a:ea typeface="+mn-ea"/>
              <a:cs typeface="+mn-cs"/>
            </a:rPr>
            <a:t>VIZIJA</a:t>
          </a:r>
          <a:endParaRPr lang="en-US" sz="1500" kern="1200">
            <a:solidFill>
              <a:sysClr val="windowText" lastClr="000000">
                <a:hueOff val="0"/>
                <a:satOff val="0"/>
                <a:lumOff val="0"/>
                <a:alphaOff val="0"/>
              </a:sysClr>
            </a:solidFill>
            <a:latin typeface="Calibri" panose="020F0502020204030204"/>
            <a:ea typeface="+mn-ea"/>
            <a:cs typeface="+mn-cs"/>
          </a:endParaRPr>
        </a:p>
      </dsp:txBody>
      <dsp:txXfrm>
        <a:off x="2482863" y="80427"/>
        <a:ext cx="917121" cy="611414"/>
      </dsp:txXfrm>
    </dsp:sp>
    <dsp:sp modelId="{EA5D7C3A-864C-4AFC-93D9-3B803B0C443C}">
      <dsp:nvSpPr>
        <dsp:cNvPr id="0" name=""/>
        <dsp:cNvSpPr/>
      </dsp:nvSpPr>
      <dsp:spPr>
        <a:xfrm>
          <a:off x="592000" y="1679553"/>
          <a:ext cx="1841608" cy="736643"/>
        </a:xfrm>
        <a:prstGeom prst="chevron">
          <a:avLst/>
        </a:prstGeom>
        <a:gradFill rotWithShape="0">
          <a:gsLst>
            <a:gs pos="0">
              <a:srgbClr val="5B9BD5">
                <a:hueOff val="-2252848"/>
                <a:satOff val="-5806"/>
                <a:lumOff val="-3922"/>
                <a:alphaOff val="0"/>
                <a:satMod val="103000"/>
                <a:lumMod val="102000"/>
                <a:tint val="94000"/>
              </a:srgbClr>
            </a:gs>
            <a:gs pos="50000">
              <a:srgbClr val="5B9BD5">
                <a:hueOff val="-2252848"/>
                <a:satOff val="-5806"/>
                <a:lumOff val="-3922"/>
                <a:alphaOff val="0"/>
                <a:satMod val="110000"/>
                <a:lumMod val="100000"/>
                <a:shade val="100000"/>
              </a:srgbClr>
            </a:gs>
            <a:gs pos="100000">
              <a:srgbClr val="5B9BD5">
                <a:hueOff val="-2252848"/>
                <a:satOff val="-5806"/>
                <a:lumOff val="-3922"/>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8890" rIns="0" bIns="8890" numCol="1" spcCol="1270" anchor="ctr" anchorCtr="0">
          <a:noAutofit/>
        </a:bodyPr>
        <a:lstStyle/>
        <a:p>
          <a:pPr marL="0" lvl="0" indent="0" algn="ctr" defTabSz="622300">
            <a:lnSpc>
              <a:spcPct val="90000"/>
            </a:lnSpc>
            <a:spcBef>
              <a:spcPct val="0"/>
            </a:spcBef>
            <a:spcAft>
              <a:spcPct val="35000"/>
            </a:spcAft>
            <a:buNone/>
          </a:pPr>
          <a:r>
            <a:rPr lang="hr-HR" sz="1400" kern="1200">
              <a:solidFill>
                <a:sysClr val="window" lastClr="FFFFFF"/>
              </a:solidFill>
              <a:latin typeface="Calibri" panose="020F0502020204030204"/>
              <a:ea typeface="+mn-ea"/>
              <a:cs typeface="+mn-cs"/>
            </a:rPr>
            <a:t>Gdje poduzeće želi stići?</a:t>
          </a:r>
          <a:endParaRPr lang="en-US" sz="1400" kern="1200">
            <a:solidFill>
              <a:sysClr val="window" lastClr="FFFFFF"/>
            </a:solidFill>
            <a:latin typeface="Calibri" panose="020F0502020204030204"/>
            <a:ea typeface="+mn-ea"/>
            <a:cs typeface="+mn-cs"/>
          </a:endParaRPr>
        </a:p>
      </dsp:txBody>
      <dsp:txXfrm>
        <a:off x="960322" y="1679553"/>
        <a:ext cx="1104965" cy="736643"/>
      </dsp:txXfrm>
    </dsp:sp>
    <dsp:sp modelId="{501DDC82-D796-407F-96F4-81B36B6E3F9C}">
      <dsp:nvSpPr>
        <dsp:cNvPr id="0" name=""/>
        <dsp:cNvSpPr/>
      </dsp:nvSpPr>
      <dsp:spPr>
        <a:xfrm>
          <a:off x="2194199" y="1742167"/>
          <a:ext cx="1528535" cy="611414"/>
        </a:xfrm>
        <a:prstGeom prst="chevron">
          <a:avLst/>
        </a:prstGeom>
        <a:solidFill>
          <a:srgbClr val="5B9BD5">
            <a:tint val="40000"/>
            <a:alpha val="90000"/>
            <a:hueOff val="-2246587"/>
            <a:satOff val="-7611"/>
            <a:lumOff val="-976"/>
            <a:alphaOff val="0"/>
          </a:srgbClr>
        </a:solidFill>
        <a:ln w="6350" cap="flat" cmpd="sng" algn="ctr">
          <a:solidFill>
            <a:srgbClr val="5B9BD5">
              <a:tint val="40000"/>
              <a:alpha val="90000"/>
              <a:hueOff val="-2246587"/>
              <a:satOff val="-7611"/>
              <a:lumOff val="-976"/>
              <a:alphaOff val="0"/>
            </a:srgb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hr-HR" sz="1500" kern="1200">
              <a:solidFill>
                <a:sysClr val="windowText" lastClr="000000">
                  <a:hueOff val="0"/>
                  <a:satOff val="0"/>
                  <a:lumOff val="0"/>
                  <a:alphaOff val="0"/>
                </a:sysClr>
              </a:solidFill>
              <a:latin typeface="Calibri" panose="020F0502020204030204"/>
              <a:ea typeface="+mn-ea"/>
              <a:cs typeface="+mn-cs"/>
            </a:rPr>
            <a:t>CILJEVI</a:t>
          </a:r>
          <a:endParaRPr lang="en-US" sz="1500" kern="1200">
            <a:solidFill>
              <a:sysClr val="windowText" lastClr="000000">
                <a:hueOff val="0"/>
                <a:satOff val="0"/>
                <a:lumOff val="0"/>
                <a:alphaOff val="0"/>
              </a:sysClr>
            </a:solidFill>
            <a:latin typeface="Calibri" panose="020F0502020204030204"/>
            <a:ea typeface="+mn-ea"/>
            <a:cs typeface="+mn-cs"/>
          </a:endParaRPr>
        </a:p>
      </dsp:txBody>
      <dsp:txXfrm>
        <a:off x="2499906" y="1742167"/>
        <a:ext cx="917121" cy="611414"/>
      </dsp:txXfrm>
    </dsp:sp>
    <dsp:sp modelId="{5E044110-2991-48E0-AF3A-3236DCB2DE54}">
      <dsp:nvSpPr>
        <dsp:cNvPr id="0" name=""/>
        <dsp:cNvSpPr/>
      </dsp:nvSpPr>
      <dsp:spPr>
        <a:xfrm>
          <a:off x="592000" y="2519326"/>
          <a:ext cx="1841608" cy="736643"/>
        </a:xfrm>
        <a:prstGeom prst="chevron">
          <a:avLst/>
        </a:prstGeom>
        <a:gradFill rotWithShape="0">
          <a:gsLst>
            <a:gs pos="0">
              <a:srgbClr val="5B9BD5">
                <a:hueOff val="-4505695"/>
                <a:satOff val="-11613"/>
                <a:lumOff val="-7843"/>
                <a:alphaOff val="0"/>
                <a:satMod val="103000"/>
                <a:lumMod val="102000"/>
                <a:tint val="94000"/>
              </a:srgbClr>
            </a:gs>
            <a:gs pos="50000">
              <a:srgbClr val="5B9BD5">
                <a:hueOff val="-4505695"/>
                <a:satOff val="-11613"/>
                <a:lumOff val="-7843"/>
                <a:alphaOff val="0"/>
                <a:satMod val="110000"/>
                <a:lumMod val="100000"/>
                <a:shade val="100000"/>
              </a:srgbClr>
            </a:gs>
            <a:gs pos="100000">
              <a:srgbClr val="5B9BD5">
                <a:hueOff val="-4505695"/>
                <a:satOff val="-11613"/>
                <a:lumOff val="-7843"/>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8890" rIns="0" bIns="8890" numCol="1" spcCol="1270" anchor="ctr" anchorCtr="0">
          <a:noAutofit/>
        </a:bodyPr>
        <a:lstStyle/>
        <a:p>
          <a:pPr marL="0" lvl="0" indent="0" algn="ctr" defTabSz="622300">
            <a:lnSpc>
              <a:spcPct val="90000"/>
            </a:lnSpc>
            <a:spcBef>
              <a:spcPct val="0"/>
            </a:spcBef>
            <a:spcAft>
              <a:spcPct val="35000"/>
            </a:spcAft>
            <a:buNone/>
          </a:pPr>
          <a:r>
            <a:rPr lang="hr-HR" sz="1400" kern="1200">
              <a:solidFill>
                <a:sysClr val="window" lastClr="FFFFFF"/>
              </a:solidFill>
              <a:latin typeface="Calibri" panose="020F0502020204030204"/>
              <a:ea typeface="+mn-ea"/>
              <a:cs typeface="+mn-cs"/>
            </a:rPr>
            <a:t>Kako tamo stići?</a:t>
          </a:r>
          <a:endParaRPr lang="en-US" sz="1400" kern="1200">
            <a:solidFill>
              <a:sysClr val="window" lastClr="FFFFFF"/>
            </a:solidFill>
            <a:latin typeface="Calibri" panose="020F0502020204030204"/>
            <a:ea typeface="+mn-ea"/>
            <a:cs typeface="+mn-cs"/>
          </a:endParaRPr>
        </a:p>
      </dsp:txBody>
      <dsp:txXfrm>
        <a:off x="960322" y="2519326"/>
        <a:ext cx="1104965" cy="736643"/>
      </dsp:txXfrm>
    </dsp:sp>
    <dsp:sp modelId="{50CA9D1B-0757-4D1B-89A7-BBD076D4424A}">
      <dsp:nvSpPr>
        <dsp:cNvPr id="0" name=""/>
        <dsp:cNvSpPr/>
      </dsp:nvSpPr>
      <dsp:spPr>
        <a:xfrm>
          <a:off x="2194199" y="2581941"/>
          <a:ext cx="1528535" cy="611414"/>
        </a:xfrm>
        <a:prstGeom prst="chevron">
          <a:avLst/>
        </a:prstGeom>
        <a:solidFill>
          <a:srgbClr val="5B9BD5">
            <a:tint val="40000"/>
            <a:alpha val="90000"/>
            <a:hueOff val="-4493175"/>
            <a:satOff val="-15221"/>
            <a:lumOff val="-1952"/>
            <a:alphaOff val="0"/>
          </a:srgbClr>
        </a:solidFill>
        <a:ln w="6350" cap="flat" cmpd="sng" algn="ctr">
          <a:solidFill>
            <a:srgbClr val="5B9BD5">
              <a:tint val="40000"/>
              <a:alpha val="90000"/>
              <a:hueOff val="-4493175"/>
              <a:satOff val="-15221"/>
              <a:lumOff val="-1952"/>
              <a:alphaOff val="0"/>
            </a:srgb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hr-HR" sz="1500" kern="1200">
              <a:solidFill>
                <a:sysClr val="windowText" lastClr="000000">
                  <a:hueOff val="0"/>
                  <a:satOff val="0"/>
                  <a:lumOff val="0"/>
                  <a:alphaOff val="0"/>
                </a:sysClr>
              </a:solidFill>
              <a:latin typeface="Calibri" panose="020F0502020204030204"/>
              <a:ea typeface="+mn-ea"/>
              <a:cs typeface="+mn-cs"/>
            </a:rPr>
            <a:t>STRATEGIJE</a:t>
          </a:r>
        </a:p>
        <a:p>
          <a:pPr marL="0" lvl="0" indent="0" algn="ctr" defTabSz="666750">
            <a:lnSpc>
              <a:spcPct val="90000"/>
            </a:lnSpc>
            <a:spcBef>
              <a:spcPct val="0"/>
            </a:spcBef>
            <a:spcAft>
              <a:spcPct val="35000"/>
            </a:spcAft>
            <a:buNone/>
          </a:pPr>
          <a:endParaRPr lang="en-US" sz="1500" kern="1200">
            <a:solidFill>
              <a:sysClr val="windowText" lastClr="000000">
                <a:hueOff val="0"/>
                <a:satOff val="0"/>
                <a:lumOff val="0"/>
                <a:alphaOff val="0"/>
              </a:sysClr>
            </a:solidFill>
            <a:latin typeface="Calibri" panose="020F0502020204030204"/>
            <a:ea typeface="+mn-ea"/>
            <a:cs typeface="+mn-cs"/>
          </a:endParaRPr>
        </a:p>
      </dsp:txBody>
      <dsp:txXfrm>
        <a:off x="2499906" y="2581941"/>
        <a:ext cx="917121" cy="611414"/>
      </dsp:txXfrm>
    </dsp:sp>
    <dsp:sp modelId="{5D8162BA-0797-4C0E-8617-8BF42B731A34}">
      <dsp:nvSpPr>
        <dsp:cNvPr id="0" name=""/>
        <dsp:cNvSpPr/>
      </dsp:nvSpPr>
      <dsp:spPr>
        <a:xfrm>
          <a:off x="592000" y="3359100"/>
          <a:ext cx="1841608" cy="736643"/>
        </a:xfrm>
        <a:prstGeom prst="chevron">
          <a:avLst/>
        </a:prstGeom>
        <a:gradFill rotWithShape="0">
          <a:gsLst>
            <a:gs pos="0">
              <a:srgbClr val="5B9BD5">
                <a:hueOff val="-6758543"/>
                <a:satOff val="-17419"/>
                <a:lumOff val="-11765"/>
                <a:alphaOff val="0"/>
                <a:satMod val="103000"/>
                <a:lumMod val="102000"/>
                <a:tint val="94000"/>
              </a:srgbClr>
            </a:gs>
            <a:gs pos="50000">
              <a:srgbClr val="5B9BD5">
                <a:hueOff val="-6758543"/>
                <a:satOff val="-17419"/>
                <a:lumOff val="-11765"/>
                <a:alphaOff val="0"/>
                <a:satMod val="110000"/>
                <a:lumMod val="100000"/>
                <a:shade val="100000"/>
              </a:srgbClr>
            </a:gs>
            <a:gs pos="100000">
              <a:srgbClr val="5B9BD5">
                <a:hueOff val="-6758543"/>
                <a:satOff val="-17419"/>
                <a:lumOff val="-11765"/>
                <a:alphaOff val="0"/>
                <a:lumMod val="99000"/>
                <a:satMod val="120000"/>
                <a:shade val="78000"/>
              </a:srgb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7780" tIns="8890" rIns="0" bIns="8890" numCol="1" spcCol="1270" anchor="ctr" anchorCtr="0">
          <a:noAutofit/>
        </a:bodyPr>
        <a:lstStyle/>
        <a:p>
          <a:pPr marL="0" lvl="0" indent="0" algn="ctr" defTabSz="622300">
            <a:lnSpc>
              <a:spcPct val="90000"/>
            </a:lnSpc>
            <a:spcBef>
              <a:spcPct val="0"/>
            </a:spcBef>
            <a:spcAft>
              <a:spcPct val="35000"/>
            </a:spcAft>
            <a:buNone/>
          </a:pPr>
          <a:r>
            <a:rPr lang="hr-HR" sz="1400" kern="1200">
              <a:solidFill>
                <a:sysClr val="window" lastClr="FFFFFF"/>
              </a:solidFill>
              <a:latin typeface="Calibri" panose="020F0502020204030204"/>
              <a:ea typeface="+mn-ea"/>
              <a:cs typeface="+mn-cs"/>
            </a:rPr>
            <a:t>Koje aktivnosti i akcije poduzeti?</a:t>
          </a:r>
          <a:endParaRPr lang="en-US" sz="1400" kern="1200">
            <a:solidFill>
              <a:sysClr val="window" lastClr="FFFFFF"/>
            </a:solidFill>
            <a:latin typeface="Calibri" panose="020F0502020204030204"/>
            <a:ea typeface="+mn-ea"/>
            <a:cs typeface="+mn-cs"/>
          </a:endParaRPr>
        </a:p>
      </dsp:txBody>
      <dsp:txXfrm>
        <a:off x="960322" y="3359100"/>
        <a:ext cx="1104965" cy="736643"/>
      </dsp:txXfrm>
    </dsp:sp>
    <dsp:sp modelId="{37B29528-9D52-4814-81B8-C107B85513ED}">
      <dsp:nvSpPr>
        <dsp:cNvPr id="0" name=""/>
        <dsp:cNvSpPr/>
      </dsp:nvSpPr>
      <dsp:spPr>
        <a:xfrm>
          <a:off x="2194199" y="3421714"/>
          <a:ext cx="1528535" cy="611414"/>
        </a:xfrm>
        <a:prstGeom prst="chevron">
          <a:avLst/>
        </a:prstGeom>
        <a:solidFill>
          <a:srgbClr val="5B9BD5">
            <a:tint val="40000"/>
            <a:alpha val="90000"/>
            <a:hueOff val="-6739762"/>
            <a:satOff val="-22832"/>
            <a:lumOff val="-2928"/>
            <a:alphaOff val="0"/>
          </a:srgbClr>
        </a:solidFill>
        <a:ln w="6350" cap="flat" cmpd="sng" algn="ctr">
          <a:solidFill>
            <a:srgbClr val="5B9BD5">
              <a:tint val="40000"/>
              <a:alpha val="90000"/>
              <a:hueOff val="-6739762"/>
              <a:satOff val="-22832"/>
              <a:lumOff val="-2928"/>
              <a:alphaOff val="0"/>
            </a:srgbClr>
          </a:solidFill>
          <a:prstDash val="solid"/>
          <a:miter lim="800000"/>
        </a:ln>
        <a:effectLst/>
        <a:scene3d>
          <a:camera prst="orthographicFront"/>
          <a:lightRig rig="flat" dir="t"/>
        </a:scene3d>
        <a:sp3d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19050" tIns="9525" rIns="0" bIns="9525" numCol="1" spcCol="1270" anchor="ctr" anchorCtr="0">
          <a:noAutofit/>
        </a:bodyPr>
        <a:lstStyle/>
        <a:p>
          <a:pPr marL="0" lvl="0" indent="0" algn="ctr" defTabSz="666750">
            <a:lnSpc>
              <a:spcPct val="90000"/>
            </a:lnSpc>
            <a:spcBef>
              <a:spcPct val="0"/>
            </a:spcBef>
            <a:spcAft>
              <a:spcPct val="35000"/>
            </a:spcAft>
            <a:buNone/>
          </a:pPr>
          <a:r>
            <a:rPr lang="hr-HR" sz="1500" kern="1200">
              <a:solidFill>
                <a:sysClr val="windowText" lastClr="000000">
                  <a:hueOff val="0"/>
                  <a:satOff val="0"/>
                  <a:lumOff val="0"/>
                  <a:alphaOff val="0"/>
                </a:sysClr>
              </a:solidFill>
              <a:latin typeface="Calibri" panose="020F0502020204030204"/>
              <a:ea typeface="+mn-ea"/>
              <a:cs typeface="+mn-cs"/>
            </a:rPr>
            <a:t>PLANOVI</a:t>
          </a:r>
          <a:endParaRPr lang="en-US" sz="1500" kern="1200">
            <a:solidFill>
              <a:sysClr val="windowText" lastClr="000000">
                <a:hueOff val="0"/>
                <a:satOff val="0"/>
                <a:lumOff val="0"/>
                <a:alphaOff val="0"/>
              </a:sysClr>
            </a:solidFill>
            <a:latin typeface="Calibri" panose="020F0502020204030204"/>
            <a:ea typeface="+mn-ea"/>
            <a:cs typeface="+mn-cs"/>
          </a:endParaRPr>
        </a:p>
      </dsp:txBody>
      <dsp:txXfrm>
        <a:off x="2499906" y="3421714"/>
        <a:ext cx="917121" cy="61141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FE6787-CB0B-448B-A501-1B050D9E1F01}">
      <dsp:nvSpPr>
        <dsp:cNvPr id="0" name=""/>
        <dsp:cNvSpPr/>
      </dsp:nvSpPr>
      <dsp:spPr>
        <a:xfrm>
          <a:off x="2649255" y="989742"/>
          <a:ext cx="1874367" cy="325303"/>
        </a:xfrm>
        <a:custGeom>
          <a:avLst/>
          <a:gdLst/>
          <a:ahLst/>
          <a:cxnLst/>
          <a:rect l="0" t="0" r="0" b="0"/>
          <a:pathLst>
            <a:path>
              <a:moveTo>
                <a:pt x="0" y="0"/>
              </a:moveTo>
              <a:lnTo>
                <a:pt x="0" y="168419"/>
              </a:lnTo>
              <a:lnTo>
                <a:pt x="1940834" y="168419"/>
              </a:lnTo>
              <a:lnTo>
                <a:pt x="1940834" y="336838"/>
              </a:lnTo>
            </a:path>
          </a:pathLst>
        </a:custGeo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6E97282-F9EC-4D32-BD4E-9E0A0130C2D5}">
      <dsp:nvSpPr>
        <dsp:cNvPr id="0" name=""/>
        <dsp:cNvSpPr/>
      </dsp:nvSpPr>
      <dsp:spPr>
        <a:xfrm>
          <a:off x="2603534" y="989742"/>
          <a:ext cx="91440" cy="325303"/>
        </a:xfrm>
        <a:custGeom>
          <a:avLst/>
          <a:gdLst/>
          <a:ahLst/>
          <a:cxnLst/>
          <a:rect l="0" t="0" r="0" b="0"/>
          <a:pathLst>
            <a:path>
              <a:moveTo>
                <a:pt x="45720" y="0"/>
              </a:moveTo>
              <a:lnTo>
                <a:pt x="45720" y="336838"/>
              </a:lnTo>
            </a:path>
          </a:pathLst>
        </a:custGeo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BA3BFB0-E554-46C4-AC35-1CFB777FA56B}">
      <dsp:nvSpPr>
        <dsp:cNvPr id="0" name=""/>
        <dsp:cNvSpPr/>
      </dsp:nvSpPr>
      <dsp:spPr>
        <a:xfrm>
          <a:off x="774887" y="989742"/>
          <a:ext cx="1874367" cy="325303"/>
        </a:xfrm>
        <a:custGeom>
          <a:avLst/>
          <a:gdLst/>
          <a:ahLst/>
          <a:cxnLst/>
          <a:rect l="0" t="0" r="0" b="0"/>
          <a:pathLst>
            <a:path>
              <a:moveTo>
                <a:pt x="1940834" y="0"/>
              </a:moveTo>
              <a:lnTo>
                <a:pt x="1940834" y="168419"/>
              </a:lnTo>
              <a:lnTo>
                <a:pt x="0" y="168419"/>
              </a:lnTo>
              <a:lnTo>
                <a:pt x="0" y="336838"/>
              </a:lnTo>
            </a:path>
          </a:pathLst>
        </a:custGeom>
        <a:noFill/>
        <a:ln w="12700" cap="flat" cmpd="sng" algn="ctr">
          <a:solidFill>
            <a:srgbClr val="5B9BD5">
              <a:hueOff val="0"/>
              <a:satOff val="0"/>
              <a:lumOff val="0"/>
              <a:alphaOff val="0"/>
            </a:srgb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B625A323-4DAE-4179-989C-8A4A66ABE4B3}">
      <dsp:nvSpPr>
        <dsp:cNvPr id="0" name=""/>
        <dsp:cNvSpPr/>
      </dsp:nvSpPr>
      <dsp:spPr>
        <a:xfrm>
          <a:off x="1874723" y="215210"/>
          <a:ext cx="1549063" cy="774531"/>
        </a:xfrm>
        <a:prstGeom prst="rect">
          <a:avLst/>
        </a:prstGeom>
        <a:solidFill>
          <a:srgbClr val="A5A5A5"/>
        </a:solidFill>
        <a:ln>
          <a:noFill/>
        </a:ln>
        <a:effectLst/>
        <a:scene3d>
          <a:camera prst="orthographicFront">
            <a:rot lat="0" lon="0" rev="0"/>
          </a:camera>
          <a:lightRig rig="contrasting" dir="t">
            <a:rot lat="0" lon="0" rev="1200000"/>
          </a:lightRig>
        </a:scene3d>
        <a:sp3d/>
      </dsp:spPr>
      <dsp:style>
        <a:lnRef idx="0">
          <a:scrgbClr r="0" g="0" b="0"/>
        </a:lnRef>
        <a:fillRef idx="0">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hr-HR" sz="2200" kern="1200">
              <a:solidFill>
                <a:sysClr val="window" lastClr="FFFFFF"/>
              </a:solidFill>
              <a:latin typeface="Calibri" panose="020F0502020204030204"/>
              <a:ea typeface="+mn-ea"/>
              <a:cs typeface="+mn-cs"/>
            </a:rPr>
            <a:t>SINERGIJSKI UČINCI</a:t>
          </a:r>
          <a:endParaRPr lang="en-US" sz="2200" kern="1200">
            <a:solidFill>
              <a:sysClr val="window" lastClr="FFFFFF"/>
            </a:solidFill>
            <a:latin typeface="Calibri" panose="020F0502020204030204"/>
            <a:ea typeface="+mn-ea"/>
            <a:cs typeface="+mn-cs"/>
          </a:endParaRPr>
        </a:p>
      </dsp:txBody>
      <dsp:txXfrm>
        <a:off x="1874723" y="215210"/>
        <a:ext cx="1549063" cy="774531"/>
      </dsp:txXfrm>
    </dsp:sp>
    <dsp:sp modelId="{47F0C054-A4A8-44DC-A981-917B522C74AE}">
      <dsp:nvSpPr>
        <dsp:cNvPr id="0" name=""/>
        <dsp:cNvSpPr/>
      </dsp:nvSpPr>
      <dsp:spPr>
        <a:xfrm>
          <a:off x="355" y="1315046"/>
          <a:ext cx="1549063" cy="774531"/>
        </a:xfrm>
        <a:prstGeom prst="rect">
          <a:avLst/>
        </a:prstGeom>
        <a:solidFill>
          <a:srgbClr val="70AD47"/>
        </a:solidFill>
        <a:ln>
          <a:noFill/>
        </a:ln>
        <a:effectLst/>
        <a:scene3d>
          <a:camera prst="orthographicFront">
            <a:rot lat="0" lon="0" rev="0"/>
          </a:camera>
          <a:lightRig rig="contrasting" dir="t">
            <a:rot lat="0" lon="0" rev="1200000"/>
          </a:lightRig>
        </a:scene3d>
        <a:sp3d/>
      </dsp:spPr>
      <dsp:style>
        <a:lnRef idx="0">
          <a:scrgbClr r="0" g="0" b="0"/>
        </a:lnRef>
        <a:fillRef idx="0">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hr-HR" sz="2200" kern="1200">
              <a:solidFill>
                <a:sysClr val="window" lastClr="FFFFFF"/>
              </a:solidFill>
              <a:latin typeface="Calibri" panose="020F0502020204030204"/>
              <a:ea typeface="+mn-ea"/>
              <a:cs typeface="+mn-cs"/>
            </a:rPr>
            <a:t>OPERATIVNI UČINCI</a:t>
          </a:r>
          <a:endParaRPr lang="en-US" sz="2200" kern="1200">
            <a:solidFill>
              <a:sysClr val="window" lastClr="FFFFFF"/>
            </a:solidFill>
            <a:latin typeface="Calibri" panose="020F0502020204030204"/>
            <a:ea typeface="+mn-ea"/>
            <a:cs typeface="+mn-cs"/>
          </a:endParaRPr>
        </a:p>
      </dsp:txBody>
      <dsp:txXfrm>
        <a:off x="355" y="1315046"/>
        <a:ext cx="1549063" cy="774531"/>
      </dsp:txXfrm>
    </dsp:sp>
    <dsp:sp modelId="{4B94527C-5237-4BD5-899F-FBA68A87E1AB}">
      <dsp:nvSpPr>
        <dsp:cNvPr id="0" name=""/>
        <dsp:cNvSpPr/>
      </dsp:nvSpPr>
      <dsp:spPr>
        <a:xfrm>
          <a:off x="1874723" y="1315046"/>
          <a:ext cx="1549063" cy="774531"/>
        </a:xfrm>
        <a:prstGeom prst="rect">
          <a:avLst/>
        </a:prstGeom>
        <a:solidFill>
          <a:srgbClr val="ED7D31"/>
        </a:solidFill>
        <a:ln>
          <a:noFill/>
        </a:ln>
        <a:effectLst/>
        <a:scene3d>
          <a:camera prst="orthographicFront">
            <a:rot lat="0" lon="0" rev="0"/>
          </a:camera>
          <a:lightRig rig="contrasting" dir="t">
            <a:rot lat="0" lon="0" rev="1200000"/>
          </a:lightRig>
        </a:scene3d>
        <a:sp3d/>
      </dsp:spPr>
      <dsp:style>
        <a:lnRef idx="0">
          <a:scrgbClr r="0" g="0" b="0"/>
        </a:lnRef>
        <a:fillRef idx="0">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hr-HR" sz="2200" kern="1200">
              <a:solidFill>
                <a:sysClr val="window" lastClr="FFFFFF"/>
              </a:solidFill>
              <a:latin typeface="Calibri" panose="020F0502020204030204"/>
              <a:ea typeface="+mn-ea"/>
              <a:cs typeface="+mn-cs"/>
            </a:rPr>
            <a:t>FINANCIJSKI UČINCI</a:t>
          </a:r>
          <a:endParaRPr lang="en-US" sz="2200" kern="1200">
            <a:solidFill>
              <a:sysClr val="window" lastClr="FFFFFF"/>
            </a:solidFill>
            <a:latin typeface="Calibri" panose="020F0502020204030204"/>
            <a:ea typeface="+mn-ea"/>
            <a:cs typeface="+mn-cs"/>
          </a:endParaRPr>
        </a:p>
      </dsp:txBody>
      <dsp:txXfrm>
        <a:off x="1874723" y="1315046"/>
        <a:ext cx="1549063" cy="774531"/>
      </dsp:txXfrm>
    </dsp:sp>
    <dsp:sp modelId="{C46E65EC-74EC-4237-BEA6-6C8F780B6E60}">
      <dsp:nvSpPr>
        <dsp:cNvPr id="0" name=""/>
        <dsp:cNvSpPr/>
      </dsp:nvSpPr>
      <dsp:spPr>
        <a:xfrm>
          <a:off x="3749090" y="1315046"/>
          <a:ext cx="1549063" cy="774531"/>
        </a:xfrm>
        <a:prstGeom prst="rect">
          <a:avLst/>
        </a:prstGeom>
        <a:solidFill>
          <a:srgbClr val="5B9BD5">
            <a:hueOff val="0"/>
            <a:satOff val="0"/>
            <a:lumOff val="0"/>
            <a:alphaOff val="0"/>
          </a:srgb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977900">
            <a:lnSpc>
              <a:spcPct val="90000"/>
            </a:lnSpc>
            <a:spcBef>
              <a:spcPct val="0"/>
            </a:spcBef>
            <a:spcAft>
              <a:spcPct val="35000"/>
            </a:spcAft>
            <a:buNone/>
          </a:pPr>
          <a:r>
            <a:rPr lang="hr-HR" sz="2200" kern="1200">
              <a:solidFill>
                <a:sysClr val="window" lastClr="FFFFFF"/>
              </a:solidFill>
              <a:latin typeface="Calibri" panose="020F0502020204030204"/>
              <a:ea typeface="+mn-ea"/>
              <a:cs typeface="+mn-cs"/>
            </a:rPr>
            <a:t>UPRAVLJAČKI UČINCI</a:t>
          </a:r>
          <a:endParaRPr lang="en-US" sz="2200" kern="1200">
            <a:solidFill>
              <a:sysClr val="window" lastClr="FFFFFF"/>
            </a:solidFill>
            <a:latin typeface="Calibri" panose="020F0502020204030204"/>
            <a:ea typeface="+mn-ea"/>
            <a:cs typeface="+mn-cs"/>
          </a:endParaRPr>
        </a:p>
      </dsp:txBody>
      <dsp:txXfrm>
        <a:off x="3749090" y="1315046"/>
        <a:ext cx="1549063" cy="77453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11#1">
  <dgm:title val=""/>
  <dgm:desc val=""/>
  <dgm:catLst>
    <dgm:cat type="process" pri="8000"/>
    <dgm:cat type="timeline" pri="103"/>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lProcess3">
  <dgm:title val=""/>
  <dgm:desc val=""/>
  <dgm:catLst>
    <dgm:cat type="process" pri="11000"/>
    <dgm:cat type="convert"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2"/>
      </dgm:ptLst>
      <dgm:cxnLst>
        <dgm:cxn modelId="4" srcId="0" destId="1" srcOrd="0" destOrd="0"/>
        <dgm:cxn modelId="5" srcId="1" destId="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chPref val="3"/>
      <dgm:dir/>
      <dgm:animLvl val="lvl"/>
      <dgm:resizeHandles/>
    </dgm:varLst>
    <dgm:choose name="Name1">
      <dgm:if name="Name2" func="var" arg="dir" op="equ" val="norm">
        <dgm:alg type="lin">
          <dgm:param type="linDir" val="fromT"/>
          <dgm:param type="vertAlign" val="mid"/>
          <dgm:param type="nodeHorzAlign" val="l"/>
          <dgm:param type="nodeVertAlign" val="t"/>
          <dgm:param type="fallback" val="2D"/>
        </dgm:alg>
      </dgm:if>
      <dgm:else name="Name3">
        <dgm:alg type="lin">
          <dgm:param type="linDir" val="fromT"/>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w" for="des" forName="bigChev" refType="w"/>
      <dgm:constr type="h" for="des" forName="bigChev" refType="w" refFor="des" refForName="bigChev" op="equ" fact="0.4"/>
      <dgm:constr type="w" for="des" forName="node" refType="w" refFor="des" refForName="bigChev" fact="0.83"/>
      <dgm:constr type="h" for="des" forName="node" refType="w" refFor="des" refForName="node" op="equ" fact="0.4"/>
      <dgm:constr type="w" for="des" forName="parTrans" refType="w" refFor="des" refForName="bigChev" op="equ" fact="-0.13"/>
      <dgm:constr type="w" for="des" forName="sibTrans" refType="w" refFor="des" refForName="node" op="equ" fact="-0.14"/>
      <dgm:constr type="h" for="ch" forName="vSp" refType="h" refFor="des" refForName="bigChev" op="equ" fact="0.14"/>
      <dgm:constr type="primFontSz" for="des" forName="node" op="equ"/>
      <dgm:constr type="primFontSz" for="des" forName="bigChev" op="equ"/>
    </dgm:constrLst>
    <dgm:ruleLst/>
    <dgm:forEach name="Name4" axis="ch" ptType="node">
      <dgm:layoutNode name="horFlow">
        <dgm:choose name="Name5">
          <dgm:if name="Name6" func="var" arg="dir" op="equ" val="norm">
            <dgm:alg type="lin">
              <dgm:param type="linDir" val="fromL"/>
              <dgm:param type="nodeHorzAlign" val="l"/>
              <dgm:param type="nodeVertAlign" val="mid"/>
              <dgm:param type="fallback" val="2D"/>
            </dgm:alg>
          </dgm:if>
          <dgm:else name="Name7">
            <dgm:alg type="lin">
              <dgm:param type="linDir" val="fromR"/>
              <dgm:param type="nodeHorzAlign" val="r"/>
              <dgm:param type="nodeVertAlign" val="mid"/>
              <dgm:param type="fallback" val="2D"/>
            </dgm:alg>
          </dgm:else>
        </dgm:choose>
        <dgm:shape xmlns:r="http://schemas.openxmlformats.org/officeDocument/2006/relationships" r:blip="">
          <dgm:adjLst/>
        </dgm:shape>
        <dgm:presOf/>
        <dgm:constrLst/>
        <dgm:ruleLst/>
        <dgm:layoutNode name="bigChev" styleLbl="node1">
          <dgm:alg type="tx"/>
          <dgm:choose name="Name8">
            <dgm:if name="Name9" func="var" arg="dir" op="equ" val="norm">
              <dgm:shape xmlns:r="http://schemas.openxmlformats.org/officeDocument/2006/relationships" type="chevron" r:blip="">
                <dgm:adjLst/>
              </dgm:shape>
              <dgm:presOf axis="self"/>
              <dgm:constrLst>
                <dgm:constr type="primFontSz" val="65"/>
                <dgm:constr type="rMarg"/>
                <dgm:constr type="lMarg" refType="primFontSz" fact="0.1"/>
                <dgm:constr type="tMarg" refType="primFontSz" fact="0.05"/>
                <dgm:constr type="bMarg" refType="primFontSz" fact="0.05"/>
              </dgm:constrLst>
            </dgm:if>
            <dgm:else name="Name10">
              <dgm:shape xmlns:r="http://schemas.openxmlformats.org/officeDocument/2006/relationships" rot="180" type="chevron" r:blip="">
                <dgm:adjLst/>
              </dgm:shape>
              <dgm:presOf axis="self"/>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parTransForEach" axis="ch" ptType="parTrans" cnt="1">
          <dgm:layoutNode name="parTrans">
            <dgm:alg type="sp"/>
            <dgm:shape xmlns:r="http://schemas.openxmlformats.org/officeDocument/2006/relationships" r:blip="">
              <dgm:adjLst/>
            </dgm:shape>
            <dgm:presOf/>
            <dgm:constrLst/>
            <dgm:ruleLst/>
          </dgm:layoutNode>
        </dgm:forEach>
        <dgm:forEach name="Name11" axis="ch" ptType="node">
          <dgm:layoutNode name="node" styleLbl="alignAccFollowNode1">
            <dgm:varLst>
              <dgm:bulletEnabled val="1"/>
            </dgm:varLst>
            <dgm:alg type="tx"/>
            <dgm:choose name="Name12">
              <dgm:if name="Name13" func="var" arg="dir" op="equ" val="norm">
                <dgm:shape xmlns:r="http://schemas.openxmlformats.org/officeDocument/2006/relationships" type="chevron" r:blip="">
                  <dgm:adjLst/>
                </dgm:shape>
                <dgm:presOf axis="desOrSelf" ptType="node"/>
                <dgm:constrLst>
                  <dgm:constr type="primFontSz" val="65"/>
                  <dgm:constr type="rMarg"/>
                  <dgm:constr type="lMarg" refType="primFontSz" fact="0.1"/>
                  <dgm:constr type="tMarg" refType="primFontSz" fact="0.05"/>
                  <dgm:constr type="bMarg" refType="primFontSz" fact="0.05"/>
                </dgm:constrLst>
              </dgm:if>
              <dgm:else name="Name14">
                <dgm:shape xmlns:r="http://schemas.openxmlformats.org/officeDocument/2006/relationships" rot="180" type="chevron" r:blip="">
                  <dgm:adjLst/>
                </dgm:shape>
                <dgm:presOf axis="desOrSelf" ptType="node"/>
                <dgm:constrLst>
                  <dgm:constr type="primFontSz" val="65"/>
                  <dgm:constr type="lMarg"/>
                  <dgm:constr type="rMarg" refType="primFontSz" fact="0.1"/>
                  <dgm:constr type="tMarg" refType="primFontSz" fact="0.05"/>
                  <dgm:constr type="bMarg" refType="primFontSz" fact="0.05"/>
                </dgm:constrLst>
              </dgm:else>
            </dgm:choose>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choose name="Name15">
        <dgm:if name="Name16" axis="self" ptType="node" func="revPos" op="gte" val="2">
          <dgm:layoutNode name="vSp">
            <dgm:alg type="sp"/>
            <dgm:shape xmlns:r="http://schemas.openxmlformats.org/officeDocument/2006/relationships" r:blip="">
              <dgm:adjLst/>
            </dgm:shape>
            <dgm:presOf/>
            <dgm:constrLst/>
            <dgm:ruleLst/>
          </dgm:layoutNode>
        </dgm:if>
        <dgm:else name="Name1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1">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1">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D6753-DB46-4925-B41B-08FCDAD90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465</Pages>
  <Words>117735</Words>
  <Characters>767633</Characters>
  <Application>Microsoft Office Word</Application>
  <DocSecurity>0</DocSecurity>
  <Lines>20746</Lines>
  <Paragraphs>9729</Paragraphs>
  <ScaleCrop>false</ScaleCrop>
  <Company/>
  <LinksUpToDate>false</LinksUpToDate>
  <CharactersWithSpaces>875639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Prevolšek</dc:creator>
  <cp:keywords/>
  <dc:description/>
  <cp:lastModifiedBy>Denis Prevolšek</cp:lastModifiedBy>
  <cp:revision>7</cp:revision>
  <dcterms:created xsi:type="dcterms:W3CDTF">2026-10-17T18:36:00Z</dcterms:created>
  <dcterms:modified xsi:type="dcterms:W3CDTF">2026-10-23T08:55:00Z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cfe07f-4240-4797-80f8-ac6c58e4d26f_Enabled">
    <vt:lpwstr>true</vt:lpwstr>
  </property>
  <property fmtid="{D5CDD505-2E9C-101B-9397-08002B2CF9AE}" pid="3" name="MSIP_Label_80cfe07f-4240-4797-80f8-ac6c58e4d26f_SetDate">
    <vt:lpwstr>2026-10-08T08:45:17Z</vt:lpwstr>
  </property>
  <property fmtid="{D5CDD505-2E9C-101B-9397-08002B2CF9AE}" pid="4" name="MSIP_Label_80cfe07f-4240-4797-80f8-ac6c58e4d26f_Method">
    <vt:lpwstr>Privileged</vt:lpwstr>
  </property>
  <property fmtid="{D5CDD505-2E9C-101B-9397-08002B2CF9AE}" pid="5" name="MSIP_Label_80cfe07f-4240-4797-80f8-ac6c58e4d26f_Name">
    <vt:lpwstr>Public</vt:lpwstr>
  </property>
  <property fmtid="{D5CDD505-2E9C-101B-9397-08002B2CF9AE}" pid="6" name="MSIP_Label_80cfe07f-4240-4797-80f8-ac6c58e4d26f_SiteId">
    <vt:lpwstr>c7223f2c-1ba2-43c8-be7f-57e6e1465036</vt:lpwstr>
  </property>
  <property fmtid="{D5CDD505-2E9C-101B-9397-08002B2CF9AE}" pid="7" name="MSIP_Label_80cfe07f-4240-4797-80f8-ac6c58e4d26f_ActionId">
    <vt:lpwstr>6731e128-3e34-4295-9cfc-586444464ffa</vt:lpwstr>
  </property>
  <property fmtid="{D5CDD505-2E9C-101B-9397-08002B2CF9AE}" pid="8" name="MSIP_Label_80cfe07f-4240-4797-80f8-ac6c58e4d26f_ContentBits">
    <vt:lpwstr>0</vt:lpwstr>
  </property>
  <property fmtid="{D5CDD505-2E9C-101B-9397-08002B2CF9AE}" pid="9" name="MSIP_Label_80cfe07f-4240-4797-80f8-ac6c58e4d26f_Tag">
    <vt:lpwstr>10, 0, 1, 1</vt:lpwstr>
  </property>
</Properties>
</file>